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D5B4" w14:textId="66CE9F43" w:rsidR="002D1159" w:rsidRDefault="002D1159" w:rsidP="00A81237">
      <w:pPr>
        <w:pStyle w:val="DachzeilePressemitteilung"/>
      </w:pPr>
      <w:r>
        <w:t>Presse</w:t>
      </w:r>
      <w:r w:rsidR="008E011D">
        <w:t>meldung</w:t>
      </w:r>
    </w:p>
    <w:p w14:paraId="574D1E48" w14:textId="77777777" w:rsidR="008E011D" w:rsidRDefault="008E011D" w:rsidP="00993EA1">
      <w:pPr>
        <w:pStyle w:val="TitelPressemitteilung"/>
        <w:spacing w:line="360" w:lineRule="auto"/>
        <w:rPr>
          <w:sz w:val="40"/>
          <w:szCs w:val="48"/>
        </w:rPr>
      </w:pPr>
      <w:r w:rsidRPr="008E011D">
        <w:rPr>
          <w:sz w:val="40"/>
          <w:szCs w:val="48"/>
        </w:rPr>
        <w:t xml:space="preserve">VDI zum Copernicus-Klimareport </w:t>
      </w:r>
    </w:p>
    <w:p w14:paraId="7B7CEBED" w14:textId="2BDEF700" w:rsidR="008E011D" w:rsidRDefault="008E011D" w:rsidP="00993EA1">
      <w:pPr>
        <w:pStyle w:val="TitelPressemitteilung"/>
        <w:spacing w:line="360" w:lineRule="auto"/>
        <w:rPr>
          <w:sz w:val="40"/>
          <w:szCs w:val="48"/>
        </w:rPr>
      </w:pPr>
      <w:r w:rsidRPr="008E011D">
        <w:rPr>
          <w:sz w:val="40"/>
          <w:szCs w:val="48"/>
        </w:rPr>
        <w:t>1,5-Grad-Marke 2024 überschritten: Technische Regelsetzung ist dringender denn je</w:t>
      </w:r>
    </w:p>
    <w:p w14:paraId="19DCF225" w14:textId="77777777" w:rsidR="00F20096" w:rsidRDefault="00F20096" w:rsidP="00317ACD"/>
    <w:p w14:paraId="2AC71854" w14:textId="1664203A" w:rsidR="008E011D" w:rsidRPr="008E011D" w:rsidRDefault="0074631E" w:rsidP="00317ACD">
      <w:pPr>
        <w:rPr>
          <w:b/>
          <w:bCs/>
          <w:lang w:val="en-GB"/>
        </w:rPr>
      </w:pPr>
      <w:r w:rsidRPr="0074631E">
        <w:rPr>
          <w:b/>
          <w:bCs/>
        </w:rPr>
        <w:t xml:space="preserve">(Düsseldorf, </w:t>
      </w:r>
      <w:r w:rsidR="008E011D">
        <w:rPr>
          <w:b/>
          <w:bCs/>
        </w:rPr>
        <w:t>15</w:t>
      </w:r>
      <w:r w:rsidRPr="0074631E">
        <w:rPr>
          <w:b/>
          <w:bCs/>
        </w:rPr>
        <w:t>.0</w:t>
      </w:r>
      <w:r w:rsidR="008E011D">
        <w:rPr>
          <w:b/>
          <w:bCs/>
        </w:rPr>
        <w:t>1</w:t>
      </w:r>
      <w:r w:rsidRPr="0074631E">
        <w:rPr>
          <w:b/>
          <w:bCs/>
        </w:rPr>
        <w:t>.202</w:t>
      </w:r>
      <w:r w:rsidR="008E011D">
        <w:rPr>
          <w:b/>
          <w:bCs/>
        </w:rPr>
        <w:t>5</w:t>
      </w:r>
      <w:r w:rsidRPr="0074631E">
        <w:rPr>
          <w:b/>
          <w:bCs/>
        </w:rPr>
        <w:t xml:space="preserve">) </w:t>
      </w:r>
      <w:r w:rsidR="008E011D" w:rsidRPr="008E011D">
        <w:rPr>
          <w:b/>
          <w:bCs/>
        </w:rPr>
        <w:t>Vor wenigen Tagen hat der Klimawandeldienst Copernicus veröffentlicht, dass 2024 die globale Durchschnittstemperatur erstmals 1,6 Grad über dem vorindustriellen Niveau lag. 2024 war somit global das wärmste Jahr seit Beginn der Wetteraufzeichnungen, sprich seit 1850. Was heißt das nun für das 1,5-Grad-Ziel des Pariser Übereinkommens? VDI-Expertin Dipl.-Geogr. Catharina Fröhling gibt eine Einschätzung und verweist auf die Wichtigkeit technischer Regelsetzung.</w:t>
      </w:r>
    </w:p>
    <w:p w14:paraId="22B81F12" w14:textId="77777777" w:rsidR="0074631E" w:rsidRPr="0074631E" w:rsidRDefault="0074631E" w:rsidP="00317ACD">
      <w:pPr>
        <w:rPr>
          <w:lang w:val="en-GB"/>
        </w:rPr>
      </w:pPr>
    </w:p>
    <w:p w14:paraId="09213123" w14:textId="77777777" w:rsidR="008E011D" w:rsidRPr="008E011D" w:rsidRDefault="008E011D" w:rsidP="008E011D">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8E011D">
        <w:rPr>
          <w:rFonts w:ascii="Nunito Sans Light" w:eastAsiaTheme="minorHAnsi" w:hAnsi="Nunito Sans Light" w:cs="Times New Roman (Textkörper CS)"/>
          <w:b/>
          <w:bCs/>
          <w:color w:val="000C19" w:themeColor="text1"/>
          <w:spacing w:val="4"/>
          <w:sz w:val="20"/>
          <w:lang w:val="en-GB" w:eastAsia="en-US"/>
        </w:rPr>
        <w:t>"Wir kommen dem 1,5-Grad-Ziel bedrohlich nahe“</w:t>
      </w:r>
    </w:p>
    <w:p w14:paraId="5966BDFE" w14:textId="77777777" w:rsidR="008E011D" w:rsidRPr="008E011D" w:rsidRDefault="008E011D" w:rsidP="008E011D">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8E011D">
        <w:rPr>
          <w:rFonts w:ascii="Nunito Sans Light" w:eastAsiaTheme="minorHAnsi" w:hAnsi="Nunito Sans Light" w:cs="Times New Roman (Textkörper CS)"/>
          <w:color w:val="000C19" w:themeColor="text1"/>
          <w:spacing w:val="4"/>
          <w:sz w:val="20"/>
          <w:lang w:val="en-GB" w:eastAsia="en-US"/>
        </w:rPr>
        <w:t>"Die Daten aus 2024 zeigen, dass wir dem 1,5-Grad-Ziel bedrohlich nahekommen und verdeutlicht zugleich: Wir müssen dringend und fokussierter handeln", sagt Catharina Fröhling. Sie leitet im VDI das Fokusthema Klimaanpassung.</w:t>
      </w:r>
      <w:r w:rsidRPr="008E011D">
        <w:rPr>
          <w:rFonts w:ascii="Nunito Sans Light" w:eastAsiaTheme="minorHAnsi" w:hAnsi="Nunito Sans Light" w:cs="Times New Roman (Textkörper CS)"/>
          <w:color w:val="000C19" w:themeColor="text1"/>
          <w:spacing w:val="4"/>
          <w:sz w:val="20"/>
          <w:lang w:val="en-GB" w:eastAsia="en-US"/>
        </w:rPr>
        <w:br/>
      </w:r>
      <w:r w:rsidRPr="008E011D">
        <w:rPr>
          <w:rFonts w:ascii="Nunito Sans Light" w:eastAsiaTheme="minorHAnsi" w:hAnsi="Nunito Sans Light" w:cs="Times New Roman (Textkörper CS)"/>
          <w:color w:val="000C19" w:themeColor="text1"/>
          <w:spacing w:val="4"/>
          <w:sz w:val="20"/>
          <w:lang w:val="en-GB" w:eastAsia="en-US"/>
        </w:rPr>
        <w:br/>
        <w:t>Dabei ist die Reduktion von Treibhausgasemissionen maßgeblich, aber auch eine </w:t>
      </w:r>
      <w:hyperlink r:id="rId11" w:tgtFrame="_blank" w:history="1">
        <w:r w:rsidRPr="008E011D">
          <w:rPr>
            <w:rFonts w:ascii="Nunito Sans Light" w:eastAsiaTheme="minorHAnsi" w:hAnsi="Nunito Sans Light" w:cs="Times New Roman (Textkörper CS)"/>
            <w:color w:val="000C19" w:themeColor="text1"/>
            <w:spacing w:val="4"/>
            <w:sz w:val="20"/>
            <w:lang w:val="en-GB" w:eastAsia="en-US"/>
          </w:rPr>
          <w:t>Anpassung an die Folgen des Klimawandels </w:t>
        </w:r>
      </w:hyperlink>
      <w:r w:rsidRPr="008E011D">
        <w:rPr>
          <w:rFonts w:ascii="Nunito Sans Light" w:eastAsiaTheme="minorHAnsi" w:hAnsi="Nunito Sans Light" w:cs="Times New Roman (Textkörper CS)"/>
          <w:color w:val="000C19" w:themeColor="text1"/>
          <w:spacing w:val="4"/>
          <w:sz w:val="20"/>
          <w:lang w:val="en-GB" w:eastAsia="en-US"/>
        </w:rPr>
        <w:t>ist unumgänglich! Fröhling weist darauf hin: "Noch haben wir die Möglichkeit einen Pfad einzuschlagen, der uns zumindest das Übereinkommen, die globale Erderwärmung auf unter 2 Grad zu begrenzen, nicht verfehlen lässt. Dies muss nun oberste Priorität haben!" Anderenfalls könnten die Kosten des Klimawandels bereits bis 2050 bei bis zu 900 Milliarden Euro liegen. "Und dies bildet nur finanziell messbare Kosten ab. Immaterielle Schäden wie gesundheitliche Folgen oder der Verlust der Artenvielfalt sind hierbei nicht erfasst", ergänzt die VDI-Expertin.</w:t>
      </w:r>
    </w:p>
    <w:p w14:paraId="55938E8A" w14:textId="77777777" w:rsidR="008E011D" w:rsidRPr="008E011D" w:rsidRDefault="008E011D" w:rsidP="008E011D">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8E011D">
        <w:rPr>
          <w:rFonts w:ascii="Nunito Sans Light" w:eastAsiaTheme="minorHAnsi" w:hAnsi="Nunito Sans Light" w:cs="Times New Roman (Textkörper CS)"/>
          <w:b/>
          <w:bCs/>
          <w:color w:val="000C19" w:themeColor="text1"/>
          <w:spacing w:val="4"/>
          <w:sz w:val="20"/>
          <w:lang w:val="en-GB" w:eastAsia="en-US"/>
        </w:rPr>
        <w:t>Technische Regelsetzung schafft Planungssicherheit</w:t>
      </w:r>
    </w:p>
    <w:p w14:paraId="18D03919" w14:textId="77777777" w:rsidR="008E011D" w:rsidRPr="008E011D" w:rsidRDefault="008E011D" w:rsidP="008E011D">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8E011D">
        <w:rPr>
          <w:rFonts w:ascii="Nunito Sans Light" w:eastAsiaTheme="minorHAnsi" w:hAnsi="Nunito Sans Light" w:cs="Times New Roman (Textkörper CS)"/>
          <w:color w:val="000C19" w:themeColor="text1"/>
          <w:spacing w:val="4"/>
          <w:sz w:val="20"/>
          <w:lang w:val="en-GB" w:eastAsia="en-US"/>
        </w:rPr>
        <w:t xml:space="preserve">Der VDI treibt das Thema voran, unsere Zukunft in Anbetracht des Klimawandels zu gestalten. "Daher sehen wir es als unsere Aufgabe, mittels unseres technischen Regelwerks und Standardisierungsaktivitäten die Herausforderungen bei der Umsetzung von Maßnahmen zum Klimaschutz als auch zur Anpassung an den Klimawandel anzugehen und zu bewältigen. Denn technische Regelsetzung dient als Planungsgrundlage, erhöht die </w:t>
      </w:r>
      <w:r w:rsidRPr="008E011D">
        <w:rPr>
          <w:rFonts w:ascii="Nunito Sans Light" w:eastAsiaTheme="minorHAnsi" w:hAnsi="Nunito Sans Light" w:cs="Times New Roman (Textkörper CS)"/>
          <w:color w:val="000C19" w:themeColor="text1"/>
          <w:spacing w:val="4"/>
          <w:sz w:val="20"/>
          <w:lang w:val="en-GB" w:eastAsia="en-US"/>
        </w:rPr>
        <w:lastRenderedPageBreak/>
        <w:t>Transparenz und schafft darüber hinaus Planungssicherheit. Für eine nachhaltige, innovative und klimaangepasste Zukunft", so Dipl.-Geogr. Catharina Fröhling. </w:t>
      </w:r>
    </w:p>
    <w:p w14:paraId="072B3C51" w14:textId="77777777" w:rsidR="008E011D" w:rsidRDefault="008E011D" w:rsidP="008E011D">
      <w:pPr>
        <w:pStyle w:val="StandardWeb"/>
        <w:shd w:val="clear" w:color="auto" w:fill="FFFFFF"/>
        <w:rPr>
          <w:rFonts w:ascii="Arial" w:hAnsi="Arial" w:cs="Arial"/>
          <w:color w:val="444444"/>
          <w:sz w:val="21"/>
          <w:szCs w:val="21"/>
        </w:rPr>
      </w:pPr>
      <w:r>
        <w:rPr>
          <w:rStyle w:val="Fett"/>
          <w:rFonts w:ascii="Arial" w:hAnsi="Arial" w:cs="Arial"/>
          <w:i/>
          <w:iCs/>
          <w:color w:val="444444"/>
          <w:sz w:val="21"/>
          <w:szCs w:val="21"/>
        </w:rPr>
        <w:t>Für weitere Recherche und Quellennutzung empfiehlt der VDI diese Publikationen:</w:t>
      </w:r>
    </w:p>
    <w:p w14:paraId="20B5A6CD" w14:textId="77777777" w:rsidR="008E011D" w:rsidRDefault="008E011D" w:rsidP="008E011D">
      <w:pPr>
        <w:pStyle w:val="StandardWeb"/>
        <w:shd w:val="clear" w:color="auto" w:fill="FFFFFF"/>
        <w:rPr>
          <w:rFonts w:ascii="Arial" w:hAnsi="Arial" w:cs="Arial"/>
          <w:color w:val="444444"/>
          <w:sz w:val="21"/>
          <w:szCs w:val="21"/>
        </w:rPr>
      </w:pPr>
      <w:hyperlink r:id="rId12" w:tgtFrame="_blank" w:history="1">
        <w:r>
          <w:rPr>
            <w:rStyle w:val="Hyperlink"/>
            <w:rFonts w:ascii="Arial" w:hAnsi="Arial" w:cs="Arial"/>
            <w:sz w:val="21"/>
            <w:szCs w:val="21"/>
          </w:rPr>
          <w:t>Anpassung an Folgen des Klimawandels dringender denn je | VDI</w:t>
        </w:r>
      </w:hyperlink>
    </w:p>
    <w:p w14:paraId="73CCC2DD" w14:textId="77777777" w:rsidR="008E011D" w:rsidRDefault="008E011D" w:rsidP="008E011D">
      <w:pPr>
        <w:pStyle w:val="StandardWeb"/>
        <w:shd w:val="clear" w:color="auto" w:fill="FFFFFF"/>
        <w:rPr>
          <w:rFonts w:ascii="Arial" w:hAnsi="Arial" w:cs="Arial"/>
          <w:color w:val="444444"/>
          <w:sz w:val="21"/>
          <w:szCs w:val="21"/>
        </w:rPr>
      </w:pPr>
      <w:hyperlink r:id="rId13" w:tgtFrame="_blank" w:history="1">
        <w:r>
          <w:rPr>
            <w:rStyle w:val="Hyperlink"/>
            <w:rFonts w:ascii="Arial" w:hAnsi="Arial" w:cs="Arial"/>
            <w:sz w:val="21"/>
            <w:szCs w:val="21"/>
          </w:rPr>
          <w:t>Kippelemente, Kipppunkte: ein Überblick über die Risiken | VDI</w:t>
        </w:r>
      </w:hyperlink>
    </w:p>
    <w:p w14:paraId="115C8190" w14:textId="77777777" w:rsidR="008E011D" w:rsidRDefault="008E011D" w:rsidP="008E011D">
      <w:pPr>
        <w:pStyle w:val="StandardWeb"/>
        <w:shd w:val="clear" w:color="auto" w:fill="FFFFFF"/>
        <w:rPr>
          <w:rFonts w:ascii="Arial" w:hAnsi="Arial" w:cs="Arial"/>
          <w:color w:val="444444"/>
          <w:sz w:val="21"/>
          <w:szCs w:val="21"/>
        </w:rPr>
      </w:pPr>
      <w:hyperlink r:id="rId14" w:tgtFrame="_blank" w:history="1">
        <w:r>
          <w:rPr>
            <w:rStyle w:val="Hyperlink"/>
            <w:rFonts w:ascii="Arial" w:hAnsi="Arial" w:cs="Arial"/>
            <w:sz w:val="21"/>
            <w:szCs w:val="21"/>
          </w:rPr>
          <w:t>Wo das Eis schmilzt: die Klima-Kippelemente der Kryosphäre | VDI</w:t>
        </w:r>
      </w:hyperlink>
    </w:p>
    <w:p w14:paraId="24E32CBC" w14:textId="77777777" w:rsidR="008E011D" w:rsidRDefault="008E011D" w:rsidP="008E011D">
      <w:pPr>
        <w:pStyle w:val="StandardWeb"/>
        <w:shd w:val="clear" w:color="auto" w:fill="FFFFFF"/>
        <w:rPr>
          <w:rFonts w:ascii="Arial" w:hAnsi="Arial" w:cs="Arial"/>
          <w:color w:val="444444"/>
          <w:sz w:val="21"/>
          <w:szCs w:val="21"/>
        </w:rPr>
      </w:pPr>
      <w:hyperlink r:id="rId15" w:tgtFrame="_blank" w:history="1">
        <w:r>
          <w:rPr>
            <w:rStyle w:val="Hyperlink"/>
            <w:rFonts w:ascii="Arial" w:hAnsi="Arial" w:cs="Arial"/>
            <w:sz w:val="21"/>
            <w:szCs w:val="21"/>
          </w:rPr>
          <w:t>Meere vor dem Kipp-Punkt: die Hydrosphäre | VDI</w:t>
        </w:r>
      </w:hyperlink>
    </w:p>
    <w:p w14:paraId="3A37DD59" w14:textId="77777777" w:rsidR="008E011D" w:rsidRDefault="008E011D" w:rsidP="008E011D">
      <w:pPr>
        <w:pStyle w:val="StandardWeb"/>
        <w:shd w:val="clear" w:color="auto" w:fill="FFFFFF"/>
        <w:rPr>
          <w:rFonts w:ascii="Arial" w:hAnsi="Arial" w:cs="Arial"/>
          <w:color w:val="444444"/>
          <w:sz w:val="21"/>
          <w:szCs w:val="21"/>
        </w:rPr>
      </w:pPr>
      <w:hyperlink r:id="rId16" w:tgtFrame="_blank" w:history="1">
        <w:r>
          <w:rPr>
            <w:rStyle w:val="Hyperlink"/>
            <w:rFonts w:ascii="Arial" w:hAnsi="Arial" w:cs="Arial"/>
            <w:sz w:val="21"/>
            <w:szCs w:val="21"/>
          </w:rPr>
          <w:t>Die Klima-Kippelemente der Pedosphäre | VDI</w:t>
        </w:r>
      </w:hyperlink>
    </w:p>
    <w:p w14:paraId="0C3369E4" w14:textId="77777777" w:rsidR="008E011D" w:rsidRDefault="008E011D" w:rsidP="008E011D">
      <w:pPr>
        <w:pStyle w:val="StandardWeb"/>
        <w:shd w:val="clear" w:color="auto" w:fill="FFFFFF"/>
        <w:rPr>
          <w:rFonts w:ascii="Arial" w:hAnsi="Arial" w:cs="Arial"/>
          <w:color w:val="444444"/>
          <w:sz w:val="21"/>
          <w:szCs w:val="21"/>
        </w:rPr>
      </w:pPr>
      <w:hyperlink r:id="rId17" w:tgtFrame="_blank" w:history="1">
        <w:r>
          <w:rPr>
            <w:rStyle w:val="Hyperlink"/>
            <w:rFonts w:ascii="Arial" w:hAnsi="Arial" w:cs="Arial"/>
            <w:sz w:val="21"/>
            <w:szCs w:val="21"/>
          </w:rPr>
          <w:t>Wälder: Die Klima-Kippelemente der Biosphäre | VDI</w:t>
        </w:r>
      </w:hyperlink>
    </w:p>
    <w:p w14:paraId="2B71F90A" w14:textId="77777777" w:rsidR="008E011D" w:rsidRDefault="008E011D" w:rsidP="008E011D">
      <w:pPr>
        <w:pStyle w:val="StandardWeb"/>
        <w:shd w:val="clear" w:color="auto" w:fill="FFFFFF"/>
        <w:rPr>
          <w:rFonts w:ascii="Arial" w:hAnsi="Arial" w:cs="Arial"/>
          <w:color w:val="444444"/>
          <w:sz w:val="21"/>
          <w:szCs w:val="21"/>
        </w:rPr>
      </w:pPr>
      <w:hyperlink r:id="rId18" w:tgtFrame="_blank" w:history="1">
        <w:r>
          <w:rPr>
            <w:rStyle w:val="Hyperlink"/>
            <w:rFonts w:ascii="Arial" w:hAnsi="Arial" w:cs="Arial"/>
            <w:sz w:val="21"/>
            <w:szCs w:val="21"/>
          </w:rPr>
          <w:t>Dynamische Kaskadeneffekte und Rückkopplungen | VDI</w:t>
        </w:r>
      </w:hyperlink>
    </w:p>
    <w:p w14:paraId="4E6BCABA" w14:textId="77777777" w:rsidR="008E011D" w:rsidRDefault="008E011D" w:rsidP="008E011D">
      <w:pPr>
        <w:pStyle w:val="StandardWeb"/>
        <w:shd w:val="clear" w:color="auto" w:fill="FFFFFF"/>
        <w:rPr>
          <w:rFonts w:ascii="Arial" w:hAnsi="Arial" w:cs="Arial"/>
          <w:color w:val="444444"/>
          <w:sz w:val="21"/>
          <w:szCs w:val="21"/>
        </w:rPr>
      </w:pPr>
      <w:hyperlink r:id="rId19" w:tgtFrame="_blank" w:history="1">
        <w:r>
          <w:rPr>
            <w:rStyle w:val="Hyperlink"/>
            <w:rFonts w:ascii="Arial" w:hAnsi="Arial" w:cs="Arial"/>
            <w:sz w:val="21"/>
            <w:szCs w:val="21"/>
          </w:rPr>
          <w:t>Herausforderungen an die Klima- und Sicherheitspolitik | VDI</w:t>
        </w:r>
      </w:hyperlink>
    </w:p>
    <w:p w14:paraId="184D1019" w14:textId="77777777" w:rsidR="008E011D" w:rsidRPr="00F60863" w:rsidRDefault="008E011D" w:rsidP="008E011D">
      <w:pPr>
        <w:pStyle w:val="StandardWeb"/>
        <w:shd w:val="clear" w:color="auto" w:fill="FFFFFF"/>
        <w:rPr>
          <w:rFonts w:ascii="Nunito Sans Light" w:eastAsiaTheme="minorHAnsi" w:hAnsi="Nunito Sans Light" w:cs="Times New Roman (Textkörper CS)"/>
          <w:b/>
          <w:bCs/>
          <w:color w:val="000C19" w:themeColor="text1"/>
          <w:spacing w:val="4"/>
          <w:sz w:val="20"/>
          <w:lang w:val="en-GB" w:eastAsia="en-US"/>
        </w:rPr>
      </w:pPr>
      <w:r w:rsidRPr="00F60863">
        <w:rPr>
          <w:rFonts w:ascii="Nunito Sans Light" w:eastAsiaTheme="minorHAnsi" w:hAnsi="Nunito Sans Light" w:cs="Times New Roman (Textkörper CS)"/>
          <w:b/>
          <w:bCs/>
          <w:color w:val="000C19" w:themeColor="text1"/>
          <w:spacing w:val="4"/>
          <w:sz w:val="20"/>
          <w:lang w:val="en-GB" w:eastAsia="en-US"/>
        </w:rPr>
        <w:t>VDI als Gestalter der Zukunft</w:t>
      </w:r>
    </w:p>
    <w:p w14:paraId="16187748" w14:textId="01DEA9B4" w:rsidR="003E28E2" w:rsidRPr="00F60863" w:rsidRDefault="008E011D" w:rsidP="008E011D">
      <w:pPr>
        <w:pStyle w:val="StandardWeb"/>
        <w:shd w:val="clear" w:color="auto" w:fill="FFFFFF"/>
        <w:rPr>
          <w:rFonts w:ascii="Nunito Sans Light" w:eastAsiaTheme="minorHAnsi" w:hAnsi="Nunito Sans Light" w:cs="Times New Roman (Textkörper CS)"/>
          <w:color w:val="000C19" w:themeColor="text1"/>
          <w:spacing w:val="4"/>
          <w:sz w:val="20"/>
          <w:lang w:val="en-GB" w:eastAsia="en-US"/>
        </w:rPr>
      </w:pPr>
      <w:r w:rsidRPr="00F60863">
        <w:rPr>
          <w:rFonts w:ascii="Nunito Sans Light" w:eastAsiaTheme="minorHAnsi" w:hAnsi="Nunito Sans Light" w:cs="Times New Roman (Textkörper CS)"/>
          <w:color w:val="000C19" w:themeColor="text1"/>
          <w:spacing w:val="4"/>
          <w:sz w:val="20"/>
          <w:lang w:val="en-GB" w:eastAsia="en-US"/>
        </w:rPr>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43A4D3E8"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20836ACA" wp14:editId="6CA489FE">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214AF"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25624173" w14:textId="77777777" w:rsidR="00A81237" w:rsidRPr="00FE19D8" w:rsidRDefault="00A81237" w:rsidP="002D1159">
      <w:pPr>
        <w:pStyle w:val="EinfAbs"/>
        <w:rPr>
          <w:b/>
          <w:bCs/>
          <w:lang w:val="en-US"/>
        </w:rPr>
      </w:pPr>
    </w:p>
    <w:p w14:paraId="4575AE45" w14:textId="77777777" w:rsidR="002D1159" w:rsidRPr="002D1159" w:rsidRDefault="002D1159" w:rsidP="002D1159">
      <w:pPr>
        <w:pStyle w:val="EinfAbs"/>
        <w:rPr>
          <w:b/>
          <w:bCs/>
        </w:rPr>
      </w:pPr>
      <w:r w:rsidRPr="002D1159">
        <w:rPr>
          <w:b/>
          <w:bCs/>
        </w:rPr>
        <w:t>Fachlicher Ansprechpartner:</w:t>
      </w:r>
    </w:p>
    <w:p w14:paraId="66D450B7" w14:textId="2B96C304" w:rsidR="002D1159" w:rsidRDefault="008E011D" w:rsidP="002D1159">
      <w:pPr>
        <w:pStyle w:val="EinfAbs"/>
      </w:pPr>
      <w:r w:rsidRPr="008E011D">
        <w:t>Dipl.-Geogr. Catharina Fröhling</w:t>
      </w:r>
      <w:r w:rsidRPr="008E011D">
        <w:br/>
        <w:t>Koordinatorin Fokusthema Klimaanpassung</w:t>
      </w:r>
      <w:r w:rsidRPr="008E011D">
        <w:br/>
      </w:r>
      <w:r w:rsidRPr="008E011D">
        <w:lastRenderedPageBreak/>
        <w:t>VDI e.V.</w:t>
      </w:r>
      <w:r w:rsidRPr="008E011D">
        <w:br/>
        <w:t>Tel.: +49 211 6214-134</w:t>
      </w:r>
      <w:r w:rsidRPr="008E011D">
        <w:br/>
        <w:t>E-Mail: froehling@vdi.de</w:t>
      </w:r>
    </w:p>
    <w:p w14:paraId="7A2968D3" w14:textId="77777777" w:rsidR="002D1159" w:rsidRDefault="002D1159" w:rsidP="002D1159">
      <w:pPr>
        <w:pStyle w:val="EinfAbs"/>
      </w:pPr>
    </w:p>
    <w:p w14:paraId="039B55C6" w14:textId="77777777" w:rsidR="008E011D" w:rsidRPr="00B83A19" w:rsidRDefault="008E011D" w:rsidP="008E011D">
      <w:pPr>
        <w:pStyle w:val="StandardWeb"/>
        <w:shd w:val="clear" w:color="auto" w:fill="FFFFFF"/>
        <w:spacing w:before="240" w:beforeAutospacing="0" w:after="240" w:afterAutospacing="0"/>
        <w:rPr>
          <w:rFonts w:ascii="Nunito Sans Light" w:eastAsiaTheme="minorHAnsi" w:hAnsi="Nunito Sans Light" w:cs="Nunito Sans Light"/>
          <w:b/>
          <w:bCs/>
          <w:color w:val="000000"/>
          <w:spacing w:val="7"/>
          <w:lang w:eastAsia="en-US"/>
        </w:rPr>
      </w:pPr>
      <w:r w:rsidRPr="00B83A19">
        <w:rPr>
          <w:rFonts w:ascii="Nunito Sans Light" w:eastAsiaTheme="minorHAnsi" w:hAnsi="Nunito Sans Light" w:cs="Nunito Sans Light"/>
          <w:spacing w:val="7"/>
          <w:lang w:eastAsia="en-US"/>
        </w:rPr>
        <w:t>Hinweis an die Redaktion:</w:t>
      </w:r>
    </w:p>
    <w:p w14:paraId="7936311E" w14:textId="77777777" w:rsidR="008E011D" w:rsidRPr="00B83A19" w:rsidRDefault="008E011D" w:rsidP="008E011D">
      <w:pPr>
        <w:pStyle w:val="EinfAbs"/>
      </w:pPr>
      <w:r w:rsidRPr="00B83A19">
        <w:t>Ihre Ansprechpartnerin in der VDI-Pressestelle: Sarah Janczura, Telefon: +49 211 62 14- 641 × E-Mail: </w:t>
      </w:r>
      <w:hyperlink r:id="rId20" w:tgtFrame="_blank" w:history="1">
        <w:r w:rsidRPr="00B83A19">
          <w:t>presse@vdi.de</w:t>
        </w:r>
      </w:hyperlink>
    </w:p>
    <w:p w14:paraId="2C220854" w14:textId="7D9429F2" w:rsidR="00F34607" w:rsidRPr="002D1159" w:rsidRDefault="00F34607" w:rsidP="002D1159">
      <w:pPr>
        <w:pStyle w:val="EinfAbs"/>
      </w:pPr>
    </w:p>
    <w:sectPr w:rsidR="00F34607" w:rsidRPr="002D1159" w:rsidSect="00CC3F44">
      <w:headerReference w:type="even" r:id="rId21"/>
      <w:headerReference w:type="default" r:id="rId22"/>
      <w:headerReference w:type="first" r:id="rId23"/>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EF0B" w14:textId="77777777" w:rsidR="00FC2080" w:rsidRDefault="00FC2080" w:rsidP="000154AE">
      <w:pPr>
        <w:spacing w:line="240" w:lineRule="auto"/>
      </w:pPr>
      <w:r>
        <w:separator/>
      </w:r>
    </w:p>
  </w:endnote>
  <w:endnote w:type="continuationSeparator" w:id="0">
    <w:p w14:paraId="739265DB" w14:textId="77777777" w:rsidR="00FC2080" w:rsidRDefault="00FC2080"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8236" w14:textId="77777777" w:rsidR="00FC2080" w:rsidRDefault="00FC2080" w:rsidP="000154AE">
      <w:pPr>
        <w:spacing w:line="240" w:lineRule="auto"/>
      </w:pPr>
      <w:r>
        <w:separator/>
      </w:r>
    </w:p>
  </w:footnote>
  <w:footnote w:type="continuationSeparator" w:id="0">
    <w:p w14:paraId="115740A0" w14:textId="77777777" w:rsidR="00FC2080" w:rsidRDefault="00FC2080"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12590A70"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CF22AF9"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2C91F93B"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7131509"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67E5AF67" wp14:editId="7186E16D">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24FB"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5E82F8B9" wp14:editId="618CC139">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6FDD96C0" wp14:editId="22ED24EF">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1D"/>
    <w:rsid w:val="0000758A"/>
    <w:rsid w:val="000154AE"/>
    <w:rsid w:val="00024104"/>
    <w:rsid w:val="00031036"/>
    <w:rsid w:val="00044EB1"/>
    <w:rsid w:val="000468D5"/>
    <w:rsid w:val="00094B13"/>
    <w:rsid w:val="000C6435"/>
    <w:rsid w:val="000E7A69"/>
    <w:rsid w:val="00102189"/>
    <w:rsid w:val="00124ECD"/>
    <w:rsid w:val="001578A8"/>
    <w:rsid w:val="001642D2"/>
    <w:rsid w:val="001769D7"/>
    <w:rsid w:val="001B236A"/>
    <w:rsid w:val="001E4E1F"/>
    <w:rsid w:val="0020587F"/>
    <w:rsid w:val="0027036C"/>
    <w:rsid w:val="00277786"/>
    <w:rsid w:val="00287C8C"/>
    <w:rsid w:val="002909F5"/>
    <w:rsid w:val="002A597C"/>
    <w:rsid w:val="002A67AF"/>
    <w:rsid w:val="002D1159"/>
    <w:rsid w:val="002E5EAA"/>
    <w:rsid w:val="00317ACD"/>
    <w:rsid w:val="003212E0"/>
    <w:rsid w:val="0033319A"/>
    <w:rsid w:val="003358D5"/>
    <w:rsid w:val="00336851"/>
    <w:rsid w:val="003B0A27"/>
    <w:rsid w:val="003E28E2"/>
    <w:rsid w:val="00406901"/>
    <w:rsid w:val="004254B5"/>
    <w:rsid w:val="00487F00"/>
    <w:rsid w:val="004F08A3"/>
    <w:rsid w:val="004F0C93"/>
    <w:rsid w:val="00560BB7"/>
    <w:rsid w:val="00626989"/>
    <w:rsid w:val="00661D46"/>
    <w:rsid w:val="00665362"/>
    <w:rsid w:val="006868F2"/>
    <w:rsid w:val="006C628B"/>
    <w:rsid w:val="006C780C"/>
    <w:rsid w:val="006D358A"/>
    <w:rsid w:val="007219AD"/>
    <w:rsid w:val="00742C94"/>
    <w:rsid w:val="0074631E"/>
    <w:rsid w:val="007719E1"/>
    <w:rsid w:val="007E1A1A"/>
    <w:rsid w:val="00841004"/>
    <w:rsid w:val="008605DB"/>
    <w:rsid w:val="008B1EFE"/>
    <w:rsid w:val="008D3543"/>
    <w:rsid w:val="008E011D"/>
    <w:rsid w:val="008E18DD"/>
    <w:rsid w:val="00920E92"/>
    <w:rsid w:val="00946809"/>
    <w:rsid w:val="00952DED"/>
    <w:rsid w:val="00977999"/>
    <w:rsid w:val="00993EA1"/>
    <w:rsid w:val="009D6D69"/>
    <w:rsid w:val="009E7CB9"/>
    <w:rsid w:val="00A11C5C"/>
    <w:rsid w:val="00A64359"/>
    <w:rsid w:val="00A81237"/>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D02919"/>
    <w:rsid w:val="00D1309E"/>
    <w:rsid w:val="00D47C7C"/>
    <w:rsid w:val="00D64D5B"/>
    <w:rsid w:val="00D75FE7"/>
    <w:rsid w:val="00DC0179"/>
    <w:rsid w:val="00DD6ED4"/>
    <w:rsid w:val="00DE69E1"/>
    <w:rsid w:val="00E10445"/>
    <w:rsid w:val="00E75B81"/>
    <w:rsid w:val="00E820FA"/>
    <w:rsid w:val="00F03762"/>
    <w:rsid w:val="00F20096"/>
    <w:rsid w:val="00F34607"/>
    <w:rsid w:val="00F4614D"/>
    <w:rsid w:val="00F60863"/>
    <w:rsid w:val="00F86072"/>
    <w:rsid w:val="00F921BE"/>
    <w:rsid w:val="00FB6DD6"/>
    <w:rsid w:val="00FC2080"/>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3B227"/>
  <w15:chartTrackingRefBased/>
  <w15:docId w15:val="{A4067FD5-0D26-43A5-B354-A578B232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Fett">
    <w:name w:val="Strong"/>
    <w:basedOn w:val="Absatz-Standardschriftart"/>
    <w:uiPriority w:val="22"/>
    <w:qFormat/>
    <w:rsid w:val="008E011D"/>
    <w:rPr>
      <w:b/>
      <w:bCs/>
    </w:rPr>
  </w:style>
  <w:style w:type="paragraph" w:styleId="StandardWeb">
    <w:name w:val="Normal (Web)"/>
    <w:basedOn w:val="Standard"/>
    <w:uiPriority w:val="99"/>
    <w:unhideWhenUsed/>
    <w:rsid w:val="008E011D"/>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Hyperlink">
    <w:name w:val="Hyperlink"/>
    <w:basedOn w:val="Absatz-Standardschriftart"/>
    <w:uiPriority w:val="99"/>
    <w:semiHidden/>
    <w:unhideWhenUsed/>
    <w:rsid w:val="008E0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news/detail/kippelemente-kipppunkte-ein-ueberblick" TargetMode="External"/><Relationship Id="rId18" Type="http://schemas.openxmlformats.org/officeDocument/2006/relationships/hyperlink" Target="https://www.vdi.de/news/detail/dynamische-kaskadeneffekte-und-rueckkopplungen-der-dominoeffek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di.de/news/detail/anpassung-an-folgen-des-klimawandels-dringender-denn-je" TargetMode="External"/><Relationship Id="rId17" Type="http://schemas.openxmlformats.org/officeDocument/2006/relationships/hyperlink" Target="https://www.vdi.de/news/detail/waelder-die-klima-kippelemente-der-biosphae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di.de/news/detail/speicher-nicht-nur-fuer-treibhausgase-die-klima-kippelemente-der-pedosphaere" TargetMode="External"/><Relationship Id="rId20" Type="http://schemas.openxmlformats.org/officeDocument/2006/relationships/hyperlink" Target="mailto:presse@vd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di.de/themen/klima-innovation-anpassu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di.de/news/detail/meere-vor-dem-kipp-punkt-die-hydrosphaer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di.de/news/detail/herausforderungen-an-die-klima-und-sicherheitspoliti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i.de/news/detail/wo-das-eis-schmilzt-die-klima-kippelemente-der-kryosphaer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677</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2</cp:revision>
  <cp:lastPrinted>2022-05-31T16:46:00Z</cp:lastPrinted>
  <dcterms:created xsi:type="dcterms:W3CDTF">2025-01-15T07:17:00Z</dcterms:created>
  <dcterms:modified xsi:type="dcterms:W3CDTF">2025-01-15T07:21:00Z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