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8790" w:tblpY="2649"/>
        <w:tblOverlap w:val="never"/>
        <w:tblW w:w="0" w:type="auto"/>
        <w:tblLayout w:type="fixed"/>
        <w:tblCellMar>
          <w:left w:w="284" w:type="dxa"/>
          <w:right w:w="70" w:type="dxa"/>
        </w:tblCellMar>
        <w:tblLook w:val="0000" w:firstRow="0" w:lastRow="0" w:firstColumn="0" w:lastColumn="0" w:noHBand="0" w:noVBand="0"/>
      </w:tblPr>
      <w:tblGrid>
        <w:gridCol w:w="3119"/>
      </w:tblGrid>
      <w:tr w:rsidR="007D0F34" w14:paraId="2DA1A617" w14:textId="77777777" w:rsidTr="00237679">
        <w:trPr>
          <w:cantSplit/>
          <w:trHeight w:hRule="exact" w:val="2268"/>
        </w:trPr>
        <w:tc>
          <w:tcPr>
            <w:tcW w:w="3119" w:type="dxa"/>
          </w:tcPr>
          <w:p w14:paraId="33D9947C" w14:textId="77777777" w:rsidR="007D0F34" w:rsidRDefault="007D0F34">
            <w:pPr>
              <w:pStyle w:val="Dokumentdaten"/>
            </w:pPr>
            <w:r>
              <w:t>Technische Universität</w:t>
            </w:r>
          </w:p>
          <w:p w14:paraId="3D22337C" w14:textId="77777777" w:rsidR="007D0F34" w:rsidRDefault="007D0F34">
            <w:pPr>
              <w:pStyle w:val="Dokumentdaten"/>
            </w:pPr>
            <w:r>
              <w:t>Braunschweig</w:t>
            </w:r>
          </w:p>
          <w:p w14:paraId="641DFF1A" w14:textId="77777777" w:rsidR="007D0F34" w:rsidRDefault="00FF5A9D">
            <w:pPr>
              <w:pStyle w:val="Dokumentdaten"/>
              <w:rPr>
                <w:b/>
              </w:rPr>
            </w:pPr>
            <w:r>
              <w:rPr>
                <w:b/>
              </w:rPr>
              <w:t>Institut für Bioverfahrenstechnik</w:t>
            </w:r>
          </w:p>
          <w:p w14:paraId="169FE9FA" w14:textId="45930E00" w:rsidR="007D0F34" w:rsidRDefault="00237679">
            <w:pPr>
              <w:pStyle w:val="Dokumentdaten"/>
            </w:pPr>
            <w:r>
              <w:t>Rebenring 56</w:t>
            </w:r>
            <w:r w:rsidR="00D95992">
              <w:br/>
            </w:r>
            <w:r w:rsidR="00FF5A9D">
              <w:t>38106 Braunschweig</w:t>
            </w:r>
          </w:p>
          <w:p w14:paraId="0FDFDC7D" w14:textId="4F70E82C" w:rsidR="007D0F34" w:rsidRDefault="007D0F34">
            <w:pPr>
              <w:pStyle w:val="Dokumentdaten"/>
            </w:pPr>
          </w:p>
          <w:p w14:paraId="3987B195" w14:textId="25B4738D" w:rsidR="00237679" w:rsidRDefault="00237679">
            <w:pPr>
              <w:pStyle w:val="Dokumentdaten"/>
            </w:pPr>
          </w:p>
          <w:p w14:paraId="4D5736BD" w14:textId="77777777" w:rsidR="00237679" w:rsidRDefault="00237679">
            <w:pPr>
              <w:pStyle w:val="Dokumentdaten"/>
            </w:pPr>
          </w:p>
          <w:p w14:paraId="4B777A27" w14:textId="77777777" w:rsidR="00237679" w:rsidRDefault="00237679">
            <w:pPr>
              <w:pStyle w:val="Dokumentdaten"/>
            </w:pPr>
          </w:p>
          <w:p w14:paraId="45DC4075" w14:textId="71E43F3D" w:rsidR="00F35A96" w:rsidRDefault="00146214" w:rsidP="00F35A96">
            <w:pPr>
              <w:pStyle w:val="Dokumentdaten"/>
            </w:pPr>
            <w:r>
              <w:rPr>
                <w:sz w:val="22"/>
              </w:rPr>
              <w:t>02. Juni 2026</w:t>
            </w:r>
          </w:p>
        </w:tc>
      </w:tr>
    </w:tbl>
    <w:tbl>
      <w:tblPr>
        <w:tblW w:w="0" w:type="auto"/>
        <w:tblCellMar>
          <w:left w:w="70" w:type="dxa"/>
          <w:right w:w="70" w:type="dxa"/>
        </w:tblCellMar>
        <w:tblLook w:val="0000" w:firstRow="0" w:lastRow="0" w:firstColumn="0" w:lastColumn="0" w:noHBand="0" w:noVBand="0"/>
      </w:tblPr>
      <w:tblGrid>
        <w:gridCol w:w="6663"/>
      </w:tblGrid>
      <w:tr w:rsidR="007D0F34" w:rsidRPr="00F01C33" w14:paraId="665B6CC7" w14:textId="77777777" w:rsidTr="00260389">
        <w:trPr>
          <w:trHeight w:val="1871"/>
        </w:trPr>
        <w:tc>
          <w:tcPr>
            <w:tcW w:w="6663" w:type="dxa"/>
          </w:tcPr>
          <w:p w14:paraId="18BD6644" w14:textId="3B1FDCB7" w:rsidR="00F01C33" w:rsidRPr="00AB2F19" w:rsidRDefault="00F01C33" w:rsidP="00F01C33">
            <w:pPr>
              <w:spacing w:after="0" w:line="240" w:lineRule="auto"/>
              <w:rPr>
                <w:b/>
                <w:kern w:val="0"/>
                <w:sz w:val="24"/>
              </w:rPr>
            </w:pPr>
            <w:r w:rsidRPr="00AB2F19">
              <w:rPr>
                <w:b/>
                <w:kern w:val="0"/>
                <w:sz w:val="24"/>
              </w:rPr>
              <w:t>Presseerklärung</w:t>
            </w:r>
          </w:p>
          <w:p w14:paraId="7648EA8F" w14:textId="438F2492" w:rsidR="00AB77DF" w:rsidRPr="00F01C33" w:rsidRDefault="00F01C33" w:rsidP="00B23063">
            <w:pPr>
              <w:spacing w:after="0" w:line="240" w:lineRule="auto"/>
              <w:rPr>
                <w:b/>
                <w:kern w:val="0"/>
                <w:sz w:val="24"/>
              </w:rPr>
            </w:pPr>
            <w:r w:rsidRPr="00AB2F19">
              <w:rPr>
                <w:b/>
                <w:kern w:val="0"/>
                <w:sz w:val="24"/>
              </w:rPr>
              <w:br/>
              <w:t xml:space="preserve">zur </w:t>
            </w:r>
            <w:r>
              <w:rPr>
                <w:b/>
                <w:kern w:val="0"/>
                <w:sz w:val="24"/>
              </w:rPr>
              <w:t xml:space="preserve">Inbetriebnahme eines Tellerseparators der GEA Group </w:t>
            </w:r>
            <w:r w:rsidR="00D02F07">
              <w:rPr>
                <w:b/>
                <w:kern w:val="0"/>
                <w:sz w:val="24"/>
              </w:rPr>
              <w:t>am Zentrum für Pharmaverfahrenstechnik (PVZ) der TU Braunschweig</w:t>
            </w:r>
            <w:r w:rsidR="00AB77DF" w:rsidRPr="00F01C33">
              <w:rPr>
                <w:b/>
                <w:kern w:val="0"/>
                <w:sz w:val="24"/>
              </w:rPr>
              <w:br/>
            </w:r>
          </w:p>
        </w:tc>
      </w:tr>
    </w:tbl>
    <w:p w14:paraId="42C48BEE" w14:textId="77777777" w:rsidR="00260389" w:rsidRPr="00F01C33" w:rsidRDefault="00260389" w:rsidP="00C07E0A">
      <w:pPr>
        <w:pStyle w:val="Zitat"/>
        <w:spacing w:line="360" w:lineRule="auto"/>
        <w:ind w:left="0" w:right="567"/>
        <w:jc w:val="both"/>
        <w:rPr>
          <w:i w:val="0"/>
          <w:iCs w:val="0"/>
          <w:color w:val="auto"/>
          <w:kern w:val="0"/>
          <w:sz w:val="2"/>
        </w:rPr>
      </w:pPr>
    </w:p>
    <w:p w14:paraId="2F0D98DF" w14:textId="77777777" w:rsidR="005F5E7C" w:rsidRDefault="00F01C33">
      <w:pPr>
        <w:spacing w:line="360" w:lineRule="auto"/>
        <w:rPr>
          <w:b/>
          <w:sz w:val="28"/>
        </w:rPr>
      </w:pPr>
      <w:r w:rsidRPr="00F01C33">
        <w:rPr>
          <w:b/>
          <w:sz w:val="28"/>
        </w:rPr>
        <w:t xml:space="preserve">Schlüsseltechnologie für Bioprozesse: Das </w:t>
      </w:r>
      <w:r w:rsidR="00EE10E4">
        <w:rPr>
          <w:b/>
          <w:sz w:val="28"/>
        </w:rPr>
        <w:t>Zentrum für Pharmaverfahrenstechnik</w:t>
      </w:r>
      <w:r w:rsidRPr="00F01C33">
        <w:rPr>
          <w:b/>
          <w:sz w:val="28"/>
        </w:rPr>
        <w:t xml:space="preserve"> der TU Braunschweig erweitert seine Kapazitäten durch einen </w:t>
      </w:r>
      <w:r w:rsidR="00291A31">
        <w:rPr>
          <w:b/>
          <w:sz w:val="28"/>
        </w:rPr>
        <w:t>GEA-T</w:t>
      </w:r>
      <w:r w:rsidRPr="00F01C33">
        <w:rPr>
          <w:b/>
          <w:sz w:val="28"/>
        </w:rPr>
        <w:t xml:space="preserve">ellerseparator </w:t>
      </w:r>
      <w:r w:rsidR="002142B4">
        <w:rPr>
          <w:b/>
          <w:sz w:val="28"/>
        </w:rPr>
        <w:t>und Homogenisator</w:t>
      </w:r>
    </w:p>
    <w:p w14:paraId="66846DB3" w14:textId="4DC9552D" w:rsidR="00F01C33" w:rsidRPr="0086190D" w:rsidRDefault="00220547" w:rsidP="0050436C">
      <w:pPr>
        <w:spacing w:after="120" w:line="276" w:lineRule="auto"/>
        <w:jc w:val="both"/>
        <w:rPr>
          <w:sz w:val="22"/>
        </w:rPr>
      </w:pPr>
      <w:r w:rsidRPr="0086190D">
        <w:rPr>
          <w:b/>
          <w:sz w:val="22"/>
        </w:rPr>
        <w:t>Düsseldorf/</w:t>
      </w:r>
      <w:r w:rsidR="00F01C33" w:rsidRPr="0086190D">
        <w:rPr>
          <w:b/>
          <w:sz w:val="22"/>
        </w:rPr>
        <w:t xml:space="preserve">Braunschweig, </w:t>
      </w:r>
      <w:r w:rsidR="00291A31">
        <w:rPr>
          <w:b/>
          <w:sz w:val="22"/>
        </w:rPr>
        <w:t>2.</w:t>
      </w:r>
      <w:r w:rsidR="00146214">
        <w:rPr>
          <w:b/>
          <w:sz w:val="22"/>
        </w:rPr>
        <w:t xml:space="preserve"> </w:t>
      </w:r>
      <w:r w:rsidR="00291A31">
        <w:rPr>
          <w:b/>
          <w:sz w:val="22"/>
        </w:rPr>
        <w:t xml:space="preserve">Juni </w:t>
      </w:r>
      <w:r w:rsidR="00F01C33" w:rsidRPr="0086190D">
        <w:rPr>
          <w:b/>
          <w:sz w:val="22"/>
        </w:rPr>
        <w:t>2025</w:t>
      </w:r>
      <w:r w:rsidR="00F01C33" w:rsidRPr="0086190D">
        <w:rPr>
          <w:sz w:val="22"/>
        </w:rPr>
        <w:t xml:space="preserve"> – Fortschritte in der biopharmazeutischen Forschung erfordern eine kontinuierliche Weiterentwicklung der technischen Infrastruktur. Eine effiziente und präzise </w:t>
      </w:r>
      <w:r w:rsidR="000A266B">
        <w:rPr>
          <w:sz w:val="22"/>
        </w:rPr>
        <w:t>Abt</w:t>
      </w:r>
      <w:r w:rsidR="00F01C33" w:rsidRPr="0086190D">
        <w:rPr>
          <w:sz w:val="22"/>
        </w:rPr>
        <w:t xml:space="preserve">rennung </w:t>
      </w:r>
      <w:r w:rsidR="000A266B">
        <w:rPr>
          <w:sz w:val="22"/>
        </w:rPr>
        <w:t>der</w:t>
      </w:r>
      <w:r w:rsidR="000A266B" w:rsidRPr="0086190D">
        <w:rPr>
          <w:sz w:val="22"/>
        </w:rPr>
        <w:t xml:space="preserve"> </w:t>
      </w:r>
      <w:r w:rsidR="00F01C33" w:rsidRPr="0086190D">
        <w:rPr>
          <w:sz w:val="22"/>
        </w:rPr>
        <w:t xml:space="preserve">Zellen </w:t>
      </w:r>
      <w:r w:rsidR="000A266B">
        <w:rPr>
          <w:sz w:val="22"/>
        </w:rPr>
        <w:t>von</w:t>
      </w:r>
      <w:r w:rsidR="00EE10E4">
        <w:rPr>
          <w:sz w:val="22"/>
        </w:rPr>
        <w:t xml:space="preserve"> Kulturüberständen</w:t>
      </w:r>
      <w:r w:rsidR="00F01C33" w:rsidRPr="0086190D">
        <w:rPr>
          <w:sz w:val="22"/>
        </w:rPr>
        <w:t xml:space="preserve"> ist dabei ein entscheidender Schritt in biotechnologischen Prozessen. Um diese Herausforderungen zu meistern, erweitert das Zentrum für Pharmaverfahrenstechnik (PVZ) der Technischen Universität Braunschweig sein Biotechnikum um einen hochmodernen</w:t>
      </w:r>
      <w:r w:rsidR="009119CA">
        <w:rPr>
          <w:sz w:val="22"/>
        </w:rPr>
        <w:t xml:space="preserve"> </w:t>
      </w:r>
      <w:r w:rsidR="00F01C33" w:rsidRPr="0086190D">
        <w:rPr>
          <w:sz w:val="22"/>
        </w:rPr>
        <w:t>Tellerseparator</w:t>
      </w:r>
      <w:r w:rsidR="00B34E9E">
        <w:rPr>
          <w:sz w:val="22"/>
        </w:rPr>
        <w:t xml:space="preserve"> </w:t>
      </w:r>
      <w:r w:rsidR="00291A31">
        <w:rPr>
          <w:sz w:val="22"/>
        </w:rPr>
        <w:t>des Maschinen- und Anlagenbauers sowie Lösungsanbieter</w:t>
      </w:r>
      <w:r w:rsidR="00B34E9E">
        <w:rPr>
          <w:sz w:val="22"/>
        </w:rPr>
        <w:t xml:space="preserve"> GEA</w:t>
      </w:r>
      <w:r w:rsidR="00291A31">
        <w:rPr>
          <w:sz w:val="22"/>
        </w:rPr>
        <w:t xml:space="preserve">. </w:t>
      </w:r>
      <w:r w:rsidR="00F01C33" w:rsidRPr="0086190D">
        <w:rPr>
          <w:sz w:val="22"/>
        </w:rPr>
        <w:t xml:space="preserve"> </w:t>
      </w:r>
      <w:r w:rsidRPr="0086190D">
        <w:rPr>
          <w:sz w:val="22"/>
        </w:rPr>
        <w:t xml:space="preserve">Mit der Lieferung des </w:t>
      </w:r>
      <w:r w:rsidR="0086190D">
        <w:rPr>
          <w:sz w:val="22"/>
        </w:rPr>
        <w:t>Geräts</w:t>
      </w:r>
      <w:r w:rsidRPr="0086190D">
        <w:rPr>
          <w:sz w:val="22"/>
        </w:rPr>
        <w:t xml:space="preserve"> unterstützt GEA die biopharmazeutische Forschung am </w:t>
      </w:r>
      <w:r w:rsidR="0086190D">
        <w:rPr>
          <w:sz w:val="22"/>
        </w:rPr>
        <w:t>PVZ</w:t>
      </w:r>
      <w:r w:rsidRPr="0086190D">
        <w:rPr>
          <w:sz w:val="22"/>
        </w:rPr>
        <w:t xml:space="preserve">. Zum Einsatz wird ein </w:t>
      </w:r>
      <w:r w:rsidRPr="000A266B">
        <w:rPr>
          <w:i/>
          <w:sz w:val="22"/>
        </w:rPr>
        <w:t>Pathfinder</w:t>
      </w:r>
      <w:r w:rsidRPr="0086190D">
        <w:rPr>
          <w:sz w:val="22"/>
        </w:rPr>
        <w:t xml:space="preserve"> </w:t>
      </w:r>
      <w:r w:rsidR="00E464BF">
        <w:rPr>
          <w:sz w:val="22"/>
        </w:rPr>
        <w:t xml:space="preserve">(zu Deutsch „Wegbereiter“ mit </w:t>
      </w:r>
      <w:r w:rsidRPr="0086190D">
        <w:rPr>
          <w:sz w:val="22"/>
        </w:rPr>
        <w:t xml:space="preserve">einer Durchsatzleistung von bis zu </w:t>
      </w:r>
      <w:r w:rsidR="00755BDE">
        <w:rPr>
          <w:sz w:val="22"/>
        </w:rPr>
        <w:t>2</w:t>
      </w:r>
      <w:r w:rsidRPr="0086190D">
        <w:rPr>
          <w:sz w:val="22"/>
        </w:rPr>
        <w:t>00</w:t>
      </w:r>
      <w:r w:rsidR="00A04373">
        <w:rPr>
          <w:sz w:val="22"/>
        </w:rPr>
        <w:t> L</w:t>
      </w:r>
      <w:r w:rsidRPr="0086190D">
        <w:rPr>
          <w:sz w:val="22"/>
        </w:rPr>
        <w:t>/h kommen.</w:t>
      </w:r>
      <w:r w:rsidR="0086190D" w:rsidRPr="0086190D">
        <w:rPr>
          <w:sz w:val="22"/>
        </w:rPr>
        <w:t xml:space="preserve"> Der </w:t>
      </w:r>
      <w:r w:rsidR="0086190D" w:rsidRPr="000A266B">
        <w:rPr>
          <w:i/>
          <w:sz w:val="22"/>
        </w:rPr>
        <w:t xml:space="preserve">Pathfinder </w:t>
      </w:r>
      <w:r w:rsidR="0086190D" w:rsidRPr="0086190D">
        <w:rPr>
          <w:sz w:val="22"/>
        </w:rPr>
        <w:t xml:space="preserve">ist speziell für Anwendungen in </w:t>
      </w:r>
      <w:r w:rsidR="00B34E9E">
        <w:rPr>
          <w:sz w:val="22"/>
        </w:rPr>
        <w:t>bio</w:t>
      </w:r>
      <w:r w:rsidR="0086190D" w:rsidRPr="0086190D">
        <w:rPr>
          <w:sz w:val="22"/>
        </w:rPr>
        <w:t>pharmazeutischen Pilotanlagen</w:t>
      </w:r>
      <w:r w:rsidR="0086190D" w:rsidRPr="0086190D" w:rsidDel="0076037F">
        <w:rPr>
          <w:sz w:val="22"/>
        </w:rPr>
        <w:t xml:space="preserve"> </w:t>
      </w:r>
      <w:r w:rsidR="0086190D" w:rsidRPr="0086190D">
        <w:rPr>
          <w:sz w:val="22"/>
        </w:rPr>
        <w:t>ausgelegt</w:t>
      </w:r>
      <w:r w:rsidR="0071734E">
        <w:rPr>
          <w:sz w:val="22"/>
        </w:rPr>
        <w:t xml:space="preserve"> und </w:t>
      </w:r>
      <w:r w:rsidR="00B34E9E">
        <w:rPr>
          <w:sz w:val="22"/>
        </w:rPr>
        <w:t>wird</w:t>
      </w:r>
      <w:r w:rsidR="0071734E">
        <w:rPr>
          <w:sz w:val="22"/>
        </w:rPr>
        <w:t xml:space="preserve"> auch hier neue Wege in der </w:t>
      </w:r>
      <w:r w:rsidR="00B34E9E">
        <w:rPr>
          <w:sz w:val="22"/>
        </w:rPr>
        <w:t>Biov</w:t>
      </w:r>
      <w:r w:rsidR="0071734E">
        <w:rPr>
          <w:sz w:val="22"/>
        </w:rPr>
        <w:t>erfahrenstechnik erschließen</w:t>
      </w:r>
      <w:r w:rsidR="0086190D" w:rsidRPr="0086190D">
        <w:rPr>
          <w:sz w:val="22"/>
        </w:rPr>
        <w:t>.</w:t>
      </w:r>
    </w:p>
    <w:p w14:paraId="24F6ADCD" w14:textId="37611D6F" w:rsidR="000F6547" w:rsidRPr="0086190D" w:rsidRDefault="000F6547" w:rsidP="0050436C">
      <w:pPr>
        <w:spacing w:after="120" w:line="276" w:lineRule="auto"/>
        <w:jc w:val="both"/>
        <w:rPr>
          <w:b/>
          <w:bCs/>
          <w:color w:val="000000" w:themeColor="text1"/>
          <w:sz w:val="22"/>
        </w:rPr>
      </w:pPr>
      <w:r w:rsidRPr="0086190D">
        <w:rPr>
          <w:b/>
          <w:bCs/>
          <w:color w:val="000000" w:themeColor="text1"/>
          <w:sz w:val="22"/>
        </w:rPr>
        <w:t xml:space="preserve">Forschungsarbeit des PVZ </w:t>
      </w:r>
      <w:r w:rsidR="00AB10ED">
        <w:rPr>
          <w:b/>
          <w:bCs/>
          <w:color w:val="000000" w:themeColor="text1"/>
          <w:sz w:val="22"/>
        </w:rPr>
        <w:t xml:space="preserve">der TU </w:t>
      </w:r>
      <w:r w:rsidRPr="0086190D">
        <w:rPr>
          <w:b/>
          <w:bCs/>
          <w:color w:val="000000" w:themeColor="text1"/>
          <w:sz w:val="22"/>
        </w:rPr>
        <w:t>Braunschweig wichtig für die Weiterentwicklung moderner Medizin und Pharmazeutik</w:t>
      </w:r>
    </w:p>
    <w:p w14:paraId="73FC2B83" w14:textId="3F07CAC5" w:rsidR="00F01C33" w:rsidRPr="0086190D" w:rsidRDefault="00F01C33" w:rsidP="0050436C">
      <w:pPr>
        <w:spacing w:after="120" w:line="276" w:lineRule="auto"/>
        <w:jc w:val="both"/>
        <w:rPr>
          <w:sz w:val="22"/>
        </w:rPr>
      </w:pPr>
      <w:r w:rsidRPr="0086190D">
        <w:rPr>
          <w:sz w:val="22"/>
        </w:rPr>
        <w:t xml:space="preserve">Das PVZ ist ein interdisziplinäres Forschungszentrum, in dem </w:t>
      </w:r>
      <w:r w:rsidR="0071734E">
        <w:rPr>
          <w:sz w:val="22"/>
        </w:rPr>
        <w:t>rund 100</w:t>
      </w:r>
      <w:r w:rsidRPr="0086190D">
        <w:rPr>
          <w:sz w:val="22"/>
        </w:rPr>
        <w:t xml:space="preserve"> Wissenschaftlerinnen und Wissenschaftler aus </w:t>
      </w:r>
      <w:r w:rsidR="00AB10ED">
        <w:rPr>
          <w:sz w:val="22"/>
        </w:rPr>
        <w:t>der V</w:t>
      </w:r>
      <w:r w:rsidRPr="0086190D">
        <w:rPr>
          <w:sz w:val="22"/>
        </w:rPr>
        <w:t xml:space="preserve">erfahrenstechnik, Biotechnologie </w:t>
      </w:r>
      <w:r w:rsidR="00AB10ED">
        <w:rPr>
          <w:sz w:val="22"/>
        </w:rPr>
        <w:t xml:space="preserve">und Pharmazie </w:t>
      </w:r>
      <w:r w:rsidRPr="0086190D">
        <w:rPr>
          <w:sz w:val="22"/>
        </w:rPr>
        <w:t xml:space="preserve">und weiteren Natur- und Ingenieurwissenschaften zusammenarbeiten. Ziel ist die Entwicklung und Optimierung von Herstellungsprozessen für innovative </w:t>
      </w:r>
      <w:r w:rsidR="00AB10ED">
        <w:rPr>
          <w:sz w:val="22"/>
        </w:rPr>
        <w:t>bio</w:t>
      </w:r>
      <w:r w:rsidRPr="0086190D">
        <w:rPr>
          <w:sz w:val="22"/>
        </w:rPr>
        <w:t>pharmazeutische Produkte, die individuell auf Patienten abgestimmt werden können.</w:t>
      </w:r>
      <w:r w:rsidR="0086190D">
        <w:rPr>
          <w:sz w:val="22"/>
        </w:rPr>
        <w:t xml:space="preserve"> </w:t>
      </w:r>
      <w:r w:rsidRPr="0086190D">
        <w:rPr>
          <w:sz w:val="22"/>
        </w:rPr>
        <w:t xml:space="preserve">Ein wesentlicher Schwerpunkt </w:t>
      </w:r>
      <w:r w:rsidR="002353E5">
        <w:rPr>
          <w:sz w:val="22"/>
        </w:rPr>
        <w:t xml:space="preserve">der Abteilung </w:t>
      </w:r>
      <w:r w:rsidR="002353E5" w:rsidRPr="000A266B">
        <w:rPr>
          <w:i/>
          <w:sz w:val="22"/>
        </w:rPr>
        <w:t>Pharmazeutisch-biologischen Prozesstechnik</w:t>
      </w:r>
      <w:r w:rsidR="002353E5">
        <w:rPr>
          <w:sz w:val="22"/>
        </w:rPr>
        <w:t xml:space="preserve"> </w:t>
      </w:r>
      <w:r w:rsidRPr="0086190D">
        <w:rPr>
          <w:sz w:val="22"/>
        </w:rPr>
        <w:t xml:space="preserve">des PVZ liegt auf biotechnologischen Verfahren, die in der Produktion von Wirkstoffen wie therapeutischen Proteinen, Antikörpern für die Immuntherapie, Enzymen für die industrielle Biokatalyse und der biotechnologischen Herstellung von </w:t>
      </w:r>
      <w:r w:rsidR="002353E5">
        <w:rPr>
          <w:sz w:val="22"/>
        </w:rPr>
        <w:t xml:space="preserve">neuen </w:t>
      </w:r>
      <w:r w:rsidRPr="0086190D">
        <w:rPr>
          <w:sz w:val="22"/>
        </w:rPr>
        <w:t>Antibiotika Anwendung</w:t>
      </w:r>
      <w:r w:rsidR="002353E5">
        <w:rPr>
          <w:sz w:val="22"/>
        </w:rPr>
        <w:t>en</w:t>
      </w:r>
      <w:r w:rsidRPr="0086190D">
        <w:rPr>
          <w:sz w:val="22"/>
        </w:rPr>
        <w:t xml:space="preserve"> finden. Diese Verfahren sind essenziell für die moderne Medizin und pharmazeutische Industrie.</w:t>
      </w:r>
    </w:p>
    <w:p w14:paraId="4A5DE1B7" w14:textId="77777777" w:rsidR="0059260D" w:rsidRDefault="0059260D" w:rsidP="0050436C">
      <w:pPr>
        <w:autoSpaceDE w:val="0"/>
        <w:autoSpaceDN w:val="0"/>
        <w:spacing w:after="120" w:line="276" w:lineRule="auto"/>
        <w:jc w:val="both"/>
        <w:rPr>
          <w:b/>
          <w:bCs/>
          <w:color w:val="000000" w:themeColor="text1"/>
          <w:sz w:val="22"/>
        </w:rPr>
      </w:pPr>
    </w:p>
    <w:p w14:paraId="4260CF3D" w14:textId="77777777" w:rsidR="0059260D" w:rsidRDefault="0059260D" w:rsidP="0050436C">
      <w:pPr>
        <w:autoSpaceDE w:val="0"/>
        <w:autoSpaceDN w:val="0"/>
        <w:spacing w:after="120" w:line="276" w:lineRule="auto"/>
        <w:jc w:val="both"/>
        <w:rPr>
          <w:b/>
          <w:bCs/>
          <w:color w:val="000000" w:themeColor="text1"/>
          <w:sz w:val="22"/>
        </w:rPr>
      </w:pPr>
    </w:p>
    <w:p w14:paraId="533CCDB0" w14:textId="6740F76C" w:rsidR="0086190D" w:rsidRDefault="00220547" w:rsidP="0050436C">
      <w:pPr>
        <w:autoSpaceDE w:val="0"/>
        <w:autoSpaceDN w:val="0"/>
        <w:spacing w:after="120" w:line="276" w:lineRule="auto"/>
        <w:jc w:val="both"/>
        <w:rPr>
          <w:b/>
          <w:bCs/>
          <w:color w:val="000000" w:themeColor="text1"/>
          <w:sz w:val="22"/>
        </w:rPr>
      </w:pPr>
      <w:r w:rsidRPr="0086190D">
        <w:rPr>
          <w:b/>
          <w:bCs/>
          <w:color w:val="000000" w:themeColor="text1"/>
          <w:sz w:val="22"/>
        </w:rPr>
        <w:lastRenderedPageBreak/>
        <w:t>GEA</w:t>
      </w:r>
      <w:r w:rsidR="002353E5">
        <w:rPr>
          <w:b/>
          <w:bCs/>
          <w:color w:val="000000" w:themeColor="text1"/>
          <w:sz w:val="22"/>
        </w:rPr>
        <w:t>-</w:t>
      </w:r>
      <w:r w:rsidRPr="0086190D">
        <w:rPr>
          <w:b/>
          <w:bCs/>
          <w:color w:val="000000" w:themeColor="text1"/>
          <w:sz w:val="22"/>
        </w:rPr>
        <w:t>Homogenisator PANDA im PVZ bereits erfolgreich im Einsatz</w:t>
      </w:r>
    </w:p>
    <w:p w14:paraId="38D595E7" w14:textId="531F695C" w:rsidR="00220547" w:rsidRPr="0086190D" w:rsidRDefault="002142B4" w:rsidP="0050436C">
      <w:pPr>
        <w:autoSpaceDE w:val="0"/>
        <w:autoSpaceDN w:val="0"/>
        <w:spacing w:after="120" w:line="276" w:lineRule="auto"/>
        <w:jc w:val="both"/>
        <w:rPr>
          <w:sz w:val="22"/>
        </w:rPr>
      </w:pPr>
      <w:r>
        <w:rPr>
          <w:sz w:val="22"/>
        </w:rPr>
        <w:t xml:space="preserve">Vor einiger Zeit </w:t>
      </w:r>
      <w:r w:rsidR="00220547" w:rsidRPr="0086190D">
        <w:rPr>
          <w:sz w:val="22"/>
        </w:rPr>
        <w:t>hatte GEA an das PVZ einen H</w:t>
      </w:r>
      <w:r w:rsidR="0071734E">
        <w:rPr>
          <w:sz w:val="22"/>
        </w:rPr>
        <w:t>o</w:t>
      </w:r>
      <w:r w:rsidR="00220547" w:rsidRPr="0086190D">
        <w:rPr>
          <w:sz w:val="22"/>
        </w:rPr>
        <w:t xml:space="preserve">chdruckhomogenisator </w:t>
      </w:r>
      <w:r w:rsidR="00220547" w:rsidRPr="005F5E7C">
        <w:rPr>
          <w:iCs/>
          <w:sz w:val="22"/>
        </w:rPr>
        <w:t>PANDA PLUS</w:t>
      </w:r>
      <w:r w:rsidR="00220547" w:rsidRPr="002142B4">
        <w:rPr>
          <w:iCs/>
          <w:sz w:val="22"/>
        </w:rPr>
        <w:t xml:space="preserve"> </w:t>
      </w:r>
      <w:r w:rsidR="00220547" w:rsidRPr="0086190D">
        <w:rPr>
          <w:sz w:val="22"/>
        </w:rPr>
        <w:t xml:space="preserve">geliefert. Der </w:t>
      </w:r>
      <w:r w:rsidR="00220547" w:rsidRPr="005F5E7C">
        <w:rPr>
          <w:iCs/>
          <w:sz w:val="22"/>
        </w:rPr>
        <w:t>PANDA</w:t>
      </w:r>
      <w:r w:rsidR="00220547" w:rsidRPr="002142B4">
        <w:rPr>
          <w:iCs/>
          <w:sz w:val="22"/>
        </w:rPr>
        <w:t xml:space="preserve"> </w:t>
      </w:r>
      <w:r w:rsidR="002353E5">
        <w:rPr>
          <w:sz w:val="22"/>
        </w:rPr>
        <w:t>eignet sich</w:t>
      </w:r>
      <w:r w:rsidR="00220547" w:rsidRPr="0086190D">
        <w:rPr>
          <w:sz w:val="22"/>
        </w:rPr>
        <w:t xml:space="preserve"> besonders gut für die Hochdruckverarbeitung von Nanopartikeln und den Zellaufschluss</w:t>
      </w:r>
      <w:r w:rsidR="002353E5">
        <w:rPr>
          <w:sz w:val="22"/>
        </w:rPr>
        <w:t>.</w:t>
      </w:r>
      <w:r w:rsidR="00220547" w:rsidRPr="0086190D">
        <w:rPr>
          <w:sz w:val="22"/>
        </w:rPr>
        <w:t xml:space="preserve"> Der Homogenisator verfügt über ein Touchpanel zur einfachen Steuerung aller Maschinenfunktionen und ist für </w:t>
      </w:r>
      <w:r w:rsidR="00220547" w:rsidRPr="000A266B">
        <w:rPr>
          <w:i/>
          <w:sz w:val="22"/>
        </w:rPr>
        <w:t>Clean</w:t>
      </w:r>
      <w:r w:rsidR="0071734E" w:rsidRPr="000A266B">
        <w:rPr>
          <w:i/>
          <w:sz w:val="22"/>
        </w:rPr>
        <w:t>ing</w:t>
      </w:r>
      <w:r w:rsidR="002353E5" w:rsidRPr="000A266B">
        <w:rPr>
          <w:i/>
          <w:sz w:val="22"/>
        </w:rPr>
        <w:t xml:space="preserve"> </w:t>
      </w:r>
      <w:r w:rsidR="00220547" w:rsidRPr="000A266B">
        <w:rPr>
          <w:i/>
          <w:sz w:val="22"/>
        </w:rPr>
        <w:t>in</w:t>
      </w:r>
      <w:r w:rsidR="002353E5" w:rsidRPr="000A266B">
        <w:rPr>
          <w:i/>
          <w:sz w:val="22"/>
        </w:rPr>
        <w:t xml:space="preserve"> </w:t>
      </w:r>
      <w:r w:rsidR="00220547" w:rsidRPr="000A266B">
        <w:rPr>
          <w:i/>
          <w:sz w:val="22"/>
        </w:rPr>
        <w:t>Place</w:t>
      </w:r>
      <w:r w:rsidR="002353E5">
        <w:rPr>
          <w:sz w:val="22"/>
        </w:rPr>
        <w:t xml:space="preserve"> (CIP</w:t>
      </w:r>
      <w:r w:rsidR="00220547" w:rsidRPr="0086190D">
        <w:rPr>
          <w:sz w:val="22"/>
        </w:rPr>
        <w:t>)</w:t>
      </w:r>
      <w:r w:rsidR="002353E5">
        <w:rPr>
          <w:sz w:val="22"/>
        </w:rPr>
        <w:t>-</w:t>
      </w:r>
      <w:r w:rsidR="00220547" w:rsidRPr="0086190D">
        <w:rPr>
          <w:sz w:val="22"/>
        </w:rPr>
        <w:t xml:space="preserve"> und </w:t>
      </w:r>
      <w:r w:rsidR="00220547" w:rsidRPr="000A266B">
        <w:rPr>
          <w:i/>
          <w:sz w:val="22"/>
        </w:rPr>
        <w:t>Sterilisation-in-Place</w:t>
      </w:r>
      <w:r w:rsidR="002353E5">
        <w:rPr>
          <w:sz w:val="22"/>
        </w:rPr>
        <w:t xml:space="preserve"> (SIP</w:t>
      </w:r>
      <w:r w:rsidR="00220547" w:rsidRPr="0086190D">
        <w:rPr>
          <w:sz w:val="22"/>
        </w:rPr>
        <w:t>)</w:t>
      </w:r>
      <w:r w:rsidR="002353E5">
        <w:rPr>
          <w:sz w:val="22"/>
        </w:rPr>
        <w:t>-Prozeduren</w:t>
      </w:r>
      <w:r w:rsidR="00220547" w:rsidRPr="0086190D">
        <w:rPr>
          <w:sz w:val="22"/>
        </w:rPr>
        <w:t xml:space="preserve"> geeignet. Sein kompaktes Design ermöglicht eine einfache Installation, Nutzung und Wartung.</w:t>
      </w:r>
    </w:p>
    <w:p w14:paraId="2C1E3CAC" w14:textId="4EA08545" w:rsidR="00F01C33" w:rsidRPr="0086190D" w:rsidRDefault="00F01C33" w:rsidP="0050436C">
      <w:pPr>
        <w:spacing w:after="120" w:line="276" w:lineRule="auto"/>
        <w:jc w:val="both"/>
        <w:rPr>
          <w:sz w:val="22"/>
        </w:rPr>
      </w:pPr>
      <w:r w:rsidRPr="0086190D">
        <w:rPr>
          <w:sz w:val="22"/>
        </w:rPr>
        <w:t>Mit der Erweiterung des Biotechnikums durch den Tellerseparator</w:t>
      </w:r>
      <w:r w:rsidR="0031295E" w:rsidRPr="0086190D">
        <w:rPr>
          <w:sz w:val="22"/>
        </w:rPr>
        <w:t xml:space="preserve"> </w:t>
      </w:r>
      <w:r w:rsidR="0031295E" w:rsidRPr="000A266B">
        <w:rPr>
          <w:i/>
          <w:sz w:val="22"/>
        </w:rPr>
        <w:t>Pathfinder</w:t>
      </w:r>
      <w:r w:rsidRPr="0086190D">
        <w:rPr>
          <w:sz w:val="22"/>
        </w:rPr>
        <w:t xml:space="preserve"> </w:t>
      </w:r>
      <w:r w:rsidR="00291A31">
        <w:rPr>
          <w:sz w:val="22"/>
        </w:rPr>
        <w:t xml:space="preserve">von GEA </w:t>
      </w:r>
      <w:r w:rsidRPr="0086190D">
        <w:rPr>
          <w:sz w:val="22"/>
        </w:rPr>
        <w:t>ist das PVZ nun in der Lage, d</w:t>
      </w:r>
      <w:r w:rsidR="00866E94">
        <w:rPr>
          <w:sz w:val="22"/>
        </w:rPr>
        <w:t xml:space="preserve">ie </w:t>
      </w:r>
      <w:r w:rsidRPr="0086190D">
        <w:rPr>
          <w:sz w:val="22"/>
        </w:rPr>
        <w:t>gesamte</w:t>
      </w:r>
      <w:r w:rsidR="00866E94">
        <w:rPr>
          <w:sz w:val="22"/>
        </w:rPr>
        <w:t xml:space="preserve"> Wertschöpfungskette ei</w:t>
      </w:r>
      <w:r w:rsidRPr="0086190D">
        <w:rPr>
          <w:sz w:val="22"/>
        </w:rPr>
        <w:t>n</w:t>
      </w:r>
      <w:r w:rsidR="00866E94">
        <w:rPr>
          <w:sz w:val="22"/>
        </w:rPr>
        <w:t>es</w:t>
      </w:r>
      <w:r w:rsidRPr="0086190D">
        <w:rPr>
          <w:sz w:val="22"/>
        </w:rPr>
        <w:t xml:space="preserve"> biotechnologischen Prozess</w:t>
      </w:r>
      <w:r w:rsidR="00866E94">
        <w:rPr>
          <w:sz w:val="22"/>
        </w:rPr>
        <w:t>es</w:t>
      </w:r>
      <w:r w:rsidRPr="0086190D">
        <w:rPr>
          <w:sz w:val="22"/>
        </w:rPr>
        <w:t xml:space="preserve"> von der Vorkultur über die Kultivierung bis hin zur Zellabtrennung und </w:t>
      </w:r>
      <w:r w:rsidR="000A266B">
        <w:rPr>
          <w:sz w:val="22"/>
        </w:rPr>
        <w:t>R</w:t>
      </w:r>
      <w:r w:rsidRPr="0086190D">
        <w:rPr>
          <w:sz w:val="22"/>
        </w:rPr>
        <w:t>einigung von Wirkstoffen im Pilotmaßstab durch</w:t>
      </w:r>
      <w:r w:rsidR="0071734E">
        <w:rPr>
          <w:sz w:val="22"/>
        </w:rPr>
        <w:t>zu</w:t>
      </w:r>
      <w:r w:rsidR="0086190D">
        <w:rPr>
          <w:sz w:val="22"/>
        </w:rPr>
        <w:t>führen</w:t>
      </w:r>
      <w:r w:rsidRPr="0086190D">
        <w:rPr>
          <w:sz w:val="22"/>
        </w:rPr>
        <w:t xml:space="preserve">. Damit können Kultivierungen mit Bioreaktoren </w:t>
      </w:r>
      <w:r w:rsidR="00866E94">
        <w:rPr>
          <w:sz w:val="22"/>
        </w:rPr>
        <w:t xml:space="preserve">von </w:t>
      </w:r>
      <w:r w:rsidRPr="0086190D">
        <w:rPr>
          <w:sz w:val="22"/>
        </w:rPr>
        <w:t>bis zu 100</w:t>
      </w:r>
      <w:r w:rsidR="0086190D">
        <w:rPr>
          <w:sz w:val="22"/>
        </w:rPr>
        <w:t> </w:t>
      </w:r>
      <w:r w:rsidRPr="0086190D">
        <w:rPr>
          <w:sz w:val="22"/>
        </w:rPr>
        <w:t xml:space="preserve">Litern realisiert und Zellen effizient separiert werden. </w:t>
      </w:r>
      <w:r w:rsidR="00220547" w:rsidRPr="0086190D">
        <w:rPr>
          <w:sz w:val="22"/>
        </w:rPr>
        <w:t xml:space="preserve">Der GEA </w:t>
      </w:r>
      <w:r w:rsidR="0086190D" w:rsidRPr="000A266B">
        <w:rPr>
          <w:i/>
          <w:sz w:val="22"/>
        </w:rPr>
        <w:t>P</w:t>
      </w:r>
      <w:r w:rsidR="00220547" w:rsidRPr="000A266B">
        <w:rPr>
          <w:i/>
          <w:sz w:val="22"/>
        </w:rPr>
        <w:t>athfinder</w:t>
      </w:r>
      <w:r w:rsidR="00220547" w:rsidRPr="0086190D">
        <w:rPr>
          <w:sz w:val="22"/>
        </w:rPr>
        <w:t xml:space="preserve"> wird mit drei Trommelgrößen mit einer Durchsatzleistung von 15 bis 300 </w:t>
      </w:r>
      <w:r w:rsidR="001F21A5">
        <w:rPr>
          <w:sz w:val="22"/>
        </w:rPr>
        <w:t>L</w:t>
      </w:r>
      <w:r w:rsidR="00866E94">
        <w:rPr>
          <w:sz w:val="22"/>
        </w:rPr>
        <w:t>itern pro Stunde</w:t>
      </w:r>
      <w:r w:rsidR="00220547" w:rsidRPr="0086190D">
        <w:rPr>
          <w:sz w:val="22"/>
        </w:rPr>
        <w:t xml:space="preserve"> angeboten. Er erreicht eine sehr hohe Trennleistung </w:t>
      </w:r>
      <w:r w:rsidR="0086190D">
        <w:rPr>
          <w:sz w:val="22"/>
        </w:rPr>
        <w:t>dank</w:t>
      </w:r>
      <w:r w:rsidR="00220547" w:rsidRPr="0086190D">
        <w:rPr>
          <w:sz w:val="22"/>
        </w:rPr>
        <w:t xml:space="preserve"> bis zu 20.000facher</w:t>
      </w:r>
      <w:r w:rsidRPr="0086190D">
        <w:rPr>
          <w:sz w:val="22"/>
        </w:rPr>
        <w:t xml:space="preserve"> </w:t>
      </w:r>
      <w:r w:rsidR="00220547" w:rsidRPr="0086190D">
        <w:rPr>
          <w:sz w:val="22"/>
        </w:rPr>
        <w:t>Erdbeschleunigung</w:t>
      </w:r>
      <w:r w:rsidRPr="0086190D">
        <w:rPr>
          <w:sz w:val="22"/>
        </w:rPr>
        <w:t xml:space="preserve"> und kann </w:t>
      </w:r>
      <w:r w:rsidR="00220547" w:rsidRPr="0086190D">
        <w:rPr>
          <w:sz w:val="22"/>
        </w:rPr>
        <w:t xml:space="preserve">so </w:t>
      </w:r>
      <w:r w:rsidRPr="0086190D">
        <w:rPr>
          <w:sz w:val="22"/>
        </w:rPr>
        <w:t xml:space="preserve">selbst feine Partikel und Zellfragmente kontinuierlich aus </w:t>
      </w:r>
      <w:r w:rsidR="0086190D">
        <w:rPr>
          <w:sz w:val="22"/>
        </w:rPr>
        <w:t>Kultivierungsmedien</w:t>
      </w:r>
      <w:r w:rsidRPr="0086190D">
        <w:rPr>
          <w:sz w:val="22"/>
        </w:rPr>
        <w:t xml:space="preserve"> abtrennen.</w:t>
      </w:r>
      <w:r w:rsidR="0086190D">
        <w:rPr>
          <w:sz w:val="22"/>
        </w:rPr>
        <w:t xml:space="preserve"> </w:t>
      </w:r>
      <w:r w:rsidR="00A04373" w:rsidRPr="00A04373">
        <w:rPr>
          <w:sz w:val="22"/>
        </w:rPr>
        <w:t>Der Separator ist mit einem hydrohermetischen Produktzulauf ausgestattet</w:t>
      </w:r>
      <w:r w:rsidR="00A04373">
        <w:rPr>
          <w:sz w:val="22"/>
        </w:rPr>
        <w:t xml:space="preserve"> und d</w:t>
      </w:r>
      <w:r w:rsidR="0071734E">
        <w:rPr>
          <w:sz w:val="22"/>
        </w:rPr>
        <w:t>as</w:t>
      </w:r>
      <w:r w:rsidR="00A04373" w:rsidRPr="00A04373">
        <w:rPr>
          <w:sz w:val="22"/>
        </w:rPr>
        <w:t xml:space="preserve"> schonende Zulaufsystem verhindert das Einwirken von Scherkräften auf das Produkt, wenn es in die </w:t>
      </w:r>
      <w:r w:rsidR="00FF5E40">
        <w:rPr>
          <w:sz w:val="22"/>
        </w:rPr>
        <w:t>Separatort</w:t>
      </w:r>
      <w:r w:rsidR="00FF5E40" w:rsidRPr="00A04373">
        <w:rPr>
          <w:sz w:val="22"/>
        </w:rPr>
        <w:t>rommel</w:t>
      </w:r>
      <w:r w:rsidR="00A04373" w:rsidRPr="00A04373">
        <w:rPr>
          <w:sz w:val="22"/>
        </w:rPr>
        <w:t xml:space="preserve"> zugeführt wird. </w:t>
      </w:r>
      <w:r w:rsidR="0086190D" w:rsidRPr="0086190D">
        <w:rPr>
          <w:sz w:val="22"/>
        </w:rPr>
        <w:t>D</w:t>
      </w:r>
      <w:r w:rsidR="00866E94">
        <w:rPr>
          <w:sz w:val="22"/>
        </w:rPr>
        <w:t xml:space="preserve">urch seine </w:t>
      </w:r>
      <w:r w:rsidR="0086190D" w:rsidRPr="0086190D">
        <w:rPr>
          <w:sz w:val="22"/>
        </w:rPr>
        <w:t>selbstreinigende Trommel ist d</w:t>
      </w:r>
      <w:r w:rsidR="00866E94">
        <w:rPr>
          <w:sz w:val="22"/>
        </w:rPr>
        <w:t>as Aggregat</w:t>
      </w:r>
      <w:r w:rsidR="0086190D" w:rsidRPr="0086190D">
        <w:rPr>
          <w:sz w:val="22"/>
        </w:rPr>
        <w:t xml:space="preserve"> für ein vollautomatisches CIP</w:t>
      </w:r>
      <w:r w:rsidR="0086190D">
        <w:rPr>
          <w:sz w:val="22"/>
        </w:rPr>
        <w:t xml:space="preserve"> </w:t>
      </w:r>
      <w:r w:rsidR="0086190D" w:rsidRPr="0086190D">
        <w:rPr>
          <w:sz w:val="22"/>
        </w:rPr>
        <w:t xml:space="preserve">geeignet. Der GEA </w:t>
      </w:r>
      <w:r w:rsidR="0086190D" w:rsidRPr="000A266B">
        <w:rPr>
          <w:i/>
          <w:sz w:val="22"/>
        </w:rPr>
        <w:t>Pathfinder</w:t>
      </w:r>
      <w:r w:rsidR="0086190D" w:rsidRPr="0086190D">
        <w:rPr>
          <w:sz w:val="22"/>
        </w:rPr>
        <w:t xml:space="preserve"> ist zudem mit einem Paket von </w:t>
      </w:r>
      <w:r w:rsidR="00866E94" w:rsidRPr="000A266B">
        <w:rPr>
          <w:i/>
          <w:sz w:val="22"/>
        </w:rPr>
        <w:t xml:space="preserve">Good Manufacturing Practice </w:t>
      </w:r>
      <w:r w:rsidR="00866E94">
        <w:rPr>
          <w:sz w:val="22"/>
        </w:rPr>
        <w:t>(</w:t>
      </w:r>
      <w:r w:rsidR="0086190D" w:rsidRPr="0086190D">
        <w:rPr>
          <w:sz w:val="22"/>
        </w:rPr>
        <w:t>GMP</w:t>
      </w:r>
      <w:r w:rsidR="00866E94">
        <w:rPr>
          <w:sz w:val="22"/>
        </w:rPr>
        <w:t>)-</w:t>
      </w:r>
      <w:r w:rsidR="0086190D" w:rsidRPr="0086190D">
        <w:rPr>
          <w:sz w:val="22"/>
        </w:rPr>
        <w:t>Basis</w:t>
      </w:r>
      <w:r w:rsidR="00866E94">
        <w:rPr>
          <w:sz w:val="22"/>
        </w:rPr>
        <w:t>z</w:t>
      </w:r>
      <w:r w:rsidR="0086190D" w:rsidRPr="0086190D">
        <w:rPr>
          <w:sz w:val="22"/>
        </w:rPr>
        <w:t xml:space="preserve">ertifikaten ausgerüstet. </w:t>
      </w:r>
      <w:r w:rsidRPr="0086190D">
        <w:rPr>
          <w:sz w:val="22"/>
        </w:rPr>
        <w:t>Dies</w:t>
      </w:r>
      <w:r w:rsidR="0086190D">
        <w:rPr>
          <w:sz w:val="22"/>
        </w:rPr>
        <w:t>es Komplettpaket</w:t>
      </w:r>
      <w:r w:rsidRPr="0086190D">
        <w:rPr>
          <w:sz w:val="22"/>
        </w:rPr>
        <w:t xml:space="preserve"> ermöglicht eine schnelle, skalierbare und reproduzierbare Prozessführung, die für die Entwicklung</w:t>
      </w:r>
      <w:r w:rsidR="0086190D">
        <w:rPr>
          <w:sz w:val="22"/>
        </w:rPr>
        <w:t xml:space="preserve"> </w:t>
      </w:r>
      <w:r w:rsidRPr="0086190D">
        <w:rPr>
          <w:sz w:val="22"/>
        </w:rPr>
        <w:t>biopharmazeutische</w:t>
      </w:r>
      <w:r w:rsidR="00866E94">
        <w:rPr>
          <w:sz w:val="22"/>
        </w:rPr>
        <w:t>r</w:t>
      </w:r>
      <w:r w:rsidRPr="0086190D">
        <w:rPr>
          <w:sz w:val="22"/>
        </w:rPr>
        <w:t xml:space="preserve"> Produkte </w:t>
      </w:r>
      <w:r w:rsidR="0086190D">
        <w:rPr>
          <w:sz w:val="22"/>
        </w:rPr>
        <w:t xml:space="preserve">von Morgen </w:t>
      </w:r>
      <w:r w:rsidRPr="0086190D">
        <w:rPr>
          <w:sz w:val="22"/>
        </w:rPr>
        <w:t>von entscheidender Bedeutung ist.</w:t>
      </w:r>
    </w:p>
    <w:p w14:paraId="5CA232FB" w14:textId="77777777" w:rsidR="00A04373" w:rsidRDefault="000F6547" w:rsidP="0050436C">
      <w:pPr>
        <w:autoSpaceDE w:val="0"/>
        <w:autoSpaceDN w:val="0"/>
        <w:spacing w:after="120" w:line="276" w:lineRule="auto"/>
        <w:rPr>
          <w:b/>
          <w:bCs/>
          <w:color w:val="000000" w:themeColor="text1"/>
          <w:sz w:val="22"/>
        </w:rPr>
      </w:pPr>
      <w:r w:rsidRPr="0086190D">
        <w:rPr>
          <w:b/>
          <w:bCs/>
          <w:color w:val="000000" w:themeColor="text1"/>
          <w:sz w:val="22"/>
        </w:rPr>
        <w:t>Strategischen Kooperation mit GEA – größere Industrieprojekte geplant</w:t>
      </w:r>
    </w:p>
    <w:p w14:paraId="74F73901" w14:textId="17A2E3BB" w:rsidR="004A714A" w:rsidRPr="00A04373" w:rsidRDefault="00F01C33" w:rsidP="0050436C">
      <w:pPr>
        <w:spacing w:after="120" w:line="276" w:lineRule="auto"/>
        <w:jc w:val="both"/>
        <w:rPr>
          <w:sz w:val="22"/>
        </w:rPr>
      </w:pPr>
      <w:r w:rsidRPr="0086190D">
        <w:rPr>
          <w:sz w:val="22"/>
        </w:rPr>
        <w:t xml:space="preserve">Neben der </w:t>
      </w:r>
      <w:r w:rsidR="00A36702">
        <w:rPr>
          <w:sz w:val="22"/>
        </w:rPr>
        <w:t xml:space="preserve">Durchführung grundlagenbasierter </w:t>
      </w:r>
      <w:r w:rsidRPr="0086190D">
        <w:rPr>
          <w:sz w:val="22"/>
        </w:rPr>
        <w:t xml:space="preserve">Forschungsprojekte bildet der Einsatz des Separators die Basis für erweiterte </w:t>
      </w:r>
      <w:r w:rsidR="00A36702">
        <w:rPr>
          <w:sz w:val="22"/>
        </w:rPr>
        <w:t xml:space="preserve">angewandte </w:t>
      </w:r>
      <w:r w:rsidR="003259BD">
        <w:rPr>
          <w:sz w:val="22"/>
        </w:rPr>
        <w:t xml:space="preserve">industrielle </w:t>
      </w:r>
      <w:r w:rsidR="00A36702">
        <w:rPr>
          <w:sz w:val="22"/>
        </w:rPr>
        <w:t>Forschungs- und Entwicklungsk</w:t>
      </w:r>
      <w:r w:rsidRPr="0086190D">
        <w:rPr>
          <w:sz w:val="22"/>
        </w:rPr>
        <w:t xml:space="preserve">ooperationen. Bereits </w:t>
      </w:r>
      <w:r w:rsidR="00414CFF">
        <w:rPr>
          <w:sz w:val="22"/>
        </w:rPr>
        <w:t xml:space="preserve">im </w:t>
      </w:r>
      <w:r w:rsidRPr="0086190D">
        <w:rPr>
          <w:sz w:val="22"/>
        </w:rPr>
        <w:t xml:space="preserve">Sommer 2025 </w:t>
      </w:r>
      <w:r w:rsidR="00414CFF">
        <w:rPr>
          <w:sz w:val="22"/>
        </w:rPr>
        <w:t>werden</w:t>
      </w:r>
      <w:r w:rsidRPr="0086190D">
        <w:rPr>
          <w:sz w:val="22"/>
        </w:rPr>
        <w:t xml:space="preserve"> zwei </w:t>
      </w:r>
      <w:r w:rsidR="00A36702">
        <w:rPr>
          <w:sz w:val="22"/>
        </w:rPr>
        <w:t>industrielle</w:t>
      </w:r>
      <w:r w:rsidR="000A266B">
        <w:rPr>
          <w:sz w:val="22"/>
        </w:rPr>
        <w:t xml:space="preserve"> Projekte</w:t>
      </w:r>
      <w:r w:rsidR="00A36702">
        <w:rPr>
          <w:sz w:val="22"/>
        </w:rPr>
        <w:t xml:space="preserve"> </w:t>
      </w:r>
      <w:r w:rsidR="00220547" w:rsidRPr="0086190D">
        <w:rPr>
          <w:sz w:val="22"/>
        </w:rPr>
        <w:t xml:space="preserve">unter der Leitung </w:t>
      </w:r>
      <w:r w:rsidR="00A36702">
        <w:rPr>
          <w:sz w:val="22"/>
        </w:rPr>
        <w:t>von Prof. Rainer Krull und M.</w:t>
      </w:r>
      <w:r w:rsidR="000A266B">
        <w:rPr>
          <w:sz w:val="22"/>
        </w:rPr>
        <w:t> </w:t>
      </w:r>
      <w:r w:rsidR="00A36702">
        <w:rPr>
          <w:sz w:val="22"/>
        </w:rPr>
        <w:t xml:space="preserve">Sc. </w:t>
      </w:r>
      <w:r w:rsidR="00220547" w:rsidRPr="0086190D">
        <w:rPr>
          <w:sz w:val="22"/>
        </w:rPr>
        <w:t xml:space="preserve">Jan-Angelus Meyer vom Institut für Bioverfahrenstechnik </w:t>
      </w:r>
      <w:r w:rsidR="00414CFF">
        <w:rPr>
          <w:sz w:val="22"/>
        </w:rPr>
        <w:t xml:space="preserve">(ibvt) </w:t>
      </w:r>
      <w:r w:rsidR="00A36702">
        <w:rPr>
          <w:sz w:val="22"/>
        </w:rPr>
        <w:t>der TU Braunschweig</w:t>
      </w:r>
      <w:r w:rsidR="00220547" w:rsidRPr="0086190D">
        <w:rPr>
          <w:sz w:val="22"/>
        </w:rPr>
        <w:t xml:space="preserve"> </w:t>
      </w:r>
      <w:r w:rsidR="00414CFF">
        <w:rPr>
          <w:sz w:val="22"/>
        </w:rPr>
        <w:t xml:space="preserve">mit dem </w:t>
      </w:r>
      <w:r w:rsidR="00414CFF" w:rsidRPr="000A266B">
        <w:rPr>
          <w:i/>
          <w:sz w:val="22"/>
        </w:rPr>
        <w:t>Pathfinder</w:t>
      </w:r>
      <w:r w:rsidR="00414CFF">
        <w:rPr>
          <w:sz w:val="22"/>
        </w:rPr>
        <w:t xml:space="preserve"> durchgeführt</w:t>
      </w:r>
      <w:r w:rsidRPr="0086190D">
        <w:rPr>
          <w:sz w:val="22"/>
        </w:rPr>
        <w:t xml:space="preserve">, die auf den neuen technischen Möglichkeiten des Biotechnikums aufbauen. </w:t>
      </w:r>
      <w:r w:rsidR="00414CFF">
        <w:rPr>
          <w:sz w:val="22"/>
        </w:rPr>
        <w:t>„</w:t>
      </w:r>
      <w:r w:rsidRPr="0086190D">
        <w:rPr>
          <w:sz w:val="22"/>
        </w:rPr>
        <w:t>Damit bietet das PVZ zukünftig erweiterte Möglichkeiten zur Zusammenarbeit mit Partnern aus der pharmazeutischen und biotechnologischen Industrie, um innovative und anwendungsnahe Forschung voranzutreiben</w:t>
      </w:r>
      <w:r w:rsidR="00414CFF">
        <w:rPr>
          <w:sz w:val="22"/>
        </w:rPr>
        <w:t>“, so die Forscher des ibvt</w:t>
      </w:r>
      <w:r w:rsidRPr="0086190D">
        <w:rPr>
          <w:sz w:val="22"/>
        </w:rPr>
        <w:t>.</w:t>
      </w:r>
    </w:p>
    <w:p w14:paraId="426222CC" w14:textId="77777777" w:rsidR="0050436C" w:rsidRDefault="0050436C">
      <w:pPr>
        <w:spacing w:after="0" w:line="240" w:lineRule="auto"/>
        <w:rPr>
          <w:b/>
          <w:sz w:val="24"/>
        </w:rPr>
      </w:pPr>
      <w:r>
        <w:rPr>
          <w:b/>
          <w:sz w:val="24"/>
        </w:rPr>
        <w:br w:type="page"/>
      </w:r>
    </w:p>
    <w:p w14:paraId="36A53D46" w14:textId="21AB4426" w:rsidR="00146214" w:rsidRDefault="00146214" w:rsidP="009167E4">
      <w:pPr>
        <w:spacing w:line="360" w:lineRule="auto"/>
        <w:jc w:val="both"/>
        <w:rPr>
          <w:b/>
          <w:sz w:val="24"/>
        </w:rPr>
      </w:pPr>
      <w:r w:rsidRPr="005F5E7C">
        <w:rPr>
          <w:b/>
          <w:sz w:val="24"/>
        </w:rPr>
        <w:lastRenderedPageBreak/>
        <w:t xml:space="preserve">Fotos: </w:t>
      </w:r>
    </w:p>
    <w:p w14:paraId="63535279" w14:textId="72689DE6" w:rsidR="009167E4" w:rsidRDefault="00146214" w:rsidP="00353D22">
      <w:pPr>
        <w:spacing w:line="360" w:lineRule="auto"/>
        <w:rPr>
          <w:sz w:val="22"/>
        </w:rPr>
      </w:pPr>
      <w:r w:rsidRPr="000F1885">
        <w:rPr>
          <w:bCs/>
          <w:sz w:val="24"/>
        </w:rPr>
        <w:t>Foto 1:</w:t>
      </w:r>
      <w:r w:rsidR="00590591" w:rsidRPr="000F1885">
        <w:rPr>
          <w:bCs/>
          <w:sz w:val="24"/>
        </w:rPr>
        <w:br/>
      </w:r>
      <w:r w:rsidR="00590591" w:rsidRPr="00590591">
        <w:rPr>
          <w:noProof/>
          <w:sz w:val="22"/>
        </w:rPr>
        <w:drawing>
          <wp:inline distT="0" distB="0" distL="0" distR="0" wp14:anchorId="3D98BFDA" wp14:editId="18455D44">
            <wp:extent cx="3905250" cy="2800350"/>
            <wp:effectExtent l="0" t="0" r="0" b="0"/>
            <wp:docPr id="116" name="Grafik 26"/>
            <wp:cNvGraphicFramePr/>
            <a:graphic xmlns:a="http://schemas.openxmlformats.org/drawingml/2006/main">
              <a:graphicData uri="http://schemas.openxmlformats.org/drawingml/2006/picture">
                <pic:pic xmlns:pic="http://schemas.openxmlformats.org/drawingml/2006/picture">
                  <pic:nvPicPr>
                    <pic:cNvPr id="116" name="Grafik 26"/>
                    <pic:cNvPicPr/>
                  </pic:nvPicPr>
                  <pic:blipFill>
                    <a:blip r:embed="rId8"/>
                    <a:stretch/>
                  </pic:blipFill>
                  <pic:spPr>
                    <a:xfrm>
                      <a:off x="0" y="0"/>
                      <a:ext cx="3923966" cy="2813771"/>
                    </a:xfrm>
                    <a:prstGeom prst="rect">
                      <a:avLst/>
                    </a:prstGeom>
                    <a:ln w="0">
                      <a:noFill/>
                    </a:ln>
                  </pic:spPr>
                </pic:pic>
              </a:graphicData>
            </a:graphic>
          </wp:inline>
        </w:drawing>
      </w:r>
      <w:r w:rsidR="00590591">
        <w:rPr>
          <w:sz w:val="22"/>
        </w:rPr>
        <w:br/>
        <w:t>GEA Pathfinder GMP</w:t>
      </w:r>
      <w:r w:rsidR="0059260D">
        <w:rPr>
          <w:sz w:val="22"/>
        </w:rPr>
        <w:t xml:space="preserve"> (Foto: GEA)</w:t>
      </w:r>
    </w:p>
    <w:p w14:paraId="0E77D47E" w14:textId="7F1B5633" w:rsidR="002142B4" w:rsidRDefault="002142B4" w:rsidP="00353D22">
      <w:pPr>
        <w:spacing w:line="360" w:lineRule="auto"/>
        <w:rPr>
          <w:sz w:val="22"/>
        </w:rPr>
      </w:pPr>
      <w:r w:rsidRPr="002142B4">
        <w:rPr>
          <w:sz w:val="22"/>
        </w:rPr>
        <w:t xml:space="preserve">Foto 2: </w:t>
      </w:r>
    </w:p>
    <w:p w14:paraId="203A22CC" w14:textId="6D8D9C4E" w:rsidR="002142B4" w:rsidRPr="002142B4" w:rsidRDefault="002142B4" w:rsidP="002142B4">
      <w:pPr>
        <w:spacing w:line="360" w:lineRule="auto"/>
        <w:jc w:val="both"/>
        <w:rPr>
          <w:sz w:val="22"/>
        </w:rPr>
      </w:pPr>
      <w:r w:rsidRPr="002142B4">
        <w:rPr>
          <w:noProof/>
          <w:sz w:val="22"/>
        </w:rPr>
        <w:drawing>
          <wp:inline distT="0" distB="0" distL="0" distR="0" wp14:anchorId="7AA82902" wp14:editId="70D81FA8">
            <wp:extent cx="5162550" cy="3441887"/>
            <wp:effectExtent l="0" t="0" r="0" b="6350"/>
            <wp:docPr id="1708519931" name="Grafik 2" descr="Ein Bild, das Toaster,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19931" name="Grafik 2" descr="Ein Bild, das Toaster, Gerä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8286" cy="3465712"/>
                    </a:xfrm>
                    <a:prstGeom prst="rect">
                      <a:avLst/>
                    </a:prstGeom>
                    <a:noFill/>
                    <a:ln>
                      <a:noFill/>
                    </a:ln>
                  </pic:spPr>
                </pic:pic>
              </a:graphicData>
            </a:graphic>
          </wp:inline>
        </w:drawing>
      </w:r>
    </w:p>
    <w:p w14:paraId="64C5EC37" w14:textId="65C2B4C1" w:rsidR="002142B4" w:rsidRDefault="002142B4" w:rsidP="00B36007">
      <w:pPr>
        <w:pStyle w:val="BoilerplateBold"/>
        <w:rPr>
          <w:b w:val="0"/>
          <w:bCs/>
          <w:iCs/>
          <w:sz w:val="22"/>
        </w:rPr>
      </w:pPr>
      <w:r w:rsidRPr="0059260D">
        <w:rPr>
          <w:b w:val="0"/>
          <w:bCs/>
          <w:sz w:val="22"/>
        </w:rPr>
        <w:t xml:space="preserve">Hochdruckhomogenisator </w:t>
      </w:r>
      <w:r w:rsidRPr="0059260D">
        <w:rPr>
          <w:b w:val="0"/>
          <w:bCs/>
          <w:iCs/>
          <w:sz w:val="22"/>
        </w:rPr>
        <w:t>PANDA PLUS</w:t>
      </w:r>
      <w:r w:rsidR="0059260D" w:rsidRPr="0059260D">
        <w:rPr>
          <w:b w:val="0"/>
          <w:bCs/>
          <w:iCs/>
          <w:sz w:val="22"/>
        </w:rPr>
        <w:t xml:space="preserve"> (Foo: GEA)</w:t>
      </w:r>
    </w:p>
    <w:p w14:paraId="4C5D3BE2" w14:textId="77777777" w:rsidR="00365F57" w:rsidRDefault="00365F57" w:rsidP="00B36007">
      <w:pPr>
        <w:pStyle w:val="BoilerplateBold"/>
        <w:rPr>
          <w:b w:val="0"/>
          <w:bCs/>
          <w:iCs/>
          <w:sz w:val="22"/>
        </w:rPr>
      </w:pPr>
    </w:p>
    <w:p w14:paraId="17FE9F9F" w14:textId="77777777" w:rsidR="00365F57" w:rsidRDefault="00365F57" w:rsidP="00B36007">
      <w:pPr>
        <w:pStyle w:val="BoilerplateBold"/>
        <w:rPr>
          <w:b w:val="0"/>
          <w:bCs/>
          <w:iCs/>
          <w:sz w:val="22"/>
        </w:rPr>
      </w:pPr>
    </w:p>
    <w:p w14:paraId="65D66FE1" w14:textId="41D3F040" w:rsidR="00365F57" w:rsidRDefault="00365F57" w:rsidP="00B36007">
      <w:pPr>
        <w:pStyle w:val="BoilerplateBold"/>
        <w:rPr>
          <w:b w:val="0"/>
          <w:bCs/>
          <w:iCs/>
          <w:sz w:val="22"/>
        </w:rPr>
      </w:pPr>
      <w:bookmarkStart w:id="0" w:name="_Hlk199766681"/>
      <w:r>
        <w:rPr>
          <w:b w:val="0"/>
          <w:bCs/>
          <w:iCs/>
          <w:sz w:val="22"/>
        </w:rPr>
        <w:t>Foto 3:</w:t>
      </w:r>
    </w:p>
    <w:p w14:paraId="17E5983F" w14:textId="77777777" w:rsidR="00365F57" w:rsidRDefault="00365F57" w:rsidP="00B36007">
      <w:pPr>
        <w:pStyle w:val="BoilerplateBold"/>
        <w:rPr>
          <w:b w:val="0"/>
          <w:bCs/>
          <w:iCs/>
          <w:sz w:val="22"/>
        </w:rPr>
      </w:pPr>
    </w:p>
    <w:p w14:paraId="3A46DFE9" w14:textId="36D7D521" w:rsidR="00365F57" w:rsidRPr="00365F57" w:rsidRDefault="00365F57" w:rsidP="00365F57">
      <w:pPr>
        <w:pStyle w:val="BoilerplateBold"/>
        <w:rPr>
          <w:bCs/>
        </w:rPr>
      </w:pPr>
      <w:r w:rsidRPr="00365F57">
        <w:rPr>
          <w:bCs/>
        </w:rPr>
        <w:drawing>
          <wp:inline distT="0" distB="0" distL="0" distR="0" wp14:anchorId="1EB90022" wp14:editId="2F2ACBA5">
            <wp:extent cx="5831840" cy="3888105"/>
            <wp:effectExtent l="0" t="0" r="0" b="0"/>
            <wp:docPr id="142562326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1840" cy="3888105"/>
                    </a:xfrm>
                    <a:prstGeom prst="rect">
                      <a:avLst/>
                    </a:prstGeom>
                    <a:noFill/>
                    <a:ln>
                      <a:noFill/>
                    </a:ln>
                  </pic:spPr>
                </pic:pic>
              </a:graphicData>
            </a:graphic>
          </wp:inline>
        </w:drawing>
      </w:r>
    </w:p>
    <w:p w14:paraId="4E13672F" w14:textId="77777777" w:rsidR="00365F57" w:rsidRDefault="00365F57" w:rsidP="00B36007">
      <w:pPr>
        <w:pStyle w:val="BoilerplateBold"/>
        <w:rPr>
          <w:b w:val="0"/>
          <w:bCs/>
        </w:rPr>
      </w:pPr>
    </w:p>
    <w:p w14:paraId="768D64C2" w14:textId="06A06D4A" w:rsidR="00365F57" w:rsidRDefault="00365F57" w:rsidP="00B36007">
      <w:pPr>
        <w:pStyle w:val="BoilerplateBold"/>
        <w:rPr>
          <w:b w:val="0"/>
          <w:bCs/>
          <w:sz w:val="24"/>
          <w:szCs w:val="24"/>
        </w:rPr>
      </w:pPr>
      <w:r w:rsidRPr="00365F57">
        <w:rPr>
          <w:b w:val="0"/>
          <w:bCs/>
          <w:sz w:val="24"/>
          <w:szCs w:val="24"/>
        </w:rPr>
        <w:t xml:space="preserve">Foto 3, Bildunterschrift: </w:t>
      </w:r>
      <w:r>
        <w:rPr>
          <w:b w:val="0"/>
          <w:bCs/>
          <w:sz w:val="24"/>
          <w:szCs w:val="24"/>
        </w:rPr>
        <w:t xml:space="preserve">Das Team des PVZ, die Technische Universität Braunschweig und von GEA freuen sich über die Inbetriebnahme der GEA Technologie am PVZ Braunschweig. (Foto: PVZ) </w:t>
      </w:r>
    </w:p>
    <w:p w14:paraId="0EAA17A8" w14:textId="77777777" w:rsidR="00365F57" w:rsidRDefault="00365F57" w:rsidP="00B36007">
      <w:pPr>
        <w:pStyle w:val="BoilerplateBold"/>
        <w:rPr>
          <w:b w:val="0"/>
          <w:bCs/>
          <w:sz w:val="24"/>
          <w:szCs w:val="24"/>
        </w:rPr>
      </w:pPr>
    </w:p>
    <w:bookmarkEnd w:id="0"/>
    <w:p w14:paraId="395936B8" w14:textId="77777777" w:rsidR="00365F57" w:rsidRPr="00365F57" w:rsidRDefault="00365F57" w:rsidP="00B36007">
      <w:pPr>
        <w:pStyle w:val="BoilerplateBold"/>
        <w:rPr>
          <w:b w:val="0"/>
          <w:bCs/>
          <w:sz w:val="24"/>
          <w:szCs w:val="24"/>
        </w:rPr>
      </w:pPr>
    </w:p>
    <w:p w14:paraId="7F23FB09" w14:textId="77777777" w:rsidR="0059260D" w:rsidRPr="0059260D" w:rsidRDefault="0059260D" w:rsidP="00B36007">
      <w:pPr>
        <w:pStyle w:val="BoilerplateBold"/>
        <w:rPr>
          <w:b w:val="0"/>
          <w:bCs/>
        </w:rPr>
      </w:pPr>
    </w:p>
    <w:p w14:paraId="60F1496E" w14:textId="77777777" w:rsidR="0059260D" w:rsidRDefault="0059260D" w:rsidP="00B36007">
      <w:pPr>
        <w:pStyle w:val="BoilerplateBold"/>
      </w:pPr>
    </w:p>
    <w:p w14:paraId="4111116A" w14:textId="6261E73F" w:rsidR="00B36007" w:rsidRPr="001543FD" w:rsidRDefault="00B36007" w:rsidP="00B36007">
      <w:pPr>
        <w:pStyle w:val="BoilerplateBold"/>
      </w:pPr>
      <w:r w:rsidRPr="001543FD">
        <w:t>Über GEA</w:t>
      </w:r>
    </w:p>
    <w:p w14:paraId="46D5DE8F" w14:textId="77777777" w:rsidR="00B36007" w:rsidRDefault="00B36007" w:rsidP="00B36007">
      <w:pPr>
        <w:pStyle w:val="Boilerplate"/>
      </w:pPr>
      <w:r w:rsidRPr="00BE541E">
        <w:t xml:space="preserve">GEA ist weltweit einer der größten Systemanbieter für die Nahrungsmittel-, Getränke- und Pharmaindustrie.  Der 1881 gegründete und international tätige Technologiekonzern fokussiert sich dabei auf Maschinen und Anlagen sowie auf anspruchsvolle Prozesstechnik, Komponenten und umfassende Service-Dienstleistungen. So wird beispielsweise jeder zweite Pharmaseparator für essenzielle Gesundheitsprodukte wie Impfstoffe oder neuartige Biopharmazeutika von GEA hergestellt. Im Lebensmittelbereich wird jede vierte Nudelpackung oder jedes dritte Hähnchen-Nugget mit Technologie von GEA verarbeitet. Mit mehr als 18.000 Beschäftigten erwirtschaftete der Konzern im Geschäftsjahr 2024 in über 150 Ländern einen Umsatz von rund 5,4 Mrd. EUR. Weltweit verbessern die Anlagen, Prozesse und Komponenten von GEA die Effizienz und Nachhaltigkeit in der Produktion von Kunden. Sie tragen erheblich dazu bei, den CO2-Ausstoß, den Einsatz von Plastik und Lebensmittelabfall zu reduzieren. Dadurch leistet GEA einen entscheidenden Beitrag auf dem Weg in eine nachhaltige Zukunft, ganz im Sinne des Unternehmensleitbildes: „Engineering for a better world“. </w:t>
      </w:r>
    </w:p>
    <w:p w14:paraId="15C7DFA1" w14:textId="77777777" w:rsidR="00B36007" w:rsidRPr="00BE541E" w:rsidRDefault="00B36007" w:rsidP="00B36007">
      <w:pPr>
        <w:pStyle w:val="Boilerplate"/>
      </w:pPr>
    </w:p>
    <w:p w14:paraId="2FDAE880" w14:textId="77777777" w:rsidR="00B36007" w:rsidRPr="00BE541E" w:rsidRDefault="00B36007" w:rsidP="00B36007">
      <w:pPr>
        <w:pStyle w:val="Boilerplate"/>
      </w:pPr>
      <w:r w:rsidRPr="00BE541E">
        <w:t xml:space="preserve">GEA ist im deutschen MDAX und im europäischen STOXX® Europe 600 Index notiert und ist darüber hinaus Bestandteil der führenden Nachhaltigkeitsindizes DAX 50 ESG, MSCI Global Sustainability sowie Dow Jones Best-in-Class World und Best-in-Class Europe. </w:t>
      </w:r>
    </w:p>
    <w:p w14:paraId="7C163523" w14:textId="77777777" w:rsidR="00B36007" w:rsidRDefault="00B36007" w:rsidP="00B36007">
      <w:pPr>
        <w:pStyle w:val="Boilerplate"/>
      </w:pPr>
    </w:p>
    <w:p w14:paraId="7B017A38" w14:textId="77777777" w:rsidR="00B36007" w:rsidRPr="001D5CF2" w:rsidRDefault="00B36007" w:rsidP="00B36007">
      <w:pPr>
        <w:pStyle w:val="Boilerplate"/>
      </w:pPr>
      <w:r w:rsidRPr="001D5CF2">
        <w:t xml:space="preserve">Weitere Informationen finden Sie im Internet unter </w:t>
      </w:r>
      <w:r w:rsidRPr="001D5CF2">
        <w:rPr>
          <w:b/>
          <w:color w:val="000000" w:themeColor="text1"/>
        </w:rPr>
        <w:t>gea.com</w:t>
      </w:r>
      <w:r w:rsidRPr="001D5CF2">
        <w:t>.</w:t>
      </w:r>
    </w:p>
    <w:p w14:paraId="02BAB5F3" w14:textId="77777777" w:rsidR="00B36007" w:rsidRPr="001D5CF2" w:rsidRDefault="00B36007" w:rsidP="00B36007">
      <w:pPr>
        <w:pStyle w:val="Boilerplate"/>
      </w:pPr>
      <w:r w:rsidRPr="001D5CF2">
        <w:t xml:space="preserve">Sollten Sie keine weiteren Mitteilungen der GEA erhalten wollen, senden Sie bitte eine E-Mail an </w:t>
      </w:r>
      <w:r w:rsidRPr="001D5CF2">
        <w:rPr>
          <w:b/>
          <w:color w:val="000000" w:themeColor="text1"/>
        </w:rPr>
        <w:t>pr@gea.com</w:t>
      </w:r>
      <w:r w:rsidRPr="001D5CF2">
        <w:t>.</w:t>
      </w:r>
    </w:p>
    <w:p w14:paraId="4FE2EBA4" w14:textId="77777777" w:rsidR="00B36007" w:rsidRPr="00B35411" w:rsidRDefault="00B36007" w:rsidP="00B36007">
      <w:pPr>
        <w:pStyle w:val="BoilerplateBold"/>
      </w:pPr>
    </w:p>
    <w:p w14:paraId="4F76CD8B" w14:textId="6DF4D5DE" w:rsidR="00B36007" w:rsidRPr="000F1885" w:rsidRDefault="00B36007" w:rsidP="00B36007">
      <w:pPr>
        <w:pStyle w:val="Boilerplate"/>
      </w:pPr>
    </w:p>
    <w:p w14:paraId="7B2469D5" w14:textId="4501286A" w:rsidR="00146214" w:rsidRPr="00E464BF" w:rsidRDefault="000F1885" w:rsidP="00146214">
      <w:pPr>
        <w:pStyle w:val="BoilerplateBold"/>
        <w:rPr>
          <w:lang w:val="es-ES"/>
        </w:rPr>
      </w:pPr>
      <w:r w:rsidRPr="00E464BF">
        <w:rPr>
          <w:lang w:val="es-ES"/>
        </w:rPr>
        <w:t xml:space="preserve">GEA </w:t>
      </w:r>
      <w:r w:rsidR="00146214" w:rsidRPr="00E464BF">
        <w:rPr>
          <w:lang w:val="es-ES"/>
        </w:rPr>
        <w:t>Media Relations</w:t>
      </w:r>
    </w:p>
    <w:p w14:paraId="3EFD063E" w14:textId="77777777" w:rsidR="00146214" w:rsidRPr="00E464BF" w:rsidRDefault="00146214" w:rsidP="00146214">
      <w:pPr>
        <w:pStyle w:val="BoilerplateBold"/>
        <w:rPr>
          <w:color w:val="auto"/>
          <w:lang w:val="es-ES"/>
        </w:rPr>
      </w:pPr>
      <w:r w:rsidRPr="00E464BF">
        <w:rPr>
          <w:color w:val="auto"/>
          <w:lang w:val="es-ES"/>
        </w:rPr>
        <w:t>Dr. Michael Golek</w:t>
      </w:r>
    </w:p>
    <w:p w14:paraId="0BE547BA" w14:textId="77777777" w:rsidR="00146214" w:rsidRPr="005F5E7C" w:rsidRDefault="00146214" w:rsidP="00146214">
      <w:pPr>
        <w:pStyle w:val="BoilerplateBold"/>
        <w:rPr>
          <w:color w:val="auto"/>
        </w:rPr>
      </w:pPr>
      <w:r w:rsidRPr="005F5E7C">
        <w:rPr>
          <w:color w:val="auto"/>
        </w:rPr>
        <w:t>Peter-Müller-Str. 12, 40468 Düsseldorf</w:t>
      </w:r>
    </w:p>
    <w:p w14:paraId="75FD5DD1" w14:textId="77777777" w:rsidR="00146214" w:rsidRPr="005F5E7C" w:rsidRDefault="00146214" w:rsidP="00146214">
      <w:pPr>
        <w:pStyle w:val="BoilerplateBold"/>
        <w:rPr>
          <w:color w:val="auto"/>
          <w:lang w:val="es-ES"/>
        </w:rPr>
      </w:pPr>
      <w:r w:rsidRPr="005F5E7C">
        <w:rPr>
          <w:color w:val="auto"/>
          <w:lang w:val="es-ES"/>
        </w:rPr>
        <w:t>Tel. +49 211 91361505</w:t>
      </w:r>
    </w:p>
    <w:p w14:paraId="1405246C" w14:textId="77777777" w:rsidR="00146214" w:rsidRPr="005F5E7C" w:rsidRDefault="00146214" w:rsidP="00146214">
      <w:pPr>
        <w:pStyle w:val="BoilerplateBold"/>
        <w:rPr>
          <w:color w:val="auto"/>
          <w:lang w:val="es-ES"/>
        </w:rPr>
      </w:pPr>
      <w:r w:rsidRPr="005F5E7C">
        <w:rPr>
          <w:color w:val="auto"/>
          <w:lang w:val="es-ES"/>
        </w:rPr>
        <w:t>Tel. +491736205746</w:t>
      </w:r>
    </w:p>
    <w:p w14:paraId="043A369B" w14:textId="053816F5" w:rsidR="00B36007" w:rsidRPr="0059260D" w:rsidRDefault="00146214" w:rsidP="005F5E7C">
      <w:pPr>
        <w:pStyle w:val="BoilerplateBold"/>
        <w:rPr>
          <w:sz w:val="22"/>
          <w:lang w:val="es-ES"/>
        </w:rPr>
      </w:pPr>
      <w:hyperlink r:id="rId11" w:history="1">
        <w:r w:rsidRPr="005F5E7C">
          <w:rPr>
            <w:rStyle w:val="Hyperlink"/>
            <w:color w:val="auto"/>
            <w:u w:val="none"/>
            <w:lang w:val="es-ES"/>
          </w:rPr>
          <w:t>michael.golek@gea.com</w:t>
        </w:r>
      </w:hyperlink>
    </w:p>
    <w:sectPr w:rsidR="00B36007" w:rsidRPr="0059260D">
      <w:footerReference w:type="default" r:id="rId12"/>
      <w:headerReference w:type="first" r:id="rId13"/>
      <w:type w:val="continuous"/>
      <w:pgSz w:w="11906" w:h="16838" w:code="9"/>
      <w:pgMar w:top="1837" w:right="1361" w:bottom="1438"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3EE2" w14:textId="77777777" w:rsidR="00296DEA" w:rsidRDefault="00296DEA">
      <w:r>
        <w:separator/>
      </w:r>
    </w:p>
  </w:endnote>
  <w:endnote w:type="continuationSeparator" w:id="0">
    <w:p w14:paraId="233D5553" w14:textId="77777777" w:rsidR="00296DEA" w:rsidRDefault="0029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CAE7" w14:textId="2A623397" w:rsidR="007D0F34" w:rsidRDefault="007D0F34">
    <w:pPr>
      <w:pStyle w:val="StandardohneLeerzeile"/>
      <w:framePr w:w="4815" w:h="361" w:hSpace="141" w:wrap="around" w:vAnchor="page" w:hAnchor="page" w:x="1369" w:y="15601"/>
      <w:rPr>
        <w:noProof/>
      </w:rPr>
    </w:pPr>
    <w:r>
      <w:rPr>
        <w:noProof/>
      </w:rPr>
      <w:fldChar w:fldCharType="begin"/>
    </w:r>
    <w:r>
      <w:rPr>
        <w:noProof/>
      </w:rPr>
      <w:instrText xml:space="preserve"> IF </w:instrText>
    </w:r>
    <w:r>
      <w:rPr>
        <w:noProof/>
      </w:rPr>
      <w:fldChar w:fldCharType="begin"/>
    </w:r>
    <w:r>
      <w:rPr>
        <w:noProof/>
      </w:rPr>
      <w:instrText xml:space="preserve"> NUMPAGES </w:instrText>
    </w:r>
    <w:r>
      <w:rPr>
        <w:noProof/>
      </w:rPr>
      <w:fldChar w:fldCharType="separate"/>
    </w:r>
    <w:r w:rsidR="00DA1ED5">
      <w:rPr>
        <w:noProof/>
      </w:rPr>
      <w:instrText>5</w:instrText>
    </w:r>
    <w:r>
      <w:rPr>
        <w:noProof/>
      </w:rPr>
      <w:fldChar w:fldCharType="end"/>
    </w:r>
    <w:r>
      <w:rPr>
        <w:noProof/>
      </w:rPr>
      <w:instrText xml:space="preserve"> &gt; 1 "Seite </w:instrText>
    </w:r>
    <w:r>
      <w:rPr>
        <w:noProof/>
      </w:rPr>
      <w:fldChar w:fldCharType="begin"/>
    </w:r>
    <w:r>
      <w:rPr>
        <w:noProof/>
      </w:rPr>
      <w:instrText xml:space="preserve"> PAGE </w:instrText>
    </w:r>
    <w:r>
      <w:rPr>
        <w:noProof/>
      </w:rPr>
      <w:fldChar w:fldCharType="separate"/>
    </w:r>
    <w:r w:rsidR="00DA1ED5">
      <w:rPr>
        <w:noProof/>
      </w:rPr>
      <w:instrText>4</w:instrText>
    </w:r>
    <w:r>
      <w:rPr>
        <w:noProof/>
      </w:rPr>
      <w:fldChar w:fldCharType="end"/>
    </w:r>
    <w:r>
      <w:rPr>
        <w:noProof/>
      </w:rPr>
      <w:instrText xml:space="preserve"> von </w:instrText>
    </w:r>
    <w:r>
      <w:rPr>
        <w:noProof/>
      </w:rPr>
      <w:fldChar w:fldCharType="begin"/>
    </w:r>
    <w:r>
      <w:rPr>
        <w:noProof/>
      </w:rPr>
      <w:instrText xml:space="preserve"> NUMPAGES" </w:instrText>
    </w:r>
    <w:r>
      <w:rPr>
        <w:noProof/>
      </w:rPr>
      <w:fldChar w:fldCharType="separate"/>
    </w:r>
    <w:r w:rsidR="00DA1ED5">
      <w:rPr>
        <w:noProof/>
      </w:rPr>
      <w:instrText>5</w:instrText>
    </w:r>
    <w:r>
      <w:rPr>
        <w:noProof/>
      </w:rPr>
      <w:fldChar w:fldCharType="end"/>
    </w:r>
    <w:r>
      <w:rPr>
        <w:noProof/>
      </w:rPr>
      <w:instrText xml:space="preserve"> </w:instrText>
    </w:r>
    <w:r>
      <w:rPr>
        <w:noProof/>
      </w:rPr>
      <w:fldChar w:fldCharType="separate"/>
    </w:r>
    <w:r w:rsidR="00DA1ED5">
      <w:rPr>
        <w:noProof/>
      </w:rPr>
      <w:t xml:space="preserve">Seite 4 von 5 </w:t>
    </w:r>
    <w:r>
      <w:rPr>
        <w:noProof/>
      </w:rPr>
      <w:fldChar w:fldCharType="end"/>
    </w:r>
  </w:p>
  <w:p w14:paraId="1207C874" w14:textId="77777777" w:rsidR="007D0F34" w:rsidRDefault="007D0F34">
    <w:pPr>
      <w:pStyle w:val="StandardohneLeer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C839" w14:textId="77777777" w:rsidR="00296DEA" w:rsidRDefault="00296DEA">
      <w:r>
        <w:separator/>
      </w:r>
    </w:p>
  </w:footnote>
  <w:footnote w:type="continuationSeparator" w:id="0">
    <w:p w14:paraId="73C26ABF" w14:textId="77777777" w:rsidR="00296DEA" w:rsidRDefault="0029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37" w:type="dxa"/>
      <w:tblCellMar>
        <w:left w:w="0" w:type="dxa"/>
        <w:right w:w="0" w:type="dxa"/>
      </w:tblCellMar>
      <w:tblLook w:val="0000" w:firstRow="0" w:lastRow="0" w:firstColumn="0" w:lastColumn="0" w:noHBand="0" w:noVBand="0"/>
    </w:tblPr>
    <w:tblGrid>
      <w:gridCol w:w="6237"/>
    </w:tblGrid>
    <w:tr w:rsidR="007D0F34" w14:paraId="6B7DAD8C" w14:textId="77777777">
      <w:trPr>
        <w:trHeight w:hRule="exact" w:val="1247"/>
      </w:trPr>
      <w:tc>
        <w:tcPr>
          <w:tcW w:w="6237" w:type="dxa"/>
          <w:vAlign w:val="center"/>
        </w:tcPr>
        <w:p w14:paraId="09F73374" w14:textId="7DB9FD41" w:rsidR="007D0F34" w:rsidRPr="0093197B" w:rsidRDefault="00670EDF">
          <w:pPr>
            <w:pStyle w:val="InstitutKopfzeile"/>
            <w:framePr w:w="6237" w:h="1247" w:hSpace="142" w:wrap="around" w:vAnchor="page" w:hAnchor="page" w:x="5217" w:y="455"/>
            <w:jc w:val="right"/>
          </w:pPr>
          <w:r>
            <w:rPr>
              <w:noProof/>
            </w:rPr>
            <w:drawing>
              <wp:inline distT="0" distB="0" distL="0" distR="0" wp14:anchorId="08FE2F4F" wp14:editId="71A262EC">
                <wp:extent cx="1507490" cy="7537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8035"/>
                        <a:stretch>
                          <a:fillRect/>
                        </a:stretch>
                      </pic:blipFill>
                      <pic:spPr bwMode="auto">
                        <a:xfrm>
                          <a:off x="0" y="0"/>
                          <a:ext cx="1507490" cy="753745"/>
                        </a:xfrm>
                        <a:prstGeom prst="rect">
                          <a:avLst/>
                        </a:prstGeom>
                        <a:noFill/>
                        <a:ln>
                          <a:noFill/>
                        </a:ln>
                        <a:effectLst/>
                      </pic:spPr>
                    </pic:pic>
                  </a:graphicData>
                </a:graphic>
              </wp:inline>
            </w:drawing>
          </w:r>
        </w:p>
      </w:tc>
    </w:tr>
  </w:tbl>
  <w:p w14:paraId="79958882" w14:textId="77777777" w:rsidR="007D0F34" w:rsidRDefault="007D0F34">
    <w:pPr>
      <w:framePr w:w="695" w:h="3247" w:hSpace="142" w:wrap="notBeside" w:vAnchor="page" w:hAnchor="margin" w:x="568" w:yAlign="top"/>
      <w:spacing w:after="0" w:line="240" w:lineRule="auto"/>
      <w:rPr>
        <w:sz w:val="2"/>
      </w:rPr>
    </w:pPr>
  </w:p>
  <w:p w14:paraId="78A2DF14" w14:textId="4280FD1C" w:rsidR="007D0F34" w:rsidRDefault="00670EDF">
    <w:pPr>
      <w:pStyle w:val="Fensterzeile"/>
    </w:pPr>
    <w:r>
      <w:rPr>
        <w:sz w:val="20"/>
      </w:rPr>
      <w:drawing>
        <wp:anchor distT="0" distB="0" distL="114300" distR="114300" simplePos="0" relativeHeight="251657216" behindDoc="1" locked="0" layoutInCell="1" allowOverlap="1" wp14:anchorId="1A699CF4" wp14:editId="7CD2EAA7">
          <wp:simplePos x="0" y="0"/>
          <wp:positionH relativeFrom="page">
            <wp:posOffset>288290</wp:posOffset>
          </wp:positionH>
          <wp:positionV relativeFrom="page">
            <wp:posOffset>3780790</wp:posOffset>
          </wp:positionV>
          <wp:extent cx="254635" cy="1593215"/>
          <wp:effectExtent l="0" t="0" r="0" b="0"/>
          <wp:wrapNone/>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3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60B6F968" wp14:editId="59640F21">
          <wp:simplePos x="0" y="0"/>
          <wp:positionH relativeFrom="page">
            <wp:align>left</wp:align>
          </wp:positionH>
          <wp:positionV relativeFrom="page">
            <wp:align>top</wp:align>
          </wp:positionV>
          <wp:extent cx="7562215" cy="1710055"/>
          <wp:effectExtent l="0" t="0" r="0" b="0"/>
          <wp:wrapNone/>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FC0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946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60F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24A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743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985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AC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C3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704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22CBA"/>
    <w:lvl w:ilvl="0">
      <w:start w:val="1"/>
      <w:numFmt w:val="bullet"/>
      <w:lvlText w:val=""/>
      <w:lvlJc w:val="left"/>
      <w:pPr>
        <w:tabs>
          <w:tab w:val="num" w:pos="360"/>
        </w:tabs>
        <w:ind w:left="360" w:hanging="360"/>
      </w:pPr>
      <w:rPr>
        <w:rFonts w:ascii="Symbol" w:hAnsi="Symbol" w:hint="default"/>
      </w:rPr>
    </w:lvl>
  </w:abstractNum>
  <w:num w:numId="1" w16cid:durableId="331106341">
    <w:abstractNumId w:val="9"/>
  </w:num>
  <w:num w:numId="2" w16cid:durableId="1439527859">
    <w:abstractNumId w:val="7"/>
  </w:num>
  <w:num w:numId="3" w16cid:durableId="739862641">
    <w:abstractNumId w:val="6"/>
  </w:num>
  <w:num w:numId="4" w16cid:durableId="1740596722">
    <w:abstractNumId w:val="5"/>
  </w:num>
  <w:num w:numId="5" w16cid:durableId="349843768">
    <w:abstractNumId w:val="4"/>
  </w:num>
  <w:num w:numId="6" w16cid:durableId="575631916">
    <w:abstractNumId w:val="8"/>
  </w:num>
  <w:num w:numId="7" w16cid:durableId="392386137">
    <w:abstractNumId w:val="3"/>
  </w:num>
  <w:num w:numId="8" w16cid:durableId="369182225">
    <w:abstractNumId w:val="2"/>
  </w:num>
  <w:num w:numId="9" w16cid:durableId="1551070184">
    <w:abstractNumId w:val="1"/>
  </w:num>
  <w:num w:numId="10" w16cid:durableId="62685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youtGrid.Customer" w:val="TU Braunschweig"/>
    <w:docVar w:name="LayoutGrid.Type" w:val="Brief folgeseite.ini"/>
  </w:docVars>
  <w:rsids>
    <w:rsidRoot w:val="00FF5A9D"/>
    <w:rsid w:val="00003583"/>
    <w:rsid w:val="000132B2"/>
    <w:rsid w:val="00025412"/>
    <w:rsid w:val="00034DFE"/>
    <w:rsid w:val="00036D42"/>
    <w:rsid w:val="00051305"/>
    <w:rsid w:val="000723FE"/>
    <w:rsid w:val="000725C2"/>
    <w:rsid w:val="00072AC2"/>
    <w:rsid w:val="0008395B"/>
    <w:rsid w:val="00092AC9"/>
    <w:rsid w:val="000A17DA"/>
    <w:rsid w:val="000A266B"/>
    <w:rsid w:val="000C7C03"/>
    <w:rsid w:val="000D55EA"/>
    <w:rsid w:val="000E76A0"/>
    <w:rsid w:val="000E77DE"/>
    <w:rsid w:val="000F1885"/>
    <w:rsid w:val="000F5685"/>
    <w:rsid w:val="000F6547"/>
    <w:rsid w:val="0012786C"/>
    <w:rsid w:val="0013303C"/>
    <w:rsid w:val="00146214"/>
    <w:rsid w:val="001A4BD8"/>
    <w:rsid w:val="001E2EA2"/>
    <w:rsid w:val="001F21A5"/>
    <w:rsid w:val="001F273F"/>
    <w:rsid w:val="00204718"/>
    <w:rsid w:val="0020777D"/>
    <w:rsid w:val="0021142A"/>
    <w:rsid w:val="00211E71"/>
    <w:rsid w:val="002142B4"/>
    <w:rsid w:val="00220547"/>
    <w:rsid w:val="002215F5"/>
    <w:rsid w:val="00222C25"/>
    <w:rsid w:val="0022366B"/>
    <w:rsid w:val="00224E74"/>
    <w:rsid w:val="00231491"/>
    <w:rsid w:val="00233C21"/>
    <w:rsid w:val="002353E5"/>
    <w:rsid w:val="00237679"/>
    <w:rsid w:val="00260389"/>
    <w:rsid w:val="00261D68"/>
    <w:rsid w:val="002702AA"/>
    <w:rsid w:val="00290FF0"/>
    <w:rsid w:val="00291A31"/>
    <w:rsid w:val="0029261A"/>
    <w:rsid w:val="002940AD"/>
    <w:rsid w:val="00296DEA"/>
    <w:rsid w:val="002A02E5"/>
    <w:rsid w:val="002B25CE"/>
    <w:rsid w:val="002B4C40"/>
    <w:rsid w:val="002C1B18"/>
    <w:rsid w:val="002D0BC2"/>
    <w:rsid w:val="002E3436"/>
    <w:rsid w:val="002F50E5"/>
    <w:rsid w:val="0031295E"/>
    <w:rsid w:val="003228E6"/>
    <w:rsid w:val="003259BD"/>
    <w:rsid w:val="00331593"/>
    <w:rsid w:val="0033745D"/>
    <w:rsid w:val="00351AD7"/>
    <w:rsid w:val="00353D22"/>
    <w:rsid w:val="00357561"/>
    <w:rsid w:val="00365F57"/>
    <w:rsid w:val="00371B01"/>
    <w:rsid w:val="00382589"/>
    <w:rsid w:val="00382B01"/>
    <w:rsid w:val="00383E36"/>
    <w:rsid w:val="003924B6"/>
    <w:rsid w:val="0039382F"/>
    <w:rsid w:val="003A1E80"/>
    <w:rsid w:val="003A2C61"/>
    <w:rsid w:val="003C225B"/>
    <w:rsid w:val="003D53FE"/>
    <w:rsid w:val="003D7711"/>
    <w:rsid w:val="003E18DA"/>
    <w:rsid w:val="003E553F"/>
    <w:rsid w:val="003F266D"/>
    <w:rsid w:val="004102C6"/>
    <w:rsid w:val="00414CFF"/>
    <w:rsid w:val="0042403A"/>
    <w:rsid w:val="00440957"/>
    <w:rsid w:val="00443BEA"/>
    <w:rsid w:val="004509D0"/>
    <w:rsid w:val="00462A12"/>
    <w:rsid w:val="004640AB"/>
    <w:rsid w:val="0048473F"/>
    <w:rsid w:val="00496FBB"/>
    <w:rsid w:val="004A714A"/>
    <w:rsid w:val="004B764D"/>
    <w:rsid w:val="004C0079"/>
    <w:rsid w:val="004C522E"/>
    <w:rsid w:val="004E66F8"/>
    <w:rsid w:val="00500D1A"/>
    <w:rsid w:val="0050436C"/>
    <w:rsid w:val="0051251F"/>
    <w:rsid w:val="0051347B"/>
    <w:rsid w:val="00520757"/>
    <w:rsid w:val="005216AE"/>
    <w:rsid w:val="00524ADB"/>
    <w:rsid w:val="0055058B"/>
    <w:rsid w:val="00590591"/>
    <w:rsid w:val="0059260D"/>
    <w:rsid w:val="00593AE7"/>
    <w:rsid w:val="00593B48"/>
    <w:rsid w:val="005A017C"/>
    <w:rsid w:val="005A3B1C"/>
    <w:rsid w:val="005B43B0"/>
    <w:rsid w:val="005B5E48"/>
    <w:rsid w:val="005D063E"/>
    <w:rsid w:val="005E144F"/>
    <w:rsid w:val="005E6760"/>
    <w:rsid w:val="005F5E7C"/>
    <w:rsid w:val="005F6B47"/>
    <w:rsid w:val="00603038"/>
    <w:rsid w:val="006063C6"/>
    <w:rsid w:val="00606BCC"/>
    <w:rsid w:val="00615F2C"/>
    <w:rsid w:val="00636171"/>
    <w:rsid w:val="00643C0C"/>
    <w:rsid w:val="00650F96"/>
    <w:rsid w:val="00670EDF"/>
    <w:rsid w:val="00676C49"/>
    <w:rsid w:val="00693E5C"/>
    <w:rsid w:val="006A0B7B"/>
    <w:rsid w:val="006B7571"/>
    <w:rsid w:val="006C52D1"/>
    <w:rsid w:val="006D1823"/>
    <w:rsid w:val="006D4374"/>
    <w:rsid w:val="006D4D1C"/>
    <w:rsid w:val="006D505B"/>
    <w:rsid w:val="006D5323"/>
    <w:rsid w:val="006D5BDC"/>
    <w:rsid w:val="006F45B5"/>
    <w:rsid w:val="006F7913"/>
    <w:rsid w:val="00701B70"/>
    <w:rsid w:val="0071484A"/>
    <w:rsid w:val="00715F88"/>
    <w:rsid w:val="0071734E"/>
    <w:rsid w:val="00720579"/>
    <w:rsid w:val="00721942"/>
    <w:rsid w:val="0073303B"/>
    <w:rsid w:val="007536CD"/>
    <w:rsid w:val="00755BDE"/>
    <w:rsid w:val="00765DC2"/>
    <w:rsid w:val="007751B3"/>
    <w:rsid w:val="00781714"/>
    <w:rsid w:val="00786D56"/>
    <w:rsid w:val="007907B2"/>
    <w:rsid w:val="007961EC"/>
    <w:rsid w:val="007B29D6"/>
    <w:rsid w:val="007C2779"/>
    <w:rsid w:val="007D0F34"/>
    <w:rsid w:val="007E5BE4"/>
    <w:rsid w:val="007F62F4"/>
    <w:rsid w:val="008061C6"/>
    <w:rsid w:val="008175D3"/>
    <w:rsid w:val="0086190D"/>
    <w:rsid w:val="00866E94"/>
    <w:rsid w:val="008770CB"/>
    <w:rsid w:val="00890273"/>
    <w:rsid w:val="00891BD2"/>
    <w:rsid w:val="00896226"/>
    <w:rsid w:val="008D10AB"/>
    <w:rsid w:val="008D6D47"/>
    <w:rsid w:val="008E3A4B"/>
    <w:rsid w:val="008F1FFA"/>
    <w:rsid w:val="009119CA"/>
    <w:rsid w:val="00913D3E"/>
    <w:rsid w:val="009167E4"/>
    <w:rsid w:val="00925560"/>
    <w:rsid w:val="0093197B"/>
    <w:rsid w:val="00951250"/>
    <w:rsid w:val="00966283"/>
    <w:rsid w:val="009666A8"/>
    <w:rsid w:val="00966E55"/>
    <w:rsid w:val="00974C07"/>
    <w:rsid w:val="00990618"/>
    <w:rsid w:val="009A51E1"/>
    <w:rsid w:val="009A652A"/>
    <w:rsid w:val="009D31AB"/>
    <w:rsid w:val="009D489F"/>
    <w:rsid w:val="009D5902"/>
    <w:rsid w:val="009E30B1"/>
    <w:rsid w:val="009E3402"/>
    <w:rsid w:val="00A04373"/>
    <w:rsid w:val="00A06D88"/>
    <w:rsid w:val="00A12B09"/>
    <w:rsid w:val="00A270B0"/>
    <w:rsid w:val="00A335D8"/>
    <w:rsid w:val="00A33B99"/>
    <w:rsid w:val="00A36702"/>
    <w:rsid w:val="00A41129"/>
    <w:rsid w:val="00A41A32"/>
    <w:rsid w:val="00A4234A"/>
    <w:rsid w:val="00A46FA0"/>
    <w:rsid w:val="00A6245B"/>
    <w:rsid w:val="00A90902"/>
    <w:rsid w:val="00A95767"/>
    <w:rsid w:val="00AA1D37"/>
    <w:rsid w:val="00AA303A"/>
    <w:rsid w:val="00AA5BF8"/>
    <w:rsid w:val="00AA75E7"/>
    <w:rsid w:val="00AB10ED"/>
    <w:rsid w:val="00AB603D"/>
    <w:rsid w:val="00AB77DF"/>
    <w:rsid w:val="00AD5FCD"/>
    <w:rsid w:val="00AD6813"/>
    <w:rsid w:val="00AD7B48"/>
    <w:rsid w:val="00B22F89"/>
    <w:rsid w:val="00B23063"/>
    <w:rsid w:val="00B3455D"/>
    <w:rsid w:val="00B34E9E"/>
    <w:rsid w:val="00B36007"/>
    <w:rsid w:val="00B45ECB"/>
    <w:rsid w:val="00B51699"/>
    <w:rsid w:val="00B5368A"/>
    <w:rsid w:val="00B60439"/>
    <w:rsid w:val="00B644E1"/>
    <w:rsid w:val="00B7541B"/>
    <w:rsid w:val="00B756B1"/>
    <w:rsid w:val="00B76F01"/>
    <w:rsid w:val="00B93EBD"/>
    <w:rsid w:val="00BA050B"/>
    <w:rsid w:val="00BD2926"/>
    <w:rsid w:val="00BD471D"/>
    <w:rsid w:val="00BE2802"/>
    <w:rsid w:val="00BF5F8B"/>
    <w:rsid w:val="00C07E0A"/>
    <w:rsid w:val="00C136E2"/>
    <w:rsid w:val="00C160D7"/>
    <w:rsid w:val="00C33326"/>
    <w:rsid w:val="00C45A4E"/>
    <w:rsid w:val="00C60BE0"/>
    <w:rsid w:val="00C8450F"/>
    <w:rsid w:val="00CA027C"/>
    <w:rsid w:val="00CC413A"/>
    <w:rsid w:val="00CC5682"/>
    <w:rsid w:val="00CD286A"/>
    <w:rsid w:val="00CF39A6"/>
    <w:rsid w:val="00D02F07"/>
    <w:rsid w:val="00D066BC"/>
    <w:rsid w:val="00D264F7"/>
    <w:rsid w:val="00D33B8A"/>
    <w:rsid w:val="00D472ED"/>
    <w:rsid w:val="00D60961"/>
    <w:rsid w:val="00D630E4"/>
    <w:rsid w:val="00D65B96"/>
    <w:rsid w:val="00D86042"/>
    <w:rsid w:val="00D86946"/>
    <w:rsid w:val="00D95992"/>
    <w:rsid w:val="00DA1ED5"/>
    <w:rsid w:val="00DA2A0F"/>
    <w:rsid w:val="00DD6CBA"/>
    <w:rsid w:val="00DE7AC3"/>
    <w:rsid w:val="00DF3C74"/>
    <w:rsid w:val="00DF7009"/>
    <w:rsid w:val="00E12557"/>
    <w:rsid w:val="00E17AF2"/>
    <w:rsid w:val="00E244D7"/>
    <w:rsid w:val="00E30AF3"/>
    <w:rsid w:val="00E464BF"/>
    <w:rsid w:val="00E54C09"/>
    <w:rsid w:val="00E60594"/>
    <w:rsid w:val="00E6060E"/>
    <w:rsid w:val="00E60A87"/>
    <w:rsid w:val="00E668BC"/>
    <w:rsid w:val="00E729CD"/>
    <w:rsid w:val="00E8238A"/>
    <w:rsid w:val="00E910FF"/>
    <w:rsid w:val="00EA636A"/>
    <w:rsid w:val="00EB2416"/>
    <w:rsid w:val="00EB6221"/>
    <w:rsid w:val="00EB7D3B"/>
    <w:rsid w:val="00ED0859"/>
    <w:rsid w:val="00ED3A4B"/>
    <w:rsid w:val="00ED57B5"/>
    <w:rsid w:val="00ED6375"/>
    <w:rsid w:val="00ED668D"/>
    <w:rsid w:val="00EE10E4"/>
    <w:rsid w:val="00EE2479"/>
    <w:rsid w:val="00EF7EB4"/>
    <w:rsid w:val="00F019F8"/>
    <w:rsid w:val="00F01C33"/>
    <w:rsid w:val="00F01F21"/>
    <w:rsid w:val="00F1042F"/>
    <w:rsid w:val="00F13D7E"/>
    <w:rsid w:val="00F17C2D"/>
    <w:rsid w:val="00F35424"/>
    <w:rsid w:val="00F35A96"/>
    <w:rsid w:val="00F368C8"/>
    <w:rsid w:val="00F36FF1"/>
    <w:rsid w:val="00F73AA0"/>
    <w:rsid w:val="00F83AA8"/>
    <w:rsid w:val="00FA440B"/>
    <w:rsid w:val="00FC6911"/>
    <w:rsid w:val="00FD000B"/>
    <w:rsid w:val="00FE7830"/>
    <w:rsid w:val="00FF10D5"/>
    <w:rsid w:val="00FF5A9D"/>
    <w:rsid w:val="00FF5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3A84DE"/>
  <w15:chartTrackingRefBased/>
  <w15:docId w15:val="{C59E0B58-0623-42C4-B869-99176638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60" w:line="260" w:lineRule="atLeast"/>
    </w:pPr>
    <w:rPr>
      <w:rFonts w:ascii="Arial" w:hAnsi="Arial"/>
      <w:kern w:val="16"/>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StandardohneLeerzeile">
    <w:name w:val="Standard ohne Leerzeile"/>
    <w:basedOn w:val="Standard"/>
    <w:pPr>
      <w:spacing w:after="0"/>
    </w:pPr>
  </w:style>
  <w:style w:type="paragraph" w:styleId="Fuzeile">
    <w:name w:val="footer"/>
    <w:basedOn w:val="Standard"/>
    <w:pPr>
      <w:tabs>
        <w:tab w:val="center" w:pos="4536"/>
        <w:tab w:val="right" w:pos="9072"/>
      </w:tabs>
    </w:pPr>
  </w:style>
  <w:style w:type="paragraph" w:customStyle="1" w:styleId="InstitutKopfzeile">
    <w:name w:val="Institut Kopfzeile"/>
    <w:basedOn w:val="Kopfzeile"/>
    <w:pPr>
      <w:spacing w:after="0"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ohneLeerzeile"/>
  </w:style>
  <w:style w:type="paragraph" w:customStyle="1" w:styleId="Betreff">
    <w:name w:val="Betreff"/>
    <w:basedOn w:val="Adresse"/>
    <w:rPr>
      <w:b/>
    </w:rPr>
  </w:style>
  <w:style w:type="paragraph" w:customStyle="1" w:styleId="Dokumentdaten">
    <w:name w:val="Dokumentdaten"/>
    <w:basedOn w:val="Standard"/>
    <w:pPr>
      <w:spacing w:after="0" w:line="220" w:lineRule="atLeast"/>
    </w:pPr>
    <w:rPr>
      <w:sz w:val="15"/>
    </w:rPr>
  </w:style>
  <w:style w:type="table" w:styleId="Tabellenraster">
    <w:name w:val="Table Grid"/>
    <w:basedOn w:val="NormaleTabelle"/>
    <w:rsid w:val="009319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5A96"/>
    <w:rPr>
      <w:color w:val="0000FF"/>
      <w:u w:val="single"/>
    </w:rPr>
  </w:style>
  <w:style w:type="paragraph" w:styleId="Zitat">
    <w:name w:val="Quote"/>
    <w:basedOn w:val="Standard"/>
    <w:next w:val="Standard"/>
    <w:link w:val="ZitatZchn"/>
    <w:uiPriority w:val="29"/>
    <w:qFormat/>
    <w:rsid w:val="00F019F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019F8"/>
    <w:rPr>
      <w:rFonts w:ascii="Arial" w:hAnsi="Arial"/>
      <w:i/>
      <w:iCs/>
      <w:color w:val="404040" w:themeColor="text1" w:themeTint="BF"/>
      <w:kern w:val="16"/>
      <w:szCs w:val="24"/>
    </w:rPr>
  </w:style>
  <w:style w:type="paragraph" w:styleId="StandardWeb">
    <w:name w:val="Normal (Web)"/>
    <w:basedOn w:val="Standard"/>
    <w:uiPriority w:val="99"/>
    <w:unhideWhenUsed/>
    <w:rsid w:val="00F01C33"/>
    <w:pPr>
      <w:spacing w:before="100" w:beforeAutospacing="1" w:after="100" w:afterAutospacing="1" w:line="240" w:lineRule="auto"/>
    </w:pPr>
    <w:rPr>
      <w:rFonts w:ascii="Times New Roman" w:hAnsi="Times New Roman"/>
      <w:kern w:val="0"/>
      <w:sz w:val="24"/>
    </w:rPr>
  </w:style>
  <w:style w:type="character" w:styleId="NichtaufgelsteErwhnung">
    <w:name w:val="Unresolved Mention"/>
    <w:basedOn w:val="Absatz-Standardschriftart"/>
    <w:uiPriority w:val="99"/>
    <w:semiHidden/>
    <w:unhideWhenUsed/>
    <w:rsid w:val="009167E4"/>
    <w:rPr>
      <w:color w:val="605E5C"/>
      <w:shd w:val="clear" w:color="auto" w:fill="E1DFDD"/>
    </w:rPr>
  </w:style>
  <w:style w:type="paragraph" w:styleId="Sprechblasentext">
    <w:name w:val="Balloon Text"/>
    <w:basedOn w:val="Standard"/>
    <w:link w:val="SprechblasentextZchn"/>
    <w:rsid w:val="00EE10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EE10E4"/>
    <w:rPr>
      <w:rFonts w:ascii="Segoe UI" w:hAnsi="Segoe UI" w:cs="Segoe UI"/>
      <w:kern w:val="16"/>
      <w:sz w:val="18"/>
      <w:szCs w:val="18"/>
    </w:rPr>
  </w:style>
  <w:style w:type="paragraph" w:styleId="berarbeitung">
    <w:name w:val="Revision"/>
    <w:hidden/>
    <w:uiPriority w:val="99"/>
    <w:semiHidden/>
    <w:rsid w:val="00291A31"/>
    <w:rPr>
      <w:rFonts w:ascii="Arial" w:hAnsi="Arial"/>
      <w:kern w:val="16"/>
      <w:szCs w:val="24"/>
    </w:rPr>
  </w:style>
  <w:style w:type="paragraph" w:customStyle="1" w:styleId="BoilerplateBold">
    <w:name w:val="Boilerplate Bold"/>
    <w:basedOn w:val="Standard"/>
    <w:qFormat/>
    <w:rsid w:val="00B36007"/>
    <w:pPr>
      <w:spacing w:after="0" w:line="278" w:lineRule="auto"/>
    </w:pPr>
    <w:rPr>
      <w:rFonts w:eastAsia="Cambria"/>
      <w:b/>
      <w:color w:val="000000" w:themeColor="text1"/>
      <w:kern w:val="0"/>
      <w:sz w:val="18"/>
      <w:szCs w:val="18"/>
      <w:lang w:eastAsia="en-US"/>
    </w:rPr>
  </w:style>
  <w:style w:type="paragraph" w:customStyle="1" w:styleId="Boilerplate">
    <w:name w:val="Boilerplate"/>
    <w:basedOn w:val="Standard"/>
    <w:qFormat/>
    <w:rsid w:val="00B36007"/>
    <w:pPr>
      <w:spacing w:after="0" w:line="278" w:lineRule="auto"/>
    </w:pPr>
    <w:rPr>
      <w:rFonts w:eastAsia="Cambria"/>
      <w:color w:val="808080" w:themeColor="background1" w:themeShade="80"/>
      <w:kern w:val="0"/>
      <w:sz w:val="18"/>
      <w:szCs w:val="18"/>
      <w:lang w:eastAsia="en-US"/>
    </w:rPr>
  </w:style>
  <w:style w:type="character" w:styleId="BesuchterLink">
    <w:name w:val="FollowedHyperlink"/>
    <w:basedOn w:val="Absatz-Standardschriftart"/>
    <w:rsid w:val="00521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2614">
      <w:bodyDiv w:val="1"/>
      <w:marLeft w:val="0"/>
      <w:marRight w:val="0"/>
      <w:marTop w:val="0"/>
      <w:marBottom w:val="0"/>
      <w:divBdr>
        <w:top w:val="none" w:sz="0" w:space="0" w:color="auto"/>
        <w:left w:val="none" w:sz="0" w:space="0" w:color="auto"/>
        <w:bottom w:val="none" w:sz="0" w:space="0" w:color="auto"/>
        <w:right w:val="none" w:sz="0" w:space="0" w:color="auto"/>
      </w:divBdr>
    </w:div>
    <w:div w:id="1099830775">
      <w:bodyDiv w:val="1"/>
      <w:marLeft w:val="0"/>
      <w:marRight w:val="0"/>
      <w:marTop w:val="0"/>
      <w:marBottom w:val="0"/>
      <w:divBdr>
        <w:top w:val="none" w:sz="0" w:space="0" w:color="auto"/>
        <w:left w:val="none" w:sz="0" w:space="0" w:color="auto"/>
        <w:bottom w:val="none" w:sz="0" w:space="0" w:color="auto"/>
        <w:right w:val="none" w:sz="0" w:space="0" w:color="auto"/>
      </w:divBdr>
    </w:div>
    <w:div w:id="1362785495">
      <w:bodyDiv w:val="1"/>
      <w:marLeft w:val="0"/>
      <w:marRight w:val="0"/>
      <w:marTop w:val="0"/>
      <w:marBottom w:val="0"/>
      <w:divBdr>
        <w:top w:val="none" w:sz="0" w:space="0" w:color="auto"/>
        <w:left w:val="none" w:sz="0" w:space="0" w:color="auto"/>
        <w:bottom w:val="none" w:sz="0" w:space="0" w:color="auto"/>
        <w:right w:val="none" w:sz="0" w:space="0" w:color="auto"/>
      </w:divBdr>
    </w:div>
    <w:div w:id="1639147875">
      <w:bodyDiv w:val="1"/>
      <w:marLeft w:val="0"/>
      <w:marRight w:val="0"/>
      <w:marTop w:val="0"/>
      <w:marBottom w:val="0"/>
      <w:divBdr>
        <w:top w:val="none" w:sz="0" w:space="0" w:color="auto"/>
        <w:left w:val="none" w:sz="0" w:space="0" w:color="auto"/>
        <w:bottom w:val="none" w:sz="0" w:space="0" w:color="auto"/>
        <w:right w:val="none" w:sz="0" w:space="0" w:color="auto"/>
      </w:divBdr>
    </w:div>
    <w:div w:id="2130395537">
      <w:bodyDiv w:val="1"/>
      <w:marLeft w:val="0"/>
      <w:marRight w:val="0"/>
      <w:marTop w:val="0"/>
      <w:marBottom w:val="0"/>
      <w:divBdr>
        <w:top w:val="none" w:sz="0" w:space="0" w:color="auto"/>
        <w:left w:val="none" w:sz="0" w:space="0" w:color="auto"/>
        <w:bottom w:val="none" w:sz="0" w:space="0" w:color="auto"/>
        <w:right w:val="none" w:sz="0" w:space="0" w:color="auto"/>
      </w:divBdr>
    </w:div>
    <w:div w:id="21378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olek@g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IBVT\TU%20BS%20CD-Toolbox\TUBraunschweig_Brief_Digital_Word.dot\TUBraunschweig_Brief_Digital_Wo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16F9-E3FA-445B-8B61-60BF83944978}">
  <ds:schemaRefs>
    <ds:schemaRef ds:uri="http://schemas.openxmlformats.org/officeDocument/2006/bibliography"/>
  </ds:schemaRefs>
</ds:datastoreItem>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TUBraunschweig_Brief_Digital_Word</Template>
  <TotalTime>0</TotalTime>
  <Pages>5</Pages>
  <Words>867</Words>
  <Characters>6184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Technische Universität</vt:lpstr>
    </vt:vector>
  </TitlesOfParts>
  <Company>indiesoft</Company>
  <LinksUpToDate>false</LinksUpToDate>
  <CharactersWithSpaces>7037</CharactersWithSpaces>
  <SharedDoc>false</SharedDoc>
  <HLinks>
    <vt:vector size="6" baseType="variant">
      <vt:variant>
        <vt:i4>8323106</vt:i4>
      </vt:variant>
      <vt:variant>
        <vt:i4>0</vt:i4>
      </vt:variant>
      <vt:variant>
        <vt:i4>0</vt:i4>
      </vt:variant>
      <vt:variant>
        <vt:i4>5</vt:i4>
      </vt:variant>
      <vt:variant>
        <vt:lpwstr>http://www.ibvt.de/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Universität</dc:title>
  <dc:subject/>
  <dc:creator>Nele Buschke</dc:creator>
  <cp:keywords/>
  <dc:description/>
  <cp:lastModifiedBy>Golek, Michael Dr.</cp:lastModifiedBy>
  <cp:revision>2</cp:revision>
  <cp:lastPrinted>2025-03-31T07:20:00Z</cp:lastPrinted>
  <dcterms:created xsi:type="dcterms:W3CDTF">2025-06-02T12:27:00Z</dcterms:created>
  <dcterms:modified xsi:type="dcterms:W3CDTF">2025-06-02T12:27:00Z</dcterms:modified>
</cp:coreProperties>
</file>