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2D604" w14:textId="571BA49B" w:rsidR="001D6B1E" w:rsidRDefault="006F0881">
      <w:r>
        <w:rPr>
          <w:noProof/>
        </w:rPr>
        <w:drawing>
          <wp:inline distT="0" distB="0" distL="0" distR="0" wp14:anchorId="5A86B70F" wp14:editId="46D38A91">
            <wp:extent cx="2209800" cy="914400"/>
            <wp:effectExtent l="0" t="0" r="0" b="0"/>
            <wp:docPr id="1031576546"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576546" name="Grafik 1" descr="Ein Bild, das Text, Schrift, Screenshot, Logo enthält.&#10;&#10;Automatisch generierte Beschreibung"/>
                    <pic:cNvPicPr/>
                  </pic:nvPicPr>
                  <pic:blipFill>
                    <a:blip r:embed="rId5">
                      <a:extLst>
                        <a:ext uri="{28A0092B-C50C-407E-A947-70E740481C1C}">
                          <a14:useLocalDpi xmlns:a14="http://schemas.microsoft.com/office/drawing/2010/main" val="0"/>
                        </a:ext>
                      </a:extLst>
                    </a:blip>
                    <a:stretch>
                      <a:fillRect/>
                    </a:stretch>
                  </pic:blipFill>
                  <pic:spPr>
                    <a:xfrm>
                      <a:off x="0" y="0"/>
                      <a:ext cx="2209800" cy="914400"/>
                    </a:xfrm>
                    <a:prstGeom prst="rect">
                      <a:avLst/>
                    </a:prstGeom>
                  </pic:spPr>
                </pic:pic>
              </a:graphicData>
            </a:graphic>
          </wp:inline>
        </w:drawing>
      </w:r>
    </w:p>
    <w:p w14:paraId="6D7168F6" w14:textId="77777777" w:rsidR="001D6B1E" w:rsidRDefault="001D6B1E"/>
    <w:p w14:paraId="27711944" w14:textId="77777777" w:rsidR="006F0881" w:rsidRDefault="006F0881" w:rsidP="004D7DEF">
      <w:r>
        <w:tab/>
      </w:r>
      <w:r>
        <w:tab/>
      </w:r>
      <w:r>
        <w:tab/>
      </w:r>
      <w:r>
        <w:tab/>
      </w:r>
      <w:r>
        <w:tab/>
      </w:r>
      <w:r>
        <w:tab/>
      </w:r>
      <w:r>
        <w:tab/>
      </w:r>
    </w:p>
    <w:p w14:paraId="570F1E38" w14:textId="7D6C7509" w:rsidR="006F0881" w:rsidRPr="006F0881" w:rsidRDefault="006F0881" w:rsidP="006F0881">
      <w:pPr>
        <w:ind w:left="4956"/>
        <w:rPr>
          <w:rFonts w:ascii="Avenir Next" w:hAnsi="Avenir Next"/>
        </w:rPr>
      </w:pPr>
      <w:r w:rsidRPr="006F0881">
        <w:rPr>
          <w:rFonts w:ascii="Avenir Next" w:hAnsi="Avenir Next"/>
        </w:rPr>
        <w:t xml:space="preserve">Hamburg, den </w:t>
      </w:r>
      <w:r w:rsidR="0020566E">
        <w:rPr>
          <w:rFonts w:ascii="Avenir Next" w:hAnsi="Avenir Next"/>
        </w:rPr>
        <w:t>30.</w:t>
      </w:r>
      <w:r w:rsidRPr="006F0881">
        <w:rPr>
          <w:rFonts w:ascii="Avenir Next" w:hAnsi="Avenir Next"/>
        </w:rPr>
        <w:t xml:space="preserve"> Dezember 2024</w:t>
      </w:r>
    </w:p>
    <w:p w14:paraId="01B2F1D7" w14:textId="77777777" w:rsidR="006F0881" w:rsidRPr="006F0881" w:rsidRDefault="006F0881" w:rsidP="004D7DEF">
      <w:pPr>
        <w:rPr>
          <w:rFonts w:ascii="Avenir Next" w:hAnsi="Avenir Next"/>
          <w:b/>
          <w:bCs/>
        </w:rPr>
      </w:pPr>
    </w:p>
    <w:p w14:paraId="203A688C" w14:textId="77777777" w:rsidR="006F0881" w:rsidRPr="006F0881" w:rsidRDefault="006F0881" w:rsidP="004D7DEF">
      <w:pPr>
        <w:rPr>
          <w:rFonts w:ascii="Avenir Next" w:hAnsi="Avenir Next"/>
          <w:b/>
          <w:bCs/>
        </w:rPr>
      </w:pPr>
    </w:p>
    <w:p w14:paraId="7AF4970D" w14:textId="77777777" w:rsidR="004D54A6" w:rsidRPr="004D54A6" w:rsidRDefault="004D54A6" w:rsidP="004D54A6">
      <w:pPr>
        <w:rPr>
          <w:rFonts w:ascii="Avenir Next" w:hAnsi="Avenir Next"/>
        </w:rPr>
      </w:pPr>
      <w:r w:rsidRPr="004D54A6">
        <w:rPr>
          <w:rFonts w:ascii="Avenir Next" w:hAnsi="Avenir Next"/>
        </w:rPr>
        <w:t>Pressemitteilung</w:t>
      </w:r>
    </w:p>
    <w:p w14:paraId="5705752B" w14:textId="77777777" w:rsidR="004D54A6" w:rsidRDefault="004D54A6" w:rsidP="004D54A6">
      <w:pPr>
        <w:rPr>
          <w:rFonts w:ascii="Avenir Next" w:hAnsi="Avenir Next"/>
          <w:b/>
          <w:bCs/>
        </w:rPr>
      </w:pPr>
    </w:p>
    <w:p w14:paraId="1453C144" w14:textId="0F695599" w:rsidR="004D54A6" w:rsidRPr="004D54A6" w:rsidRDefault="004D54A6" w:rsidP="004D54A6">
      <w:pPr>
        <w:rPr>
          <w:rFonts w:ascii="Avenir Next" w:hAnsi="Avenir Next"/>
        </w:rPr>
      </w:pPr>
      <w:r w:rsidRPr="004D54A6">
        <w:rPr>
          <w:rFonts w:ascii="Avenir Next" w:hAnsi="Avenir Next"/>
          <w:b/>
          <w:bCs/>
        </w:rPr>
        <w:t>Nutzerfreundlicher Produkt- und Preisvergleich ist der Erfolgstreiber:</w:t>
      </w:r>
      <w:r w:rsidRPr="004D54A6">
        <w:rPr>
          <w:rFonts w:ascii="Avenir Next" w:hAnsi="Avenir Next"/>
        </w:rPr>
        <w:br/>
      </w:r>
      <w:r w:rsidRPr="004D54A6">
        <w:rPr>
          <w:rFonts w:ascii="Avenir Next" w:hAnsi="Avenir Next"/>
          <w:b/>
          <w:bCs/>
          <w:sz w:val="44"/>
          <w:szCs w:val="44"/>
        </w:rPr>
        <w:t>moebel.de verdoppelt Partnerumsatz</w:t>
      </w:r>
    </w:p>
    <w:p w14:paraId="770E9874" w14:textId="77777777" w:rsidR="004D54A6" w:rsidRDefault="004D54A6" w:rsidP="004D54A6">
      <w:pPr>
        <w:rPr>
          <w:rFonts w:ascii="Avenir Next" w:hAnsi="Avenir Next"/>
          <w:b/>
          <w:bCs/>
        </w:rPr>
      </w:pPr>
    </w:p>
    <w:p w14:paraId="6C2A04C6" w14:textId="076CE15E" w:rsidR="004D54A6" w:rsidRPr="004D54A6" w:rsidRDefault="004D54A6" w:rsidP="004D54A6">
      <w:pPr>
        <w:rPr>
          <w:rFonts w:ascii="Avenir Next" w:hAnsi="Avenir Next"/>
        </w:rPr>
      </w:pPr>
      <w:r w:rsidRPr="004D54A6">
        <w:rPr>
          <w:rFonts w:ascii="Avenir Next" w:hAnsi="Avenir Next"/>
          <w:b/>
          <w:bCs/>
        </w:rPr>
        <w:t>Heutzutage ist es üblich, sich vor dem Möbelkauf online zu informieren und zu vergleichen – unabhängig davon, ob der Kauf dann stationär oder online erfolgt. moebel.de, die führende neutrale Suchmaschine für den Möbelhandel, hat dieses zentrale Bedürfnis erkannt und ermöglicht einen Produkt- und Preisvergleich, der die Besonderheiten der Möbelvermarktung berücksichtigt. Das Ergebnis: moebel.de hat den Umsatz seiner Partner innerhalb von nur zwölf Monaten verdoppelt.</w:t>
      </w:r>
    </w:p>
    <w:p w14:paraId="3BE8AF14" w14:textId="77777777" w:rsidR="004D54A6" w:rsidRDefault="004D54A6" w:rsidP="004D54A6">
      <w:pPr>
        <w:rPr>
          <w:rFonts w:ascii="Avenir Next" w:hAnsi="Avenir Next"/>
          <w:b/>
          <w:bCs/>
        </w:rPr>
      </w:pPr>
    </w:p>
    <w:p w14:paraId="23060D2D" w14:textId="7AD0EB88" w:rsidR="004D54A6" w:rsidRPr="004D54A6" w:rsidRDefault="004D54A6" w:rsidP="004D54A6">
      <w:pPr>
        <w:rPr>
          <w:rFonts w:ascii="Avenir Next" w:hAnsi="Avenir Next"/>
        </w:rPr>
      </w:pPr>
      <w:r w:rsidRPr="004D54A6">
        <w:rPr>
          <w:rFonts w:ascii="Avenir Next" w:hAnsi="Avenir Next"/>
          <w:b/>
          <w:bCs/>
        </w:rPr>
        <w:t>Innovativer Preis- und Produktvergleich ermöglicht optimale Kaufentscheidungen</w:t>
      </w:r>
    </w:p>
    <w:p w14:paraId="15D7A3F7" w14:textId="77777777" w:rsidR="004D54A6" w:rsidRDefault="004D54A6" w:rsidP="004D54A6">
      <w:pPr>
        <w:rPr>
          <w:rFonts w:ascii="Avenir Next" w:hAnsi="Avenir Next"/>
        </w:rPr>
      </w:pPr>
    </w:p>
    <w:p w14:paraId="3A344AE5" w14:textId="23768BA3" w:rsidR="004D54A6" w:rsidRPr="004D54A6" w:rsidRDefault="004D54A6" w:rsidP="004D54A6">
      <w:pPr>
        <w:rPr>
          <w:rFonts w:ascii="Avenir Next" w:hAnsi="Avenir Next"/>
        </w:rPr>
      </w:pPr>
      <w:r w:rsidRPr="004D54A6">
        <w:rPr>
          <w:rFonts w:ascii="Avenir Next" w:hAnsi="Avenir Next"/>
        </w:rPr>
        <w:t>Während übergreifende Tools wie Shopping-Funktionen in Suchmaschinen wie Google und Bing oder Suchen auf Marktplätzen wie Amazon eher allgemeine Produktvergleiche ermöglichen, geht moebel.de gezielt auf die Besonderheiten des Möbelhandels ein. So können Nutzer nicht nur Preise, sondern auch andere relevante Faktoren wie Verfügbarkeit, Produktattribute (z.B. Materialien, Farben, Formen, Funktionen etc.) oder Services (z.B. Lieferung oder Montage) direkt miteinander vergleichen.</w:t>
      </w:r>
    </w:p>
    <w:p w14:paraId="2D40A13E" w14:textId="77777777" w:rsidR="004D54A6" w:rsidRDefault="004D54A6" w:rsidP="004D54A6">
      <w:pPr>
        <w:rPr>
          <w:rFonts w:ascii="Avenir Next" w:hAnsi="Avenir Next"/>
        </w:rPr>
      </w:pPr>
    </w:p>
    <w:p w14:paraId="0329FAFA" w14:textId="6891679B" w:rsidR="004D54A6" w:rsidRPr="004D54A6" w:rsidRDefault="004D54A6" w:rsidP="004D54A6">
      <w:pPr>
        <w:rPr>
          <w:rFonts w:ascii="Avenir Next" w:hAnsi="Avenir Next"/>
        </w:rPr>
      </w:pPr>
      <w:r w:rsidRPr="004D54A6">
        <w:rPr>
          <w:rFonts w:ascii="Avenir Next" w:hAnsi="Avenir Next"/>
        </w:rPr>
        <w:t>Dabei verfolgt moebel.de einen partnerschaftlichen Ansatz: Dem Nutzer werden z.B. auf dem Mobilgerät nur die zwei besten Angebote für ein Produkt präsentiert. Das erleichtert die Entscheidungsfindung für die Verbraucher und erhöht gleichzeitig die Effizienz für die Handelspartner, denn Fehlklicks werden vermieden, da ungünstige Angebote gar nicht erst angezeigt werden.</w:t>
      </w:r>
    </w:p>
    <w:p w14:paraId="7C8DFCBE" w14:textId="7DF9B992" w:rsidR="004D54A6" w:rsidRPr="004D54A6" w:rsidRDefault="004D54A6" w:rsidP="004D54A6">
      <w:pPr>
        <w:rPr>
          <w:rFonts w:ascii="Avenir Next" w:hAnsi="Avenir Next"/>
        </w:rPr>
      </w:pPr>
      <w:r w:rsidRPr="004D54A6">
        <w:rPr>
          <w:rFonts w:ascii="Avenir Next" w:hAnsi="Avenir Next"/>
        </w:rPr>
        <w:t>„</w:t>
      </w:r>
      <w:r w:rsidR="0020566E" w:rsidRPr="0020566E">
        <w:rPr>
          <w:rFonts w:ascii="Avenir Next" w:hAnsi="Avenir Next"/>
        </w:rPr>
        <w:t>Seit der Einführung der Vergleichsfunktionen </w:t>
      </w:r>
      <w:r w:rsidR="0020566E">
        <w:rPr>
          <w:rFonts w:ascii="Avenir Next" w:hAnsi="Avenir Next"/>
        </w:rPr>
        <w:t>–</w:t>
      </w:r>
      <w:r w:rsidR="0020566E" w:rsidRPr="0020566E">
        <w:rPr>
          <w:rFonts w:ascii="Avenir Next" w:hAnsi="Avenir Next"/>
        </w:rPr>
        <w:t xml:space="preserve"> wie Preis und Service – hat sich die Conversion Rate für unsere Partnershops sprunghaft verbessert. Dadurch ist der Händlerumsatz pro Klick doppelt so hoch“, erklärt Alexander Wessels, Chief Revenue Officer von moebel.de</w:t>
      </w:r>
      <w:r w:rsidRPr="004D54A6">
        <w:rPr>
          <w:rFonts w:ascii="Avenir Next" w:hAnsi="Avenir Next"/>
        </w:rPr>
        <w:t>.</w:t>
      </w:r>
    </w:p>
    <w:p w14:paraId="6E260081" w14:textId="77777777" w:rsidR="004D54A6" w:rsidRPr="004D54A6" w:rsidRDefault="004D54A6" w:rsidP="004D54A6">
      <w:pPr>
        <w:rPr>
          <w:rFonts w:ascii="Avenir Next" w:hAnsi="Avenir Next"/>
        </w:rPr>
      </w:pPr>
      <w:r w:rsidRPr="004D54A6">
        <w:rPr>
          <w:rFonts w:ascii="Avenir Next" w:hAnsi="Avenir Next"/>
          <w:b/>
          <w:bCs/>
        </w:rPr>
        <w:lastRenderedPageBreak/>
        <w:t>Positive Impulse zur Haupteinrichtungssaison</w:t>
      </w:r>
    </w:p>
    <w:p w14:paraId="54C32F9D" w14:textId="77777777" w:rsidR="004D54A6" w:rsidRDefault="004D54A6" w:rsidP="004D54A6">
      <w:pPr>
        <w:rPr>
          <w:rFonts w:ascii="Avenir Next" w:hAnsi="Avenir Next"/>
        </w:rPr>
      </w:pPr>
    </w:p>
    <w:p w14:paraId="42EE52F8" w14:textId="6583ED33" w:rsidR="004D54A6" w:rsidRPr="004D54A6" w:rsidRDefault="004D54A6" w:rsidP="004D54A6">
      <w:pPr>
        <w:rPr>
          <w:rFonts w:ascii="Avenir Next" w:hAnsi="Avenir Next"/>
        </w:rPr>
      </w:pPr>
      <w:r w:rsidRPr="004D54A6">
        <w:rPr>
          <w:rFonts w:ascii="Avenir Next" w:hAnsi="Avenir Next"/>
        </w:rPr>
        <w:t>Die Weiterentwicklung der seit über 20 Jahren am Markt etablierten Plattform wirkt sich nicht nur auf moebel.de selbst aus, sondern belebt die gesamte Möbelbranche, da Händler von qualifizierteren Leads mit höherer Abschlusswahrscheinlichkeit profitieren. Jeder bei moebel.de teilnehmende Händler kann somit in der jetzt startenden Möbelhauptsaison davon profitieren, streuverlustfreien Traffic zu erhalten sowie mit moebel.de seine Marketingakt</w:t>
      </w:r>
      <w:r>
        <w:rPr>
          <w:rFonts w:ascii="Avenir Next" w:hAnsi="Avenir Next"/>
        </w:rPr>
        <w:t>i</w:t>
      </w:r>
      <w:r w:rsidRPr="004D54A6">
        <w:rPr>
          <w:rFonts w:ascii="Avenir Next" w:hAnsi="Avenir Next"/>
        </w:rPr>
        <w:t>vitäten zu skalieren und zu diversifizieren. Dies gilt nicht nur für E-Commerce-Händler, sondern auch für Händler mit primär stationärem Fokus.</w:t>
      </w:r>
    </w:p>
    <w:p w14:paraId="16E5668C" w14:textId="77777777" w:rsidR="004D54A6" w:rsidRDefault="004D54A6" w:rsidP="004D54A6">
      <w:pPr>
        <w:rPr>
          <w:rFonts w:ascii="Avenir Next" w:hAnsi="Avenir Next"/>
          <w:b/>
          <w:bCs/>
        </w:rPr>
      </w:pPr>
    </w:p>
    <w:p w14:paraId="4BF1C28B" w14:textId="6A353955" w:rsidR="004D54A6" w:rsidRPr="004D54A6" w:rsidRDefault="004D54A6" w:rsidP="004D54A6">
      <w:pPr>
        <w:rPr>
          <w:rFonts w:ascii="Avenir Next" w:hAnsi="Avenir Next"/>
        </w:rPr>
      </w:pPr>
      <w:r w:rsidRPr="004D54A6">
        <w:rPr>
          <w:rFonts w:ascii="Avenir Next" w:hAnsi="Avenir Next"/>
          <w:b/>
          <w:bCs/>
        </w:rPr>
        <w:t>Neuer Werbeslogan für 2025 </w:t>
      </w:r>
    </w:p>
    <w:p w14:paraId="14C12F28" w14:textId="77777777" w:rsidR="004D54A6" w:rsidRPr="004D54A6" w:rsidRDefault="004D54A6" w:rsidP="004D54A6">
      <w:pPr>
        <w:rPr>
          <w:rFonts w:ascii="Avenir Next" w:hAnsi="Avenir Next"/>
        </w:rPr>
      </w:pPr>
      <w:r w:rsidRPr="004D54A6">
        <w:rPr>
          <w:rFonts w:ascii="Avenir Next" w:hAnsi="Avenir Next"/>
        </w:rPr>
        <w:t xml:space="preserve">Um noch mehr Nutzern den Zugang zu den neuen Funktionalitäten zu ermöglichen, startet moebel.de zum Jahreswechsel eine 360-Grad-Werbekampagne unter dem Motto „moebel dir den besten Preis!“. </w:t>
      </w:r>
      <w:r w:rsidRPr="004D54A6">
        <w:rPr>
          <w:rFonts w:ascii="Avenir Next" w:hAnsi="Avenir Next"/>
        </w:rPr>
        <w:br/>
        <w:t>Ziel der Kampagne ist es, Millionen von Möbelinteressenten in der Haupteinrichtungssaison zu ihrem Wunschmöbel in den Möbelhandel zu führen.</w:t>
      </w:r>
    </w:p>
    <w:p w14:paraId="6AEE35E3" w14:textId="77777777" w:rsidR="004D54A6" w:rsidRDefault="004D54A6" w:rsidP="004D54A6">
      <w:pPr>
        <w:rPr>
          <w:rFonts w:ascii="Avenir Next" w:hAnsi="Avenir Next"/>
          <w:b/>
          <w:bCs/>
        </w:rPr>
      </w:pPr>
    </w:p>
    <w:p w14:paraId="523AD125" w14:textId="112F9EDD" w:rsidR="004D54A6" w:rsidRPr="004D54A6" w:rsidRDefault="004D54A6" w:rsidP="004D54A6">
      <w:pPr>
        <w:rPr>
          <w:rFonts w:ascii="Avenir Next" w:hAnsi="Avenir Next"/>
        </w:rPr>
      </w:pPr>
      <w:r w:rsidRPr="004D54A6">
        <w:rPr>
          <w:rFonts w:ascii="Avenir Next" w:hAnsi="Avenir Next"/>
          <w:b/>
          <w:bCs/>
        </w:rPr>
        <w:t>moebel.de unterstützt mit neuem Preisvergleich den Handel </w:t>
      </w:r>
    </w:p>
    <w:p w14:paraId="35765A73" w14:textId="6EBE5D80" w:rsidR="004D54A6" w:rsidRPr="004D54A6" w:rsidRDefault="004D54A6" w:rsidP="004D54A6">
      <w:pPr>
        <w:rPr>
          <w:rFonts w:ascii="Avenir Next" w:hAnsi="Avenir Next"/>
        </w:rPr>
      </w:pPr>
      <w:r w:rsidRPr="004D54A6">
        <w:rPr>
          <w:rFonts w:ascii="Avenir Next" w:hAnsi="Avenir Next"/>
        </w:rPr>
        <w:t>„KI-Tools ermöglichen bereits einige Zeit einen echten Preis- und Produktvergleich. Dazu hat jeder Nutzer einfachen Zugang. Stichwort: Bildersuche über Google Lens. Anstatt sich gegen den Produkt- und Preisvergleich zu wehren, setzt moebel.de für den Möbelhandel nun auf eine Lösung, die für den Nutzer nur die günstigsten Angebote von seinen Partnern zeigt und die teureren Angebote ausblendet“, betont Arne Stock</w:t>
      </w:r>
      <w:r w:rsidR="0020566E">
        <w:rPr>
          <w:rFonts w:ascii="Avenir Next" w:hAnsi="Avenir Next"/>
        </w:rPr>
        <w:t>,</w:t>
      </w:r>
      <w:r w:rsidRPr="004D54A6">
        <w:rPr>
          <w:rFonts w:ascii="Avenir Next" w:hAnsi="Avenir Next"/>
        </w:rPr>
        <w:t xml:space="preserve"> Geschäftsführer von moebel.de. „Mit der moebel.de-Vergleichslösung befriedigen wir ein zentrales Nutzerbedürfnis und verbinden es mit den Bedürfnissen des Handels, mehr Umsatz pro vermitteltem Besucher zu machen. Als Plattform für alle Teilnehmer der Branche ist es unser Ziel, Angebote und Nachfrage effizient zu verbinden.“</w:t>
      </w:r>
    </w:p>
    <w:p w14:paraId="1878B7BC" w14:textId="77777777" w:rsidR="004D54A6" w:rsidRPr="004D54A6" w:rsidRDefault="004D54A6" w:rsidP="004D54A6">
      <w:pPr>
        <w:rPr>
          <w:rFonts w:ascii="Avenir Next" w:hAnsi="Avenir Next"/>
        </w:rPr>
      </w:pPr>
      <w:r w:rsidRPr="004D54A6">
        <w:rPr>
          <w:rFonts w:ascii="Avenir Next" w:hAnsi="Avenir Next"/>
        </w:rPr>
        <w:t>  </w:t>
      </w:r>
    </w:p>
    <w:p w14:paraId="6A2D657C" w14:textId="77777777" w:rsidR="004D54A6" w:rsidRPr="004D54A6" w:rsidRDefault="004D54A6" w:rsidP="004D54A6">
      <w:pPr>
        <w:rPr>
          <w:rFonts w:ascii="Avenir Next" w:hAnsi="Avenir Next"/>
        </w:rPr>
      </w:pPr>
      <w:r w:rsidRPr="004D54A6">
        <w:rPr>
          <w:rFonts w:ascii="Avenir Next" w:hAnsi="Avenir Next"/>
          <w:b/>
          <w:bCs/>
        </w:rPr>
        <w:t>Über moebel.de</w:t>
      </w:r>
    </w:p>
    <w:p w14:paraId="4EA5F4C9" w14:textId="77777777" w:rsidR="004D54A6" w:rsidRDefault="004D54A6" w:rsidP="004D54A6">
      <w:pPr>
        <w:rPr>
          <w:rFonts w:ascii="Avenir Next" w:hAnsi="Avenir Next"/>
        </w:rPr>
      </w:pPr>
    </w:p>
    <w:p w14:paraId="6A9B3D1B" w14:textId="4F9628BF" w:rsidR="004D54A6" w:rsidRPr="004D54A6" w:rsidRDefault="004D54A6" w:rsidP="004D54A6">
      <w:pPr>
        <w:rPr>
          <w:rFonts w:ascii="Avenir Next" w:hAnsi="Avenir Next"/>
        </w:rPr>
      </w:pPr>
      <w:r w:rsidRPr="004D54A6">
        <w:rPr>
          <w:rFonts w:ascii="Avenir Next" w:hAnsi="Avenir Next"/>
        </w:rPr>
        <w:t>moebel.de ist ein Vergleichsportal für Einrichtung, Möbel und Wohnen. Jahr für Jahr hilft moebel.de Millionen Besuchern dabei, Möbelstücke zu finden und günstig online zu kaufen. Die Auswahl umfasst knapp 3.000.000 Produkte von verschiedenen Marken und Partnern, darunter über 250 Shops wie z.B. Otto, XXXLutz, Baur, Wayfair, Riess-Ambiente und viele mehr. Jeder der Partnershops ist mit einem Prüfzertifikat versehen, das hohe Qualitätsansprüche garantiert.</w:t>
      </w:r>
    </w:p>
    <w:p w14:paraId="7C68EA66" w14:textId="3BA318A0" w:rsidR="004D7DEF" w:rsidRPr="006F0881" w:rsidRDefault="004D7DEF" w:rsidP="004D54A6">
      <w:pPr>
        <w:rPr>
          <w:rFonts w:ascii="Avenir Next" w:hAnsi="Avenir Next"/>
          <w:b/>
          <w:bCs/>
        </w:rPr>
      </w:pPr>
    </w:p>
    <w:sectPr w:rsidR="004D7DEF" w:rsidRPr="006F08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641FF"/>
    <w:multiLevelType w:val="multilevel"/>
    <w:tmpl w:val="4C12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6E7407"/>
    <w:multiLevelType w:val="multilevel"/>
    <w:tmpl w:val="15B4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4105885">
    <w:abstractNumId w:val="0"/>
  </w:num>
  <w:num w:numId="2" w16cid:durableId="1920628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1E"/>
    <w:rsid w:val="0018497C"/>
    <w:rsid w:val="001D6B1E"/>
    <w:rsid w:val="0020566E"/>
    <w:rsid w:val="00242828"/>
    <w:rsid w:val="004D54A6"/>
    <w:rsid w:val="004D7DEF"/>
    <w:rsid w:val="005B75B6"/>
    <w:rsid w:val="006A6DC7"/>
    <w:rsid w:val="006D01D7"/>
    <w:rsid w:val="006F0881"/>
    <w:rsid w:val="00747623"/>
    <w:rsid w:val="00771129"/>
    <w:rsid w:val="008942B5"/>
    <w:rsid w:val="009E433F"/>
    <w:rsid w:val="00B72C40"/>
    <w:rsid w:val="00D535E4"/>
    <w:rsid w:val="00EB78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C5CD252"/>
  <w15:chartTrackingRefBased/>
  <w15:docId w15:val="{A6C3C39C-2D10-BB4E-9F22-8A469C7C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6B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D6B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D6B1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D6B1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D6B1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D6B1E"/>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D6B1E"/>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D6B1E"/>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D6B1E"/>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6B1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D6B1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D6B1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D6B1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D6B1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D6B1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D6B1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D6B1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D6B1E"/>
    <w:rPr>
      <w:rFonts w:eastAsiaTheme="majorEastAsia" w:cstheme="majorBidi"/>
      <w:color w:val="272727" w:themeColor="text1" w:themeTint="D8"/>
    </w:rPr>
  </w:style>
  <w:style w:type="paragraph" w:styleId="Titel">
    <w:name w:val="Title"/>
    <w:basedOn w:val="Standard"/>
    <w:next w:val="Standard"/>
    <w:link w:val="TitelZchn"/>
    <w:uiPriority w:val="10"/>
    <w:qFormat/>
    <w:rsid w:val="001D6B1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D6B1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D6B1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D6B1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D6B1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D6B1E"/>
    <w:rPr>
      <w:i/>
      <w:iCs/>
      <w:color w:val="404040" w:themeColor="text1" w:themeTint="BF"/>
    </w:rPr>
  </w:style>
  <w:style w:type="paragraph" w:styleId="Listenabsatz">
    <w:name w:val="List Paragraph"/>
    <w:basedOn w:val="Standard"/>
    <w:uiPriority w:val="34"/>
    <w:qFormat/>
    <w:rsid w:val="001D6B1E"/>
    <w:pPr>
      <w:ind w:left="720"/>
      <w:contextualSpacing/>
    </w:pPr>
  </w:style>
  <w:style w:type="character" w:styleId="IntensiveHervorhebung">
    <w:name w:val="Intense Emphasis"/>
    <w:basedOn w:val="Absatz-Standardschriftart"/>
    <w:uiPriority w:val="21"/>
    <w:qFormat/>
    <w:rsid w:val="001D6B1E"/>
    <w:rPr>
      <w:i/>
      <w:iCs/>
      <w:color w:val="0F4761" w:themeColor="accent1" w:themeShade="BF"/>
    </w:rPr>
  </w:style>
  <w:style w:type="paragraph" w:styleId="IntensivesZitat">
    <w:name w:val="Intense Quote"/>
    <w:basedOn w:val="Standard"/>
    <w:next w:val="Standard"/>
    <w:link w:val="IntensivesZitatZchn"/>
    <w:uiPriority w:val="30"/>
    <w:qFormat/>
    <w:rsid w:val="001D6B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D6B1E"/>
    <w:rPr>
      <w:i/>
      <w:iCs/>
      <w:color w:val="0F4761" w:themeColor="accent1" w:themeShade="BF"/>
    </w:rPr>
  </w:style>
  <w:style w:type="character" w:styleId="IntensiverVerweis">
    <w:name w:val="Intense Reference"/>
    <w:basedOn w:val="Absatz-Standardschriftart"/>
    <w:uiPriority w:val="32"/>
    <w:qFormat/>
    <w:rsid w:val="001D6B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1313">
      <w:bodyDiv w:val="1"/>
      <w:marLeft w:val="0"/>
      <w:marRight w:val="0"/>
      <w:marTop w:val="0"/>
      <w:marBottom w:val="0"/>
      <w:divBdr>
        <w:top w:val="none" w:sz="0" w:space="0" w:color="auto"/>
        <w:left w:val="none" w:sz="0" w:space="0" w:color="auto"/>
        <w:bottom w:val="none" w:sz="0" w:space="0" w:color="auto"/>
        <w:right w:val="none" w:sz="0" w:space="0" w:color="auto"/>
      </w:divBdr>
    </w:div>
    <w:div w:id="402532815">
      <w:bodyDiv w:val="1"/>
      <w:marLeft w:val="0"/>
      <w:marRight w:val="0"/>
      <w:marTop w:val="0"/>
      <w:marBottom w:val="0"/>
      <w:divBdr>
        <w:top w:val="none" w:sz="0" w:space="0" w:color="auto"/>
        <w:left w:val="none" w:sz="0" w:space="0" w:color="auto"/>
        <w:bottom w:val="none" w:sz="0" w:space="0" w:color="auto"/>
        <w:right w:val="none" w:sz="0" w:space="0" w:color="auto"/>
      </w:divBdr>
    </w:div>
    <w:div w:id="605891678">
      <w:bodyDiv w:val="1"/>
      <w:marLeft w:val="0"/>
      <w:marRight w:val="0"/>
      <w:marTop w:val="0"/>
      <w:marBottom w:val="0"/>
      <w:divBdr>
        <w:top w:val="none" w:sz="0" w:space="0" w:color="auto"/>
        <w:left w:val="none" w:sz="0" w:space="0" w:color="auto"/>
        <w:bottom w:val="none" w:sz="0" w:space="0" w:color="auto"/>
        <w:right w:val="none" w:sz="0" w:space="0" w:color="auto"/>
      </w:divBdr>
    </w:div>
    <w:div w:id="655911792">
      <w:bodyDiv w:val="1"/>
      <w:marLeft w:val="0"/>
      <w:marRight w:val="0"/>
      <w:marTop w:val="0"/>
      <w:marBottom w:val="0"/>
      <w:divBdr>
        <w:top w:val="none" w:sz="0" w:space="0" w:color="auto"/>
        <w:left w:val="none" w:sz="0" w:space="0" w:color="auto"/>
        <w:bottom w:val="none" w:sz="0" w:space="0" w:color="auto"/>
        <w:right w:val="none" w:sz="0" w:space="0" w:color="auto"/>
      </w:divBdr>
    </w:div>
    <w:div w:id="779494379">
      <w:bodyDiv w:val="1"/>
      <w:marLeft w:val="0"/>
      <w:marRight w:val="0"/>
      <w:marTop w:val="0"/>
      <w:marBottom w:val="0"/>
      <w:divBdr>
        <w:top w:val="none" w:sz="0" w:space="0" w:color="auto"/>
        <w:left w:val="none" w:sz="0" w:space="0" w:color="auto"/>
        <w:bottom w:val="none" w:sz="0" w:space="0" w:color="auto"/>
        <w:right w:val="none" w:sz="0" w:space="0" w:color="auto"/>
      </w:divBdr>
    </w:div>
    <w:div w:id="893272454">
      <w:bodyDiv w:val="1"/>
      <w:marLeft w:val="0"/>
      <w:marRight w:val="0"/>
      <w:marTop w:val="0"/>
      <w:marBottom w:val="0"/>
      <w:divBdr>
        <w:top w:val="none" w:sz="0" w:space="0" w:color="auto"/>
        <w:left w:val="none" w:sz="0" w:space="0" w:color="auto"/>
        <w:bottom w:val="none" w:sz="0" w:space="0" w:color="auto"/>
        <w:right w:val="none" w:sz="0" w:space="0" w:color="auto"/>
      </w:divBdr>
    </w:div>
    <w:div w:id="1071268354">
      <w:bodyDiv w:val="1"/>
      <w:marLeft w:val="0"/>
      <w:marRight w:val="0"/>
      <w:marTop w:val="0"/>
      <w:marBottom w:val="0"/>
      <w:divBdr>
        <w:top w:val="none" w:sz="0" w:space="0" w:color="auto"/>
        <w:left w:val="none" w:sz="0" w:space="0" w:color="auto"/>
        <w:bottom w:val="none" w:sz="0" w:space="0" w:color="auto"/>
        <w:right w:val="none" w:sz="0" w:space="0" w:color="auto"/>
      </w:divBdr>
    </w:div>
    <w:div w:id="1226064902">
      <w:bodyDiv w:val="1"/>
      <w:marLeft w:val="0"/>
      <w:marRight w:val="0"/>
      <w:marTop w:val="0"/>
      <w:marBottom w:val="0"/>
      <w:divBdr>
        <w:top w:val="none" w:sz="0" w:space="0" w:color="auto"/>
        <w:left w:val="none" w:sz="0" w:space="0" w:color="auto"/>
        <w:bottom w:val="none" w:sz="0" w:space="0" w:color="auto"/>
        <w:right w:val="none" w:sz="0" w:space="0" w:color="auto"/>
      </w:divBdr>
    </w:div>
    <w:div w:id="1411777821">
      <w:bodyDiv w:val="1"/>
      <w:marLeft w:val="0"/>
      <w:marRight w:val="0"/>
      <w:marTop w:val="0"/>
      <w:marBottom w:val="0"/>
      <w:divBdr>
        <w:top w:val="none" w:sz="0" w:space="0" w:color="auto"/>
        <w:left w:val="none" w:sz="0" w:space="0" w:color="auto"/>
        <w:bottom w:val="none" w:sz="0" w:space="0" w:color="auto"/>
        <w:right w:val="none" w:sz="0" w:space="0" w:color="auto"/>
      </w:divBdr>
    </w:div>
    <w:div w:id="1741365877">
      <w:bodyDiv w:val="1"/>
      <w:marLeft w:val="0"/>
      <w:marRight w:val="0"/>
      <w:marTop w:val="0"/>
      <w:marBottom w:val="0"/>
      <w:divBdr>
        <w:top w:val="none" w:sz="0" w:space="0" w:color="auto"/>
        <w:left w:val="none" w:sz="0" w:space="0" w:color="auto"/>
        <w:bottom w:val="none" w:sz="0" w:space="0" w:color="auto"/>
        <w:right w:val="none" w:sz="0" w:space="0" w:color="auto"/>
      </w:divBdr>
    </w:div>
    <w:div w:id="1841919571">
      <w:bodyDiv w:val="1"/>
      <w:marLeft w:val="0"/>
      <w:marRight w:val="0"/>
      <w:marTop w:val="0"/>
      <w:marBottom w:val="0"/>
      <w:divBdr>
        <w:top w:val="none" w:sz="0" w:space="0" w:color="auto"/>
        <w:left w:val="none" w:sz="0" w:space="0" w:color="auto"/>
        <w:bottom w:val="none" w:sz="0" w:space="0" w:color="auto"/>
        <w:right w:val="none" w:sz="0" w:space="0" w:color="auto"/>
      </w:divBdr>
    </w:div>
    <w:div w:id="1999991723">
      <w:bodyDiv w:val="1"/>
      <w:marLeft w:val="0"/>
      <w:marRight w:val="0"/>
      <w:marTop w:val="0"/>
      <w:marBottom w:val="0"/>
      <w:divBdr>
        <w:top w:val="none" w:sz="0" w:space="0" w:color="auto"/>
        <w:left w:val="none" w:sz="0" w:space="0" w:color="auto"/>
        <w:bottom w:val="none" w:sz="0" w:space="0" w:color="auto"/>
        <w:right w:val="none" w:sz="0" w:space="0" w:color="auto"/>
      </w:divBdr>
    </w:div>
    <w:div w:id="2074350848">
      <w:bodyDiv w:val="1"/>
      <w:marLeft w:val="0"/>
      <w:marRight w:val="0"/>
      <w:marTop w:val="0"/>
      <w:marBottom w:val="0"/>
      <w:divBdr>
        <w:top w:val="none" w:sz="0" w:space="0" w:color="auto"/>
        <w:left w:val="none" w:sz="0" w:space="0" w:color="auto"/>
        <w:bottom w:val="none" w:sz="0" w:space="0" w:color="auto"/>
        <w:right w:val="none" w:sz="0" w:space="0" w:color="auto"/>
      </w:divBdr>
    </w:div>
    <w:div w:id="213381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Kristina Tapken</cp:lastModifiedBy>
  <cp:revision>6</cp:revision>
  <dcterms:created xsi:type="dcterms:W3CDTF">2024-12-17T08:53:00Z</dcterms:created>
  <dcterms:modified xsi:type="dcterms:W3CDTF">2024-12-29T10:19:00Z</dcterms:modified>
</cp:coreProperties>
</file>