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77AC" w14:textId="77777777" w:rsidR="00A77B3E" w:rsidRDefault="00FF2E54">
      <w:pPr>
        <w:spacing w:line="248" w:lineRule="auto"/>
        <w:rPr>
          <w:sz w:val="20"/>
        </w:rPr>
      </w:pPr>
      <w:bookmarkStart w:id="0" w:name="Section1"/>
      <w:bookmarkEnd w:id="0"/>
      <w:r>
        <w:rPr>
          <w:noProof/>
        </w:rPr>
        <w:drawing>
          <wp:inline distT="0" distB="0" distL="0" distR="0" wp14:anchorId="3851FCB2" wp14:editId="3C57F954">
            <wp:extent cx="2819400" cy="39516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819400" cy="395160"/>
                    </a:xfrm>
                    <a:prstGeom prst="rect">
                      <a:avLst/>
                    </a:prstGeom>
                    <a:noFill/>
                    <a:ln>
                      <a:noFill/>
                    </a:ln>
                  </pic:spPr>
                </pic:pic>
              </a:graphicData>
            </a:graphic>
          </wp:inline>
        </w:drawing>
      </w:r>
    </w:p>
    <w:p w14:paraId="34F3E1EB" w14:textId="77777777" w:rsidR="00A77B3E" w:rsidRDefault="00A77B3E">
      <w:pPr>
        <w:spacing w:line="248" w:lineRule="auto"/>
        <w:rPr>
          <w:rFonts w:ascii="Arial" w:eastAsia="Arial" w:hAnsi="Arial" w:cs="Arial"/>
          <w:b/>
          <w:sz w:val="32"/>
        </w:rPr>
      </w:pPr>
    </w:p>
    <w:p w14:paraId="0B2EC572" w14:textId="77777777" w:rsidR="00A77B3E" w:rsidRDefault="00FF2E54">
      <w:pPr>
        <w:spacing w:line="248" w:lineRule="auto"/>
        <w:outlineLvl w:val="0"/>
        <w:rPr>
          <w:rFonts w:ascii="Arial" w:eastAsia="Arial" w:hAnsi="Arial" w:cs="Arial"/>
          <w:b/>
          <w:sz w:val="32"/>
        </w:rPr>
      </w:pPr>
      <w:r>
        <w:rPr>
          <w:rFonts w:ascii="Arial" w:eastAsia="Arial" w:hAnsi="Arial" w:cs="Arial"/>
          <w:b/>
          <w:sz w:val="32"/>
        </w:rPr>
        <w:t>Press Release</w:t>
      </w:r>
    </w:p>
    <w:p w14:paraId="1C596E6C" w14:textId="77777777" w:rsidR="00A77B3E" w:rsidRDefault="00A77B3E">
      <w:pPr>
        <w:spacing w:line="248" w:lineRule="auto"/>
        <w:rPr>
          <w:sz w:val="20"/>
        </w:rPr>
      </w:pPr>
    </w:p>
    <w:p w14:paraId="2DEDEE11" w14:textId="77777777" w:rsidR="00A77B3E" w:rsidRDefault="00FF2E54">
      <w:pPr>
        <w:spacing w:line="248" w:lineRule="auto"/>
        <w:jc w:val="center"/>
        <w:rPr>
          <w:rFonts w:ascii="Arial" w:eastAsia="Arial" w:hAnsi="Arial" w:cs="Arial"/>
          <w:b/>
          <w:sz w:val="28"/>
        </w:rPr>
      </w:pPr>
      <w:r>
        <w:rPr>
          <w:rFonts w:ascii="Arial" w:eastAsia="Arial" w:hAnsi="Arial" w:cs="Arial"/>
          <w:b/>
          <w:sz w:val="28"/>
        </w:rPr>
        <w:t>Fortinet Reports Third Quarter 2020 Financial Results</w:t>
      </w:r>
    </w:p>
    <w:p w14:paraId="1BD2CAEF" w14:textId="77777777" w:rsidR="00A77B3E" w:rsidRDefault="00A77B3E">
      <w:pPr>
        <w:spacing w:line="248" w:lineRule="auto"/>
        <w:jc w:val="center"/>
        <w:rPr>
          <w:rFonts w:ascii="Arial" w:eastAsia="Arial" w:hAnsi="Arial" w:cs="Arial"/>
          <w:b/>
          <w:i/>
          <w:sz w:val="28"/>
        </w:rPr>
      </w:pPr>
    </w:p>
    <w:p w14:paraId="00BFF49E" w14:textId="77777777" w:rsidR="00A77B3E" w:rsidRDefault="00FF2E54">
      <w:pPr>
        <w:spacing w:line="248" w:lineRule="auto"/>
        <w:rPr>
          <w:rFonts w:ascii="Arial" w:eastAsia="Arial" w:hAnsi="Arial" w:cs="Arial"/>
          <w:b/>
        </w:rPr>
      </w:pPr>
      <w:r>
        <w:rPr>
          <w:rFonts w:ascii="Arial" w:eastAsia="Arial" w:hAnsi="Arial" w:cs="Arial"/>
          <w:b/>
        </w:rPr>
        <w:t>Third Quarter 2020 Highlights</w:t>
      </w:r>
    </w:p>
    <w:p w14:paraId="5F17F0F1" w14:textId="77777777" w:rsidR="00A77B3E" w:rsidRDefault="00A77B3E">
      <w:pPr>
        <w:spacing w:line="248" w:lineRule="auto"/>
        <w:ind w:left="1440" w:hanging="360"/>
        <w:rPr>
          <w:rFonts w:ascii="Arial" w:eastAsia="Arial" w:hAnsi="Arial" w:cs="Arial"/>
          <w:i/>
          <w:sz w:val="22"/>
        </w:rPr>
      </w:pPr>
    </w:p>
    <w:p w14:paraId="34833973" w14:textId="77777777" w:rsidR="00A77B3E" w:rsidRDefault="00FF2E54" w:rsidP="00FF2E54">
      <w:pPr>
        <w:numPr>
          <w:ilvl w:val="0"/>
          <w:numId w:val="2"/>
        </w:numPr>
        <w:spacing w:line="248" w:lineRule="auto"/>
        <w:ind w:left="1440"/>
        <w:rPr>
          <w:rFonts w:ascii="Arial" w:eastAsia="Arial" w:hAnsi="Arial" w:cs="Arial"/>
          <w:i/>
          <w:sz w:val="22"/>
        </w:rPr>
      </w:pPr>
      <w:r>
        <w:rPr>
          <w:rFonts w:ascii="Arial" w:eastAsia="Arial" w:hAnsi="Arial" w:cs="Arial"/>
          <w:i/>
          <w:sz w:val="22"/>
        </w:rPr>
        <w:t>Total revenue of $651.1 million, up 19% year over year</w:t>
      </w:r>
    </w:p>
    <w:p w14:paraId="293FC54C" w14:textId="77777777" w:rsidR="00A77B3E" w:rsidRDefault="00FF2E54" w:rsidP="00FF2E54">
      <w:pPr>
        <w:numPr>
          <w:ilvl w:val="0"/>
          <w:numId w:val="2"/>
        </w:numPr>
        <w:spacing w:line="248" w:lineRule="auto"/>
        <w:ind w:left="1440"/>
        <w:rPr>
          <w:rFonts w:ascii="Arial" w:eastAsia="Arial" w:hAnsi="Arial" w:cs="Arial"/>
          <w:i/>
          <w:sz w:val="22"/>
        </w:rPr>
      </w:pPr>
      <w:r>
        <w:rPr>
          <w:rFonts w:ascii="Arial" w:eastAsia="Arial" w:hAnsi="Arial" w:cs="Arial"/>
          <w:i/>
          <w:sz w:val="22"/>
        </w:rPr>
        <w:t>Product revenue of $223.8 million, up 14% year over year</w:t>
      </w:r>
    </w:p>
    <w:p w14:paraId="0E80CA41" w14:textId="77777777" w:rsidR="00A77B3E" w:rsidRDefault="00FF2E54" w:rsidP="00FF2E54">
      <w:pPr>
        <w:numPr>
          <w:ilvl w:val="0"/>
          <w:numId w:val="2"/>
        </w:numPr>
        <w:spacing w:line="248" w:lineRule="auto"/>
        <w:ind w:left="1440"/>
        <w:rPr>
          <w:rFonts w:ascii="Arial" w:eastAsia="Arial" w:hAnsi="Arial" w:cs="Arial"/>
          <w:i/>
          <w:sz w:val="22"/>
        </w:rPr>
      </w:pPr>
      <w:r>
        <w:rPr>
          <w:rFonts w:ascii="Arial" w:eastAsia="Arial" w:hAnsi="Arial" w:cs="Arial"/>
          <w:i/>
          <w:sz w:val="22"/>
        </w:rPr>
        <w:t>Service revenue of $427.3 million, up 22% year over year</w:t>
      </w:r>
    </w:p>
    <w:p w14:paraId="7DDBEAB0" w14:textId="77777777" w:rsidR="00A77B3E" w:rsidRDefault="00FF2E54" w:rsidP="00FF2E54">
      <w:pPr>
        <w:numPr>
          <w:ilvl w:val="0"/>
          <w:numId w:val="2"/>
        </w:numPr>
        <w:spacing w:line="248" w:lineRule="auto"/>
        <w:ind w:left="1440"/>
        <w:rPr>
          <w:rFonts w:ascii="Arial" w:eastAsia="Arial" w:hAnsi="Arial" w:cs="Arial"/>
          <w:i/>
          <w:sz w:val="22"/>
        </w:rPr>
      </w:pPr>
      <w:r>
        <w:rPr>
          <w:rFonts w:ascii="Arial" w:eastAsia="Arial" w:hAnsi="Arial" w:cs="Arial"/>
          <w:i/>
          <w:sz w:val="22"/>
        </w:rPr>
        <w:t>Billings of $749.8 million, up 20% year over year</w:t>
      </w:r>
      <w:r>
        <w:rPr>
          <w:rFonts w:ascii="Arial" w:eastAsia="Arial" w:hAnsi="Arial" w:cs="Arial"/>
          <w:i/>
          <w:sz w:val="22"/>
          <w:vertAlign w:val="superscript"/>
        </w:rPr>
        <w:t>1</w:t>
      </w:r>
    </w:p>
    <w:p w14:paraId="78C76249"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Deferred revenue of $2.39 billion, up 24% year over year</w:t>
      </w:r>
    </w:p>
    <w:p w14:paraId="14129092"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GAAP operating margin of 19.5%, up 110 basis points year over year</w:t>
      </w:r>
    </w:p>
    <w:p w14:paraId="2740E2DE"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Non-GAAP operating margin of 27.4%, up 90 basis points year over year</w:t>
      </w:r>
      <w:r>
        <w:rPr>
          <w:rFonts w:ascii="Arial" w:eastAsia="Arial" w:hAnsi="Arial" w:cs="Arial"/>
          <w:i/>
          <w:sz w:val="22"/>
          <w:vertAlign w:val="superscript"/>
        </w:rPr>
        <w:t>1</w:t>
      </w:r>
    </w:p>
    <w:p w14:paraId="7F4C3077"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GAAP diluted net income per share of $0.75</w:t>
      </w:r>
    </w:p>
    <w:p w14:paraId="28EC52EC"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Non-GAAP diluted net income per share of $0.88</w:t>
      </w:r>
      <w:r>
        <w:rPr>
          <w:rFonts w:ascii="Arial" w:eastAsia="Arial" w:hAnsi="Arial" w:cs="Arial"/>
          <w:i/>
          <w:sz w:val="22"/>
          <w:vertAlign w:val="superscript"/>
        </w:rPr>
        <w:t>1</w:t>
      </w:r>
    </w:p>
    <w:p w14:paraId="0D35EDCC"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Cash flow from operations of $220.8 million</w:t>
      </w:r>
    </w:p>
    <w:p w14:paraId="68F05837" w14:textId="77777777" w:rsidR="00A77B3E" w:rsidRDefault="00FF2E54" w:rsidP="00FF2E54">
      <w:pPr>
        <w:numPr>
          <w:ilvl w:val="0"/>
          <w:numId w:val="3"/>
        </w:numPr>
        <w:spacing w:line="248" w:lineRule="auto"/>
        <w:ind w:left="1440"/>
        <w:rPr>
          <w:rFonts w:ascii="Arial" w:eastAsia="Arial" w:hAnsi="Arial" w:cs="Arial"/>
          <w:i/>
          <w:sz w:val="22"/>
        </w:rPr>
      </w:pPr>
      <w:r>
        <w:rPr>
          <w:rFonts w:ascii="Arial" w:eastAsia="Arial" w:hAnsi="Arial" w:cs="Arial"/>
          <w:i/>
          <w:sz w:val="22"/>
        </w:rPr>
        <w:t>Free cash flow of $185.7 million</w:t>
      </w:r>
      <w:r>
        <w:rPr>
          <w:rFonts w:ascii="Arial" w:eastAsia="Arial" w:hAnsi="Arial" w:cs="Arial"/>
          <w:i/>
          <w:sz w:val="22"/>
          <w:vertAlign w:val="superscript"/>
        </w:rPr>
        <w:t>1</w:t>
      </w:r>
    </w:p>
    <w:p w14:paraId="67751D28" w14:textId="77777777" w:rsidR="00A77B3E" w:rsidRDefault="00A77B3E">
      <w:pPr>
        <w:spacing w:line="248" w:lineRule="auto"/>
        <w:ind w:left="1440"/>
        <w:rPr>
          <w:rFonts w:ascii="Arial" w:eastAsia="Arial" w:hAnsi="Arial" w:cs="Arial"/>
          <w:i/>
          <w:sz w:val="22"/>
        </w:rPr>
      </w:pPr>
    </w:p>
    <w:p w14:paraId="12EC65F2" w14:textId="77777777" w:rsidR="00A77B3E" w:rsidRDefault="00FF2E54">
      <w:pPr>
        <w:keepNext/>
        <w:keepLines/>
        <w:widowControl w:val="0"/>
        <w:spacing w:line="248" w:lineRule="auto"/>
        <w:rPr>
          <w:rFonts w:ascii="Arial" w:eastAsia="Arial" w:hAnsi="Arial" w:cs="Arial"/>
          <w:b/>
          <w:sz w:val="22"/>
        </w:rPr>
      </w:pPr>
      <w:r>
        <w:rPr>
          <w:rFonts w:ascii="Arial" w:eastAsia="Arial" w:hAnsi="Arial" w:cs="Arial"/>
          <w:b/>
          <w:sz w:val="22"/>
        </w:rPr>
        <w:t xml:space="preserve">SUNNYVALE, Calif. - October 29, 2020 </w:t>
      </w:r>
      <w:r>
        <w:rPr>
          <w:rFonts w:ascii="Arial" w:eastAsia="Arial" w:hAnsi="Arial" w:cs="Arial"/>
          <w:sz w:val="22"/>
        </w:rPr>
        <w:t xml:space="preserve">- Fortinet® (Nasdaq: FTNT), a global leader in broad, </w:t>
      </w:r>
      <w:proofErr w:type="gramStart"/>
      <w:r>
        <w:rPr>
          <w:rFonts w:ascii="Arial" w:eastAsia="Arial" w:hAnsi="Arial" w:cs="Arial"/>
          <w:sz w:val="22"/>
        </w:rPr>
        <w:t>integrated</w:t>
      </w:r>
      <w:proofErr w:type="gramEnd"/>
      <w:r>
        <w:rPr>
          <w:rFonts w:ascii="Arial" w:eastAsia="Arial" w:hAnsi="Arial" w:cs="Arial"/>
          <w:sz w:val="22"/>
        </w:rPr>
        <w:t xml:space="preserve"> and automated cybersecurity solutions, today announced financial results for the third quarter ended September 30, 2020.</w:t>
      </w:r>
    </w:p>
    <w:p w14:paraId="120FA34C" w14:textId="77777777" w:rsidR="00A77B3E" w:rsidRDefault="00A77B3E">
      <w:pPr>
        <w:spacing w:line="248" w:lineRule="auto"/>
        <w:rPr>
          <w:rFonts w:ascii="Arial" w:eastAsia="Arial" w:hAnsi="Arial" w:cs="Arial"/>
          <w:sz w:val="22"/>
          <w:shd w:val="clear" w:color="auto" w:fill="FFFF00"/>
        </w:rPr>
      </w:pPr>
    </w:p>
    <w:p w14:paraId="7CF85ECA" w14:textId="77777777" w:rsidR="00A77B3E" w:rsidRDefault="00FF2E54">
      <w:pPr>
        <w:spacing w:line="238" w:lineRule="auto"/>
        <w:rPr>
          <w:rFonts w:ascii="Arial" w:eastAsia="Arial" w:hAnsi="Arial" w:cs="Arial"/>
          <w:sz w:val="22"/>
          <w:shd w:val="clear" w:color="auto" w:fill="FFFFFF"/>
        </w:rPr>
      </w:pPr>
      <w:r>
        <w:rPr>
          <w:rFonts w:ascii="Arial" w:eastAsia="Arial" w:hAnsi="Arial" w:cs="Arial"/>
          <w:sz w:val="22"/>
          <w:shd w:val="clear" w:color="auto" w:fill="FFFFFF"/>
        </w:rPr>
        <w:t xml:space="preserve">“Strong performances by our Secure SD-WAN, cloud, and Security Fabric offerings resulted in solid third-quarter year-over-year total revenue growth. In the quarter, Secure SD-WAN revenue more than doubled from the same period a year ago. At the end of the third quarter, Gartner recognized our differentiated SD-WAN offering as a Leader in the 2020 WAN Edge Infrastructure Magic Quadrant,” said Ken </w:t>
      </w:r>
      <w:proofErr w:type="spellStart"/>
      <w:r>
        <w:rPr>
          <w:rFonts w:ascii="Arial" w:eastAsia="Arial" w:hAnsi="Arial" w:cs="Arial"/>
          <w:sz w:val="22"/>
          <w:shd w:val="clear" w:color="auto" w:fill="FFFFFF"/>
        </w:rPr>
        <w:t>Xie</w:t>
      </w:r>
      <w:proofErr w:type="spellEnd"/>
      <w:r>
        <w:rPr>
          <w:rFonts w:ascii="Arial" w:eastAsia="Arial" w:hAnsi="Arial" w:cs="Arial"/>
          <w:sz w:val="22"/>
          <w:shd w:val="clear" w:color="auto" w:fill="FFFFFF"/>
        </w:rPr>
        <w:t>, Founder, Chairman, and Chief Executive Officer. “The pandemic has accelerated digital transformation and cloud migration efforts creating multiple edges that require protection. Fortinet’s security-driven networking approach protects these edges, whether they are at the branch, cloud, data center, home, network or WAN edge.”</w:t>
      </w:r>
    </w:p>
    <w:p w14:paraId="5F5976D3" w14:textId="77777777" w:rsidR="00A77B3E" w:rsidRDefault="00A77B3E">
      <w:pPr>
        <w:spacing w:line="248" w:lineRule="auto"/>
        <w:rPr>
          <w:sz w:val="20"/>
        </w:rPr>
      </w:pPr>
    </w:p>
    <w:p w14:paraId="063057D8" w14:textId="77777777" w:rsidR="00A77B3E" w:rsidRDefault="00FF2E54">
      <w:pPr>
        <w:spacing w:line="248" w:lineRule="auto"/>
        <w:rPr>
          <w:rFonts w:ascii="Arial" w:eastAsia="Arial" w:hAnsi="Arial" w:cs="Arial"/>
          <w:b/>
          <w:sz w:val="22"/>
        </w:rPr>
      </w:pPr>
      <w:r>
        <w:rPr>
          <w:rFonts w:ascii="Arial" w:eastAsia="Arial" w:hAnsi="Arial" w:cs="Arial"/>
          <w:b/>
          <w:sz w:val="22"/>
          <w:u w:val="single"/>
        </w:rPr>
        <w:t>Financial Highlights for the Third Quarter of 2020</w:t>
      </w:r>
      <w:r>
        <w:rPr>
          <w:rFonts w:ascii="Arial" w:eastAsia="Arial" w:hAnsi="Arial" w:cs="Arial"/>
          <w:b/>
          <w:sz w:val="22"/>
          <w:vertAlign w:val="superscript"/>
        </w:rPr>
        <w:t>2</w:t>
      </w:r>
    </w:p>
    <w:p w14:paraId="07A6AF1F" w14:textId="77777777" w:rsidR="00A77B3E" w:rsidRDefault="00A77B3E">
      <w:pPr>
        <w:spacing w:line="248" w:lineRule="auto"/>
        <w:rPr>
          <w:rFonts w:ascii="Arial" w:eastAsia="Arial" w:hAnsi="Arial" w:cs="Arial"/>
          <w:b/>
          <w:sz w:val="22"/>
        </w:rPr>
      </w:pPr>
    </w:p>
    <w:p w14:paraId="2098EDD6" w14:textId="77777777" w:rsidR="00A77B3E" w:rsidRDefault="00FF2E54" w:rsidP="00FF2E54">
      <w:pPr>
        <w:numPr>
          <w:ilvl w:val="0"/>
          <w:numId w:val="4"/>
        </w:numPr>
        <w:spacing w:line="248" w:lineRule="auto"/>
        <w:rPr>
          <w:rFonts w:ascii="Arial" w:eastAsia="Arial" w:hAnsi="Arial" w:cs="Arial"/>
          <w:sz w:val="22"/>
        </w:rPr>
      </w:pPr>
      <w:r>
        <w:rPr>
          <w:rFonts w:ascii="Arial" w:eastAsia="Arial" w:hAnsi="Arial" w:cs="Arial"/>
          <w:b/>
          <w:sz w:val="22"/>
        </w:rPr>
        <w:t>Revenue:</w:t>
      </w:r>
      <w:r>
        <w:rPr>
          <w:rFonts w:ascii="Arial" w:eastAsia="Arial" w:hAnsi="Arial" w:cs="Arial"/>
          <w:sz w:val="22"/>
        </w:rPr>
        <w:t xml:space="preserve"> Total revenue was $651.1 million for the third quarter of 2020, an increase of 18.8% compared to $548.1 million for the same quarter of 2019. </w:t>
      </w:r>
    </w:p>
    <w:p w14:paraId="25E8FFB6" w14:textId="77777777" w:rsidR="00A77B3E" w:rsidRDefault="00A77B3E">
      <w:pPr>
        <w:spacing w:line="248" w:lineRule="auto"/>
        <w:ind w:left="720"/>
        <w:rPr>
          <w:rFonts w:ascii="Arial" w:eastAsia="Arial" w:hAnsi="Arial" w:cs="Arial"/>
          <w:sz w:val="22"/>
        </w:rPr>
      </w:pPr>
    </w:p>
    <w:p w14:paraId="76A6C234" w14:textId="77777777" w:rsidR="00A77B3E" w:rsidRDefault="00FF2E54" w:rsidP="00FF2E54">
      <w:pPr>
        <w:numPr>
          <w:ilvl w:val="0"/>
          <w:numId w:val="4"/>
        </w:numPr>
        <w:spacing w:line="248" w:lineRule="auto"/>
        <w:rPr>
          <w:rFonts w:ascii="Arial" w:eastAsia="Arial" w:hAnsi="Arial" w:cs="Arial"/>
          <w:sz w:val="22"/>
        </w:rPr>
      </w:pPr>
      <w:r>
        <w:rPr>
          <w:rFonts w:ascii="Arial" w:eastAsia="Arial" w:hAnsi="Arial" w:cs="Arial"/>
          <w:b/>
          <w:sz w:val="22"/>
        </w:rPr>
        <w:t>Product Revenue:</w:t>
      </w:r>
      <w:r>
        <w:rPr>
          <w:rFonts w:ascii="Arial" w:eastAsia="Arial" w:hAnsi="Arial" w:cs="Arial"/>
          <w:sz w:val="22"/>
        </w:rPr>
        <w:t xml:space="preserve"> Product revenue was $223.8 million for the third quarter of 2020, an increase of 13.5% compared to $197.1 million for the same quarter of 2019. </w:t>
      </w:r>
    </w:p>
    <w:p w14:paraId="767543F7" w14:textId="77777777" w:rsidR="00A77B3E" w:rsidRDefault="00A77B3E">
      <w:pPr>
        <w:spacing w:line="248" w:lineRule="auto"/>
        <w:rPr>
          <w:rFonts w:ascii="Arial" w:eastAsia="Arial" w:hAnsi="Arial" w:cs="Arial"/>
          <w:b/>
          <w:sz w:val="22"/>
        </w:rPr>
      </w:pPr>
    </w:p>
    <w:p w14:paraId="0BBD5D56" w14:textId="77777777" w:rsidR="00A77B3E" w:rsidRDefault="00FF2E54" w:rsidP="00FF2E54">
      <w:pPr>
        <w:numPr>
          <w:ilvl w:val="0"/>
          <w:numId w:val="4"/>
        </w:numPr>
        <w:spacing w:line="248" w:lineRule="auto"/>
        <w:rPr>
          <w:rFonts w:ascii="Arial" w:eastAsia="Arial" w:hAnsi="Arial" w:cs="Arial"/>
          <w:sz w:val="22"/>
        </w:rPr>
      </w:pPr>
      <w:r>
        <w:rPr>
          <w:rFonts w:ascii="Arial" w:eastAsia="Arial" w:hAnsi="Arial" w:cs="Arial"/>
          <w:b/>
          <w:sz w:val="22"/>
        </w:rPr>
        <w:t>Service Revenue:</w:t>
      </w:r>
      <w:r>
        <w:rPr>
          <w:rFonts w:ascii="Arial" w:eastAsia="Arial" w:hAnsi="Arial" w:cs="Arial"/>
          <w:sz w:val="22"/>
        </w:rPr>
        <w:t xml:space="preserve"> Service revenue was $427.3 million for the third quarter of 2020, an increase of 21.7% compared to $351.0 million for the same quarter of 2019. </w:t>
      </w:r>
    </w:p>
    <w:p w14:paraId="7AB2506E" w14:textId="77777777" w:rsidR="00A77B3E" w:rsidRDefault="00A77B3E">
      <w:pPr>
        <w:spacing w:line="248" w:lineRule="auto"/>
        <w:rPr>
          <w:rFonts w:ascii="Arial" w:eastAsia="Arial" w:hAnsi="Arial" w:cs="Arial"/>
          <w:sz w:val="22"/>
        </w:rPr>
      </w:pPr>
    </w:p>
    <w:p w14:paraId="25C481E6" w14:textId="77777777" w:rsidR="00A77B3E" w:rsidRDefault="00FF2E54" w:rsidP="00FF2E54">
      <w:pPr>
        <w:numPr>
          <w:ilvl w:val="0"/>
          <w:numId w:val="5"/>
        </w:numPr>
        <w:spacing w:line="248" w:lineRule="auto"/>
        <w:rPr>
          <w:rFonts w:ascii="Arial" w:eastAsia="Arial" w:hAnsi="Arial" w:cs="Arial"/>
          <w:sz w:val="22"/>
        </w:rPr>
      </w:pPr>
      <w:r>
        <w:rPr>
          <w:rFonts w:ascii="Arial" w:eastAsia="Arial" w:hAnsi="Arial" w:cs="Arial"/>
          <w:b/>
          <w:sz w:val="22"/>
        </w:rPr>
        <w:t>Billings</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Total billings were $749.8 million for the third quarter of 2020, an increase of 19.7% compared to $626.6 million for the same quarter of 2019.</w:t>
      </w:r>
    </w:p>
    <w:p w14:paraId="7EB82ACB" w14:textId="77777777" w:rsidR="00A77B3E" w:rsidRDefault="00A77B3E">
      <w:pPr>
        <w:spacing w:line="248" w:lineRule="auto"/>
        <w:ind w:left="720"/>
        <w:rPr>
          <w:rFonts w:ascii="Arial" w:eastAsia="Arial" w:hAnsi="Arial" w:cs="Arial"/>
          <w:sz w:val="22"/>
        </w:rPr>
      </w:pPr>
    </w:p>
    <w:p w14:paraId="7A4EB091" w14:textId="77777777" w:rsidR="00A77B3E" w:rsidRDefault="00FF2E54" w:rsidP="00FF2E54">
      <w:pPr>
        <w:numPr>
          <w:ilvl w:val="0"/>
          <w:numId w:val="6"/>
        </w:numPr>
        <w:spacing w:line="248" w:lineRule="auto"/>
        <w:rPr>
          <w:rFonts w:ascii="Arial" w:eastAsia="Arial" w:hAnsi="Arial" w:cs="Arial"/>
          <w:sz w:val="22"/>
        </w:rPr>
      </w:pPr>
      <w:r>
        <w:rPr>
          <w:rFonts w:ascii="Arial" w:eastAsia="Arial" w:hAnsi="Arial" w:cs="Arial"/>
          <w:b/>
          <w:sz w:val="22"/>
        </w:rPr>
        <w:t>Deferred Revenue:</w:t>
      </w:r>
      <w:r>
        <w:rPr>
          <w:rFonts w:ascii="Arial" w:eastAsia="Arial" w:hAnsi="Arial" w:cs="Arial"/>
          <w:sz w:val="22"/>
        </w:rPr>
        <w:t xml:space="preserve"> Total deferred revenue was $2.39 billion as of September 30, 2020, an increase of 24.4% compared to $1.92 billion as of September 30, 2019.</w:t>
      </w:r>
    </w:p>
    <w:p w14:paraId="37D8B093" w14:textId="77777777" w:rsidR="00A77B3E" w:rsidRDefault="00A77B3E">
      <w:pPr>
        <w:spacing w:line="248" w:lineRule="auto"/>
        <w:rPr>
          <w:rFonts w:ascii="Arial" w:eastAsia="Arial" w:hAnsi="Arial" w:cs="Arial"/>
          <w:sz w:val="22"/>
        </w:rPr>
      </w:pPr>
    </w:p>
    <w:p w14:paraId="0EFAC1A9" w14:textId="77777777" w:rsidR="00A77B3E" w:rsidRDefault="00FF2E54" w:rsidP="00FF2E54">
      <w:pPr>
        <w:numPr>
          <w:ilvl w:val="0"/>
          <w:numId w:val="6"/>
        </w:numPr>
        <w:spacing w:line="248" w:lineRule="auto"/>
        <w:rPr>
          <w:rFonts w:ascii="Arial" w:eastAsia="Arial" w:hAnsi="Arial" w:cs="Arial"/>
          <w:sz w:val="22"/>
        </w:rPr>
      </w:pPr>
      <w:r>
        <w:rPr>
          <w:rFonts w:ascii="Arial" w:eastAsia="Arial" w:hAnsi="Arial" w:cs="Arial"/>
          <w:b/>
          <w:sz w:val="22"/>
        </w:rPr>
        <w:lastRenderedPageBreak/>
        <w:t>GAAP Operating Income and Margin:</w:t>
      </w:r>
      <w:r>
        <w:rPr>
          <w:rFonts w:ascii="Arial" w:eastAsia="Arial" w:hAnsi="Arial" w:cs="Arial"/>
          <w:sz w:val="22"/>
        </w:rPr>
        <w:t xml:space="preserve"> GAAP operating income was $126.9 million for the third quarter of 2020, representing a GAAP operating margin of 19.5%. GAAP operating income was $100.6 million for the same quarter of 2019, representing a GAAP operating margin of 18.4%.</w:t>
      </w:r>
    </w:p>
    <w:p w14:paraId="44E42418" w14:textId="77777777" w:rsidR="00A77B3E" w:rsidRDefault="00A77B3E">
      <w:pPr>
        <w:spacing w:line="248" w:lineRule="auto"/>
        <w:rPr>
          <w:rFonts w:ascii="Arial" w:eastAsia="Arial" w:hAnsi="Arial" w:cs="Arial"/>
          <w:sz w:val="22"/>
        </w:rPr>
      </w:pPr>
    </w:p>
    <w:p w14:paraId="7F49934B" w14:textId="77777777" w:rsidR="00A77B3E" w:rsidRDefault="00FF2E54" w:rsidP="00FF2E54">
      <w:pPr>
        <w:numPr>
          <w:ilvl w:val="0"/>
          <w:numId w:val="7"/>
        </w:numPr>
        <w:spacing w:line="24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Operating Income</w:t>
      </w:r>
      <w:r>
        <w:rPr>
          <w:rFonts w:ascii="Arial" w:eastAsia="Arial" w:hAnsi="Arial" w:cs="Arial"/>
          <w:b/>
          <w:sz w:val="22"/>
          <w:vertAlign w:val="superscript"/>
        </w:rPr>
        <w:t xml:space="preserve"> </w:t>
      </w:r>
      <w:r>
        <w:rPr>
          <w:rFonts w:ascii="Arial" w:eastAsia="Arial" w:hAnsi="Arial" w:cs="Arial"/>
          <w:b/>
          <w:sz w:val="22"/>
        </w:rPr>
        <w:t>and Margin</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Non-GAAP operating income was $178.6 million for the third quarter of 2020, representing a non-GAAP operating margin of 27.4%. Non-GAAP operating income was $145.2 million for the third quarter of 2019, representing a non-GAAP operating margin of 26.5%.</w:t>
      </w:r>
    </w:p>
    <w:p w14:paraId="44A497A3" w14:textId="77777777" w:rsidR="00A77B3E" w:rsidRDefault="00A77B3E">
      <w:pPr>
        <w:spacing w:line="248" w:lineRule="auto"/>
        <w:rPr>
          <w:rFonts w:ascii="Arial" w:eastAsia="Arial" w:hAnsi="Arial" w:cs="Arial"/>
          <w:sz w:val="22"/>
        </w:rPr>
      </w:pPr>
    </w:p>
    <w:p w14:paraId="795A1790" w14:textId="77777777" w:rsidR="00A77B3E" w:rsidRDefault="00FF2E54" w:rsidP="00FF2E54">
      <w:pPr>
        <w:keepLines/>
        <w:widowControl w:val="0"/>
        <w:numPr>
          <w:ilvl w:val="0"/>
          <w:numId w:val="7"/>
        </w:numPr>
        <w:spacing w:line="248" w:lineRule="auto"/>
        <w:rPr>
          <w:rFonts w:ascii="Arial" w:eastAsia="Arial" w:hAnsi="Arial" w:cs="Arial"/>
          <w:sz w:val="22"/>
        </w:rPr>
      </w:pPr>
      <w:r>
        <w:rPr>
          <w:rFonts w:ascii="Arial" w:eastAsia="Arial" w:hAnsi="Arial" w:cs="Arial"/>
          <w:b/>
          <w:sz w:val="22"/>
        </w:rPr>
        <w:t>GAAP Net Income and Diluted Net Income Per Share:</w:t>
      </w:r>
      <w:r>
        <w:rPr>
          <w:rFonts w:ascii="Arial" w:eastAsia="Arial" w:hAnsi="Arial" w:cs="Arial"/>
          <w:sz w:val="22"/>
        </w:rPr>
        <w:t xml:space="preserve"> GAAP net income was $123.4 million for the third quarter of 2020, compared to GAAP net income of $80.2 million for the same quarter of 2019. GAAP diluted net income per share was $0.75 for the third quarter of 2020, based on 165.6 million diluted weighted-average shares outstanding, compared to GAAP diluted net income per share of $0.46 for the same quarter of 2019, based on 174.8 million diluted weighted-average shares outstanding.</w:t>
      </w:r>
    </w:p>
    <w:p w14:paraId="1046D6DE" w14:textId="77777777" w:rsidR="00A77B3E" w:rsidRDefault="00A77B3E">
      <w:pPr>
        <w:spacing w:line="248" w:lineRule="auto"/>
        <w:rPr>
          <w:rFonts w:ascii="Arial" w:eastAsia="Arial" w:hAnsi="Arial" w:cs="Arial"/>
          <w:sz w:val="22"/>
        </w:rPr>
      </w:pPr>
    </w:p>
    <w:p w14:paraId="08ADB754" w14:textId="77777777" w:rsidR="00A77B3E" w:rsidRDefault="00FF2E54" w:rsidP="00FF2E54">
      <w:pPr>
        <w:keepNext/>
        <w:keepLines/>
        <w:widowControl w:val="0"/>
        <w:numPr>
          <w:ilvl w:val="0"/>
          <w:numId w:val="7"/>
        </w:numPr>
        <w:spacing w:line="248" w:lineRule="auto"/>
        <w:rPr>
          <w:rFonts w:ascii="Arial" w:eastAsia="Arial" w:hAnsi="Arial" w:cs="Arial"/>
          <w:sz w:val="22"/>
        </w:rPr>
      </w:pPr>
      <w:r>
        <w:rPr>
          <w:rFonts w:ascii="Arial" w:eastAsia="Arial" w:hAnsi="Arial" w:cs="Arial"/>
          <w:b/>
          <w:sz w:val="22"/>
        </w:rPr>
        <w:t>Non-GAAP</w:t>
      </w:r>
      <w:r>
        <w:rPr>
          <w:rFonts w:ascii="Arial" w:eastAsia="Arial" w:hAnsi="Arial" w:cs="Arial"/>
          <w:b/>
          <w:sz w:val="22"/>
          <w:vertAlign w:val="superscript"/>
        </w:rPr>
        <w:t xml:space="preserve"> </w:t>
      </w:r>
      <w:r>
        <w:rPr>
          <w:rFonts w:ascii="Arial" w:eastAsia="Arial" w:hAnsi="Arial" w:cs="Arial"/>
          <w:b/>
          <w:sz w:val="22"/>
        </w:rPr>
        <w:t>Net Income and Diluted Net Income Per Share</w:t>
      </w:r>
      <w:r>
        <w:rPr>
          <w:rFonts w:ascii="Arial" w:eastAsia="Arial" w:hAnsi="Arial" w:cs="Arial"/>
          <w:b/>
          <w:sz w:val="22"/>
          <w:vertAlign w:val="superscript"/>
        </w:rPr>
        <w:t>1</w:t>
      </w:r>
      <w:r>
        <w:rPr>
          <w:rFonts w:ascii="Arial" w:eastAsia="Arial" w:hAnsi="Arial" w:cs="Arial"/>
          <w:b/>
          <w:sz w:val="22"/>
        </w:rPr>
        <w:t xml:space="preserve">: </w:t>
      </w:r>
      <w:r>
        <w:rPr>
          <w:rFonts w:ascii="Arial" w:eastAsia="Arial" w:hAnsi="Arial" w:cs="Arial"/>
          <w:sz w:val="22"/>
        </w:rPr>
        <w:t>Non-GAAP net income was $145.4 million for the third quarter of 2020, compared to non-GAAP net income of $117.3 million for the same quarter of 2019. Non-GAAP diluted net income per share was $0.88 for the third quarter of 2020, based on 165.6 million diluted weighted-average shares outstanding, compared to $0.67 for the same quarter of 2019, based on 174.8 million diluted weighted-average shares outstanding.</w:t>
      </w:r>
    </w:p>
    <w:p w14:paraId="0B5EB93B" w14:textId="77777777" w:rsidR="00A77B3E" w:rsidRDefault="00A77B3E">
      <w:pPr>
        <w:spacing w:line="248" w:lineRule="auto"/>
        <w:rPr>
          <w:rFonts w:ascii="Arial" w:eastAsia="Arial" w:hAnsi="Arial" w:cs="Arial"/>
          <w:sz w:val="22"/>
        </w:rPr>
      </w:pPr>
    </w:p>
    <w:p w14:paraId="4BF4CA40" w14:textId="77777777" w:rsidR="00A77B3E" w:rsidRDefault="00FF2E54" w:rsidP="00FF2E54">
      <w:pPr>
        <w:numPr>
          <w:ilvl w:val="0"/>
          <w:numId w:val="8"/>
        </w:numPr>
        <w:spacing w:line="248" w:lineRule="auto"/>
        <w:rPr>
          <w:rFonts w:ascii="Arial" w:eastAsia="Arial" w:hAnsi="Arial" w:cs="Arial"/>
          <w:sz w:val="22"/>
        </w:rPr>
      </w:pPr>
      <w:r>
        <w:rPr>
          <w:rFonts w:ascii="Arial" w:eastAsia="Arial" w:hAnsi="Arial" w:cs="Arial"/>
          <w:b/>
          <w:sz w:val="22"/>
        </w:rPr>
        <w:t>Cash Flow and Free Cash Flow</w:t>
      </w:r>
      <w:r>
        <w:rPr>
          <w:rFonts w:ascii="Arial" w:eastAsia="Arial" w:hAnsi="Arial" w:cs="Arial"/>
          <w:b/>
          <w:sz w:val="22"/>
          <w:vertAlign w:val="superscript"/>
        </w:rPr>
        <w:t>1</w:t>
      </w:r>
      <w:r>
        <w:rPr>
          <w:rFonts w:ascii="Arial" w:eastAsia="Arial" w:hAnsi="Arial" w:cs="Arial"/>
          <w:b/>
          <w:sz w:val="22"/>
        </w:rPr>
        <w:t>:</w:t>
      </w:r>
      <w:r>
        <w:rPr>
          <w:rFonts w:ascii="Arial" w:eastAsia="Arial" w:hAnsi="Arial" w:cs="Arial"/>
          <w:sz w:val="22"/>
        </w:rPr>
        <w:t xml:space="preserve"> In the third quarter of 2020, cash flow from operations was $220.8 million compared to $221.2 million in the same quarter of 2019. Free cash flow was $185.7 million during the third quarter of 2020, compared to $203.7 million for the same quarter of 2019.</w:t>
      </w:r>
    </w:p>
    <w:p w14:paraId="08FFCD79" w14:textId="77777777" w:rsidR="00A77B3E" w:rsidRDefault="00A77B3E">
      <w:pPr>
        <w:spacing w:line="248" w:lineRule="auto"/>
        <w:ind w:left="720" w:hanging="360"/>
        <w:rPr>
          <w:rFonts w:ascii="Arial" w:eastAsia="Arial" w:hAnsi="Arial" w:cs="Arial"/>
          <w:sz w:val="22"/>
        </w:rPr>
      </w:pPr>
    </w:p>
    <w:p w14:paraId="587A54BA" w14:textId="77777777" w:rsidR="00A77B3E" w:rsidRDefault="00FF2E54">
      <w:pPr>
        <w:keepNext/>
        <w:keepLines/>
        <w:widowControl w:val="0"/>
        <w:spacing w:line="248" w:lineRule="auto"/>
        <w:rPr>
          <w:rFonts w:ascii="Arial" w:eastAsia="Arial" w:hAnsi="Arial" w:cs="Arial"/>
          <w:b/>
          <w:sz w:val="22"/>
        </w:rPr>
      </w:pPr>
      <w:r>
        <w:rPr>
          <w:rFonts w:ascii="Arial" w:eastAsia="Arial" w:hAnsi="Arial" w:cs="Arial"/>
          <w:b/>
          <w:sz w:val="22"/>
          <w:u w:val="single"/>
        </w:rPr>
        <w:t>Guidance</w:t>
      </w:r>
    </w:p>
    <w:p w14:paraId="68113F21" w14:textId="77777777" w:rsidR="00A77B3E" w:rsidRDefault="00A77B3E">
      <w:pPr>
        <w:keepNext/>
        <w:keepLines/>
        <w:widowControl w:val="0"/>
        <w:spacing w:line="248" w:lineRule="auto"/>
        <w:rPr>
          <w:rFonts w:ascii="Arial" w:eastAsia="Arial" w:hAnsi="Arial" w:cs="Arial"/>
          <w:sz w:val="22"/>
        </w:rPr>
      </w:pPr>
    </w:p>
    <w:p w14:paraId="78AFD3D7" w14:textId="77777777" w:rsidR="00A77B3E" w:rsidRDefault="00FF2E54">
      <w:pPr>
        <w:keepNext/>
        <w:keepLines/>
        <w:widowControl w:val="0"/>
        <w:spacing w:line="248" w:lineRule="auto"/>
        <w:rPr>
          <w:rFonts w:ascii="Arial" w:eastAsia="Arial" w:hAnsi="Arial" w:cs="Arial"/>
          <w:sz w:val="22"/>
        </w:rPr>
      </w:pPr>
      <w:r>
        <w:rPr>
          <w:rFonts w:ascii="Arial" w:eastAsia="Arial" w:hAnsi="Arial" w:cs="Arial"/>
          <w:sz w:val="22"/>
        </w:rPr>
        <w:t>For the fourth quarter of 2020, Fortinet currently expects:</w:t>
      </w:r>
    </w:p>
    <w:p w14:paraId="0C5ECCCE" w14:textId="77777777" w:rsidR="00A77B3E" w:rsidRDefault="00A77B3E">
      <w:pPr>
        <w:keepNext/>
        <w:keepLines/>
        <w:widowControl w:val="0"/>
        <w:spacing w:line="248" w:lineRule="auto"/>
        <w:rPr>
          <w:rFonts w:ascii="Arial" w:eastAsia="Arial" w:hAnsi="Arial" w:cs="Arial"/>
          <w:sz w:val="22"/>
        </w:rPr>
      </w:pPr>
    </w:p>
    <w:p w14:paraId="2BE3AB51" w14:textId="77777777" w:rsidR="00A77B3E" w:rsidRDefault="00FF2E54" w:rsidP="00FF2E54">
      <w:pPr>
        <w:keepNext/>
        <w:keepLines/>
        <w:widowControl w:val="0"/>
        <w:numPr>
          <w:ilvl w:val="0"/>
          <w:numId w:val="9"/>
        </w:numPr>
        <w:spacing w:line="248" w:lineRule="auto"/>
        <w:rPr>
          <w:rFonts w:ascii="Arial" w:eastAsia="Arial" w:hAnsi="Arial" w:cs="Arial"/>
          <w:sz w:val="22"/>
          <w:shd w:val="clear" w:color="auto" w:fill="FFFFFF"/>
        </w:rPr>
      </w:pPr>
      <w:r>
        <w:rPr>
          <w:rFonts w:ascii="Arial" w:eastAsia="Arial" w:hAnsi="Arial" w:cs="Arial"/>
          <w:sz w:val="22"/>
          <w:shd w:val="clear" w:color="auto" w:fill="FFFFFF"/>
        </w:rPr>
        <w:t>Revenue in the range of $710 million to $730 million</w:t>
      </w:r>
    </w:p>
    <w:p w14:paraId="583009E8" w14:textId="77777777" w:rsidR="00A77B3E" w:rsidRDefault="00FF2E54" w:rsidP="00FF2E54">
      <w:pPr>
        <w:numPr>
          <w:ilvl w:val="0"/>
          <w:numId w:val="9"/>
        </w:numPr>
        <w:spacing w:line="248" w:lineRule="auto"/>
        <w:rPr>
          <w:sz w:val="20"/>
          <w:shd w:val="clear" w:color="auto" w:fill="FFFFFF"/>
        </w:rPr>
      </w:pPr>
      <w:r>
        <w:rPr>
          <w:rFonts w:ascii="Arial" w:eastAsia="Arial" w:hAnsi="Arial" w:cs="Arial"/>
          <w:sz w:val="22"/>
          <w:shd w:val="clear" w:color="auto" w:fill="FFFFFF"/>
        </w:rPr>
        <w:t>Billings in the range of $890 million to $920 million</w:t>
      </w:r>
    </w:p>
    <w:p w14:paraId="45F8EE0F" w14:textId="77777777" w:rsidR="00A77B3E" w:rsidRDefault="00FF2E54" w:rsidP="00FF2E54">
      <w:pPr>
        <w:numPr>
          <w:ilvl w:val="0"/>
          <w:numId w:val="9"/>
        </w:numPr>
        <w:spacing w:line="248" w:lineRule="auto"/>
        <w:rPr>
          <w:sz w:val="20"/>
          <w:shd w:val="clear" w:color="auto" w:fill="FFFFFF"/>
        </w:rPr>
      </w:pPr>
      <w:r>
        <w:rPr>
          <w:rFonts w:ascii="Arial" w:eastAsia="Arial" w:hAnsi="Arial" w:cs="Arial"/>
          <w:sz w:val="22"/>
          <w:shd w:val="clear" w:color="auto" w:fill="FFFFFF"/>
        </w:rPr>
        <w:t>Non-GAAP gross margin in the range of 78.0% to 80.0%</w:t>
      </w:r>
    </w:p>
    <w:p w14:paraId="79D19B0C" w14:textId="77777777" w:rsidR="00A77B3E" w:rsidRDefault="00FF2E54" w:rsidP="00FF2E54">
      <w:pPr>
        <w:numPr>
          <w:ilvl w:val="0"/>
          <w:numId w:val="9"/>
        </w:numPr>
        <w:tabs>
          <w:tab w:val="left" w:pos="360"/>
        </w:tabs>
        <w:spacing w:line="248" w:lineRule="auto"/>
        <w:rPr>
          <w:rFonts w:ascii="Arial" w:eastAsia="Arial" w:hAnsi="Arial" w:cs="Arial"/>
          <w:sz w:val="22"/>
          <w:shd w:val="clear" w:color="auto" w:fill="FFFFFF"/>
        </w:rPr>
      </w:pPr>
      <w:r>
        <w:rPr>
          <w:rFonts w:ascii="Arial" w:eastAsia="Arial" w:hAnsi="Arial" w:cs="Arial"/>
          <w:sz w:val="22"/>
          <w:shd w:val="clear" w:color="auto" w:fill="FFFFFF"/>
        </w:rPr>
        <w:t>Non-GAAP operating margin in the range of 27.0% to 29.0%</w:t>
      </w:r>
    </w:p>
    <w:p w14:paraId="7936273F" w14:textId="77777777" w:rsidR="00A77B3E" w:rsidRDefault="00FF2E54" w:rsidP="00FF2E54">
      <w:pPr>
        <w:numPr>
          <w:ilvl w:val="0"/>
          <w:numId w:val="9"/>
        </w:numPr>
        <w:spacing w:line="248" w:lineRule="auto"/>
        <w:rPr>
          <w:rFonts w:ascii="Arial" w:eastAsia="Arial" w:hAnsi="Arial" w:cs="Arial"/>
          <w:sz w:val="22"/>
          <w:shd w:val="clear" w:color="auto" w:fill="FFFFFF"/>
        </w:rPr>
      </w:pPr>
      <w:r>
        <w:rPr>
          <w:rFonts w:ascii="Arial" w:eastAsia="Arial" w:hAnsi="Arial" w:cs="Arial"/>
          <w:sz w:val="22"/>
          <w:shd w:val="clear" w:color="auto" w:fill="FFFFFF"/>
        </w:rPr>
        <w:t>Diluted non-GAAP net income per share in the range of $0.95 to $0.97, assuming a non-GAAP effective tax rate of 21%. This assumes a diluted share count of 167 million to 169 million.</w:t>
      </w:r>
    </w:p>
    <w:p w14:paraId="2D8CA0E3" w14:textId="77777777" w:rsidR="00A77B3E" w:rsidRDefault="00A77B3E">
      <w:pPr>
        <w:spacing w:line="248" w:lineRule="auto"/>
        <w:rPr>
          <w:rFonts w:ascii="Arial" w:eastAsia="Arial" w:hAnsi="Arial" w:cs="Arial"/>
          <w:sz w:val="22"/>
          <w:shd w:val="clear" w:color="auto" w:fill="FFFF00"/>
        </w:rPr>
      </w:pPr>
    </w:p>
    <w:p w14:paraId="0704E7D4" w14:textId="77777777" w:rsidR="00A77B3E" w:rsidRDefault="00FF2E54">
      <w:pPr>
        <w:spacing w:line="248" w:lineRule="auto"/>
        <w:rPr>
          <w:rFonts w:ascii="Arial" w:eastAsia="Arial" w:hAnsi="Arial" w:cs="Arial"/>
          <w:sz w:val="22"/>
        </w:rPr>
      </w:pPr>
      <w:r>
        <w:rPr>
          <w:rFonts w:ascii="Arial" w:eastAsia="Arial" w:hAnsi="Arial" w:cs="Arial"/>
          <w:sz w:val="22"/>
        </w:rPr>
        <w:t xml:space="preserve">These statements are forward </w:t>
      </w:r>
      <w:proofErr w:type="gramStart"/>
      <w:r>
        <w:rPr>
          <w:rFonts w:ascii="Arial" w:eastAsia="Arial" w:hAnsi="Arial" w:cs="Arial"/>
          <w:sz w:val="22"/>
        </w:rPr>
        <w:t>looking</w:t>
      </w:r>
      <w:proofErr w:type="gramEnd"/>
      <w:r>
        <w:rPr>
          <w:rFonts w:ascii="Arial" w:eastAsia="Arial" w:hAnsi="Arial" w:cs="Arial"/>
          <w:sz w:val="22"/>
        </w:rPr>
        <w:t xml:space="preserve"> and actual results may differ materially. Refer to the Forward-Looking Statements section below for information on the factors that could cause our actual results to differ materially from these forward-looking statements.</w:t>
      </w:r>
    </w:p>
    <w:p w14:paraId="623E6ECE" w14:textId="77777777" w:rsidR="00A77B3E" w:rsidRDefault="00A77B3E">
      <w:pPr>
        <w:keepNext/>
        <w:spacing w:line="248" w:lineRule="auto"/>
        <w:rPr>
          <w:rFonts w:ascii="Arial" w:eastAsia="Arial" w:hAnsi="Arial" w:cs="Arial"/>
          <w:sz w:val="22"/>
        </w:rPr>
      </w:pPr>
    </w:p>
    <w:p w14:paraId="102DB6EC" w14:textId="77777777" w:rsidR="00A77B3E" w:rsidRDefault="00FF2E54">
      <w:pPr>
        <w:keepNext/>
        <w:spacing w:line="248" w:lineRule="auto"/>
        <w:rPr>
          <w:rFonts w:ascii="Arial" w:eastAsia="Arial" w:hAnsi="Arial" w:cs="Arial"/>
          <w:sz w:val="22"/>
        </w:rPr>
      </w:pPr>
      <w:r>
        <w:rPr>
          <w:rFonts w:ascii="Arial" w:eastAsia="Arial" w:hAnsi="Arial" w:cs="Arial"/>
          <w:sz w:val="22"/>
        </w:rPr>
        <w:t xml:space="preserve">Our guidance with respect to non-GAAP financial measures excludes stock-based compensation, amortization of acquired intangible assets and gain on intellectual property matter. We have not reconciled our guidance with respect to non-GAAP financial measures to the corresponding GAAP measures because certain items that impact these measures are uncertain or out of our </w:t>
      </w:r>
      <w:proofErr w:type="gramStart"/>
      <w:r>
        <w:rPr>
          <w:rFonts w:ascii="Arial" w:eastAsia="Arial" w:hAnsi="Arial" w:cs="Arial"/>
          <w:sz w:val="22"/>
        </w:rPr>
        <w:t>control, or</w:t>
      </w:r>
      <w:proofErr w:type="gramEnd"/>
      <w:r>
        <w:rPr>
          <w:rFonts w:ascii="Arial" w:eastAsia="Arial" w:hAnsi="Arial" w:cs="Arial"/>
          <w:sz w:val="22"/>
        </w:rPr>
        <w:t xml:space="preserve"> cannot be reasonably predicted. Accordingly, a reconciliation </w:t>
      </w:r>
      <w:r>
        <w:rPr>
          <w:rFonts w:ascii="Arial" w:eastAsia="Arial" w:hAnsi="Arial" w:cs="Arial"/>
          <w:sz w:val="22"/>
        </w:rPr>
        <w:lastRenderedPageBreak/>
        <w:t>of these non-GAAP financial measures to the corresponding GAAP measures is not available without unreasonable effort.</w:t>
      </w:r>
    </w:p>
    <w:p w14:paraId="44CF264B" w14:textId="77777777" w:rsidR="00A77B3E" w:rsidRDefault="00A77B3E">
      <w:pPr>
        <w:keepNext/>
        <w:spacing w:line="248" w:lineRule="auto"/>
        <w:rPr>
          <w:rFonts w:ascii="Arial" w:eastAsia="Arial" w:hAnsi="Arial" w:cs="Arial"/>
          <w:sz w:val="22"/>
        </w:rPr>
      </w:pPr>
    </w:p>
    <w:p w14:paraId="59FCEBAD" w14:textId="77777777" w:rsidR="00A77B3E" w:rsidRDefault="00FF2E54">
      <w:pPr>
        <w:spacing w:line="248" w:lineRule="auto"/>
        <w:rPr>
          <w:rFonts w:ascii="Arial" w:eastAsia="Arial" w:hAnsi="Arial" w:cs="Arial"/>
          <w:b/>
          <w:sz w:val="20"/>
          <w:vertAlign w:val="superscript"/>
        </w:rPr>
      </w:pPr>
      <w:r>
        <w:rPr>
          <w:rFonts w:ascii="Arial" w:eastAsia="Arial" w:hAnsi="Arial" w:cs="Arial"/>
          <w:b/>
          <w:sz w:val="20"/>
          <w:vertAlign w:val="superscript"/>
        </w:rPr>
        <w:t>1</w:t>
      </w:r>
      <w:r>
        <w:rPr>
          <w:rFonts w:ascii="Arial" w:eastAsia="Arial" w:hAnsi="Arial" w:cs="Arial"/>
          <w:b/>
          <w:sz w:val="22"/>
          <w:vertAlign w:val="superscript"/>
        </w:rPr>
        <w:t xml:space="preserve"> </w:t>
      </w:r>
      <w:r>
        <w:rPr>
          <w:rFonts w:ascii="Arial" w:eastAsia="Arial" w:hAnsi="Arial" w:cs="Arial"/>
          <w:sz w:val="20"/>
        </w:rPr>
        <w:t>A reconciliation of GAAP to non-GAAP measures has been provided in the financial statement tables included in this press release. An explanation of these measures is also included below under the heading “Non-GAAP Financial Measures.”</w:t>
      </w:r>
    </w:p>
    <w:p w14:paraId="56EA4348" w14:textId="77777777" w:rsidR="00A77B3E" w:rsidRDefault="00A77B3E">
      <w:pPr>
        <w:spacing w:line="248" w:lineRule="auto"/>
        <w:rPr>
          <w:rFonts w:ascii="Arial" w:eastAsia="Arial" w:hAnsi="Arial" w:cs="Arial"/>
          <w:sz w:val="20"/>
        </w:rPr>
      </w:pPr>
    </w:p>
    <w:p w14:paraId="74240F86" w14:textId="77777777" w:rsidR="00A77B3E" w:rsidRDefault="00FF2E54">
      <w:pPr>
        <w:spacing w:line="248" w:lineRule="auto"/>
        <w:rPr>
          <w:rFonts w:ascii="Arial" w:eastAsia="Arial" w:hAnsi="Arial" w:cs="Arial"/>
          <w:b/>
          <w:sz w:val="20"/>
          <w:vertAlign w:val="superscript"/>
        </w:rPr>
      </w:pPr>
      <w:r>
        <w:rPr>
          <w:rFonts w:ascii="Arial" w:eastAsia="Arial" w:hAnsi="Arial" w:cs="Arial"/>
          <w:b/>
          <w:sz w:val="20"/>
          <w:vertAlign w:val="superscript"/>
        </w:rPr>
        <w:t>2</w:t>
      </w:r>
      <w:r>
        <w:rPr>
          <w:rFonts w:ascii="Arial" w:eastAsia="Arial" w:hAnsi="Arial" w:cs="Arial"/>
          <w:sz w:val="20"/>
        </w:rPr>
        <w:t xml:space="preserve"> During the third quarter, Fortinet identified and made an immaterial correction to the recognition of revenue related to certain service contracts, increasing previously reported amounts. The financial results presented for 2019 and 2020 reflect the effects of the correction.</w:t>
      </w:r>
    </w:p>
    <w:p w14:paraId="267476E0" w14:textId="77777777" w:rsidR="00A77B3E" w:rsidRDefault="00A77B3E">
      <w:pPr>
        <w:spacing w:line="248" w:lineRule="auto"/>
        <w:rPr>
          <w:rFonts w:ascii="Arial" w:eastAsia="Arial" w:hAnsi="Arial" w:cs="Arial"/>
          <w:b/>
          <w:sz w:val="22"/>
        </w:rPr>
      </w:pPr>
    </w:p>
    <w:p w14:paraId="5D013821" w14:textId="77777777" w:rsidR="00A77B3E" w:rsidRDefault="00FF2E54">
      <w:pPr>
        <w:keepNext/>
        <w:spacing w:line="248" w:lineRule="auto"/>
        <w:rPr>
          <w:rFonts w:ascii="Arial" w:eastAsia="Arial" w:hAnsi="Arial" w:cs="Arial"/>
          <w:b/>
          <w:sz w:val="22"/>
        </w:rPr>
      </w:pPr>
      <w:r>
        <w:rPr>
          <w:rFonts w:ascii="Arial" w:eastAsia="Arial" w:hAnsi="Arial" w:cs="Arial"/>
          <w:b/>
          <w:sz w:val="22"/>
          <w:u w:val="single"/>
        </w:rPr>
        <w:t>Conference Call Details</w:t>
      </w:r>
    </w:p>
    <w:p w14:paraId="12D33224" w14:textId="77777777" w:rsidR="00A77B3E" w:rsidRDefault="00A77B3E">
      <w:pPr>
        <w:keepNext/>
        <w:spacing w:line="248" w:lineRule="auto"/>
        <w:rPr>
          <w:rFonts w:ascii="Arial" w:eastAsia="Arial" w:hAnsi="Arial" w:cs="Arial"/>
          <w:sz w:val="22"/>
        </w:rPr>
      </w:pPr>
    </w:p>
    <w:p w14:paraId="4B3754FC" w14:textId="77777777" w:rsidR="00A77B3E" w:rsidRDefault="00FF2E54">
      <w:pPr>
        <w:spacing w:line="248" w:lineRule="auto"/>
        <w:rPr>
          <w:rFonts w:ascii="Arial" w:eastAsia="Arial" w:hAnsi="Arial" w:cs="Arial"/>
          <w:sz w:val="22"/>
        </w:rPr>
      </w:pPr>
      <w:r>
        <w:rPr>
          <w:rFonts w:ascii="Arial" w:eastAsia="Arial" w:hAnsi="Arial" w:cs="Arial"/>
          <w:sz w:val="22"/>
        </w:rPr>
        <w:t xml:space="preserve">Fortinet will host a conference call today at 1:30 p.m. Pacific Time (4:30 p.m. Eastern Time) to discuss the earnings results. The call can be accessed by dialing (877) 303-6913 (domestic) or (224) 357-2188 (international) with conference ID </w:t>
      </w:r>
      <w:r>
        <w:rPr>
          <w:rFonts w:ascii="Arial" w:eastAsia="Arial" w:hAnsi="Arial" w:cs="Arial"/>
          <w:sz w:val="22"/>
          <w:shd w:val="clear" w:color="auto" w:fill="FFFFFF"/>
        </w:rPr>
        <w:t># 9928897</w:t>
      </w:r>
      <w:r>
        <w:rPr>
          <w:rFonts w:ascii="Arial" w:eastAsia="Arial" w:hAnsi="Arial" w:cs="Arial"/>
          <w:sz w:val="22"/>
        </w:rPr>
        <w:t>. A live webcast of the conference call and supplemental slides will be accessible from the Investor Relations page of Fortinet</w:t>
      </w:r>
      <w:r>
        <w:rPr>
          <w:sz w:val="22"/>
        </w:rPr>
        <w:t>’</w:t>
      </w:r>
      <w:r>
        <w:rPr>
          <w:rFonts w:ascii="Arial" w:eastAsia="Arial" w:hAnsi="Arial" w:cs="Arial"/>
          <w:sz w:val="22"/>
        </w:rPr>
        <w:t xml:space="preserve">s website at </w:t>
      </w:r>
      <w:r>
        <w:rPr>
          <w:rFonts w:ascii="Arial" w:eastAsia="Arial" w:hAnsi="Arial" w:cs="Arial"/>
          <w:color w:val="0000FF"/>
          <w:sz w:val="22"/>
          <w:u w:val="single"/>
        </w:rPr>
        <w:t>https://investor.fortinet.com</w:t>
      </w:r>
      <w:r>
        <w:rPr>
          <w:rFonts w:ascii="Arial" w:eastAsia="Arial" w:hAnsi="Arial" w:cs="Arial"/>
          <w:sz w:val="22"/>
        </w:rPr>
        <w:t xml:space="preserve"> and a replay will be archived and accessible at </w:t>
      </w:r>
      <w:r>
        <w:rPr>
          <w:rFonts w:ascii="Arial" w:eastAsia="Arial" w:hAnsi="Arial" w:cs="Arial"/>
          <w:color w:val="0000FF"/>
          <w:sz w:val="22"/>
          <w:u w:val="single"/>
        </w:rPr>
        <w:t>https://investor.fortinet.com/events-and-presentations</w:t>
      </w:r>
      <w:r>
        <w:rPr>
          <w:rFonts w:ascii="Arial" w:eastAsia="Arial" w:hAnsi="Arial" w:cs="Arial"/>
          <w:sz w:val="22"/>
        </w:rPr>
        <w:t>. A replay of this conference call can also be accessed throug</w:t>
      </w:r>
      <w:r>
        <w:rPr>
          <w:rFonts w:ascii="Arial" w:eastAsia="Arial" w:hAnsi="Arial" w:cs="Arial"/>
          <w:sz w:val="22"/>
          <w:shd w:val="clear" w:color="auto" w:fill="FFFFFF"/>
        </w:rPr>
        <w:t>h November 5</w:t>
      </w:r>
      <w:r>
        <w:rPr>
          <w:rFonts w:ascii="Arial" w:eastAsia="Arial" w:hAnsi="Arial" w:cs="Arial"/>
          <w:sz w:val="22"/>
        </w:rPr>
        <w:t>, 2020, by dialing (855) 859-2056 (domestic) or (404) 537-3406 (international) with conference ID #</w:t>
      </w:r>
      <w:r>
        <w:rPr>
          <w:rFonts w:ascii="Arial" w:eastAsia="Arial" w:hAnsi="Arial" w:cs="Arial"/>
          <w:sz w:val="22"/>
          <w:shd w:val="clear" w:color="auto" w:fill="FFFFFF"/>
        </w:rPr>
        <w:t>9928897</w:t>
      </w:r>
      <w:r>
        <w:rPr>
          <w:rFonts w:ascii="Arial" w:eastAsia="Arial" w:hAnsi="Arial" w:cs="Arial"/>
          <w:sz w:val="22"/>
        </w:rPr>
        <w:t>.</w:t>
      </w:r>
    </w:p>
    <w:p w14:paraId="24C43372" w14:textId="77777777" w:rsidR="00A77B3E" w:rsidRDefault="00A77B3E">
      <w:pPr>
        <w:spacing w:line="248" w:lineRule="auto"/>
        <w:rPr>
          <w:rFonts w:ascii="Arial" w:eastAsia="Arial" w:hAnsi="Arial" w:cs="Arial"/>
          <w:sz w:val="22"/>
        </w:rPr>
      </w:pPr>
    </w:p>
    <w:p w14:paraId="15F66579" w14:textId="77777777" w:rsidR="00A77B3E" w:rsidRDefault="00FF2E54">
      <w:pPr>
        <w:keepNext/>
        <w:keepLines/>
        <w:widowControl w:val="0"/>
        <w:spacing w:line="248" w:lineRule="auto"/>
        <w:rPr>
          <w:rFonts w:ascii="Arial" w:eastAsia="Arial" w:hAnsi="Arial" w:cs="Arial"/>
          <w:b/>
          <w:sz w:val="22"/>
          <w:shd w:val="clear" w:color="auto" w:fill="FFFFFF"/>
        </w:rPr>
      </w:pPr>
      <w:r>
        <w:rPr>
          <w:rFonts w:ascii="Arial" w:eastAsia="Arial" w:hAnsi="Arial" w:cs="Arial"/>
          <w:b/>
          <w:sz w:val="22"/>
          <w:u w:val="single"/>
          <w:shd w:val="clear" w:color="auto" w:fill="FFFFFF"/>
        </w:rPr>
        <w:t>Fourth Quarter 2020 Virtual Conference Participation Schedule:</w:t>
      </w:r>
    </w:p>
    <w:p w14:paraId="289F8A42" w14:textId="77777777" w:rsidR="00A77B3E" w:rsidRDefault="00A77B3E">
      <w:pPr>
        <w:keepNext/>
        <w:spacing w:line="248" w:lineRule="auto"/>
        <w:ind w:left="720"/>
        <w:rPr>
          <w:rFonts w:ascii="Arial" w:eastAsia="Arial" w:hAnsi="Arial" w:cs="Arial"/>
          <w:sz w:val="22"/>
          <w:shd w:val="clear" w:color="auto" w:fill="FFFF00"/>
        </w:rPr>
      </w:pPr>
    </w:p>
    <w:p w14:paraId="0B87BB67" w14:textId="77777777" w:rsidR="00A77B3E" w:rsidRDefault="00FF2E54" w:rsidP="00FF2E54">
      <w:pPr>
        <w:keepNext/>
        <w:numPr>
          <w:ilvl w:val="0"/>
          <w:numId w:val="10"/>
        </w:numPr>
        <w:spacing w:line="213" w:lineRule="auto"/>
        <w:rPr>
          <w:rFonts w:ascii="Arial" w:eastAsia="Arial" w:hAnsi="Arial" w:cs="Arial"/>
        </w:rPr>
      </w:pPr>
      <w:r>
        <w:rPr>
          <w:rFonts w:ascii="Arial" w:eastAsia="Arial" w:hAnsi="Arial" w:cs="Arial"/>
          <w:b/>
          <w:sz w:val="22"/>
        </w:rPr>
        <w:t>Credit Suisse – Disruptive Security Series</w:t>
      </w:r>
    </w:p>
    <w:p w14:paraId="712D2573" w14:textId="77777777" w:rsidR="00A77B3E" w:rsidRDefault="00FF2E54">
      <w:pPr>
        <w:spacing w:line="213" w:lineRule="auto"/>
        <w:ind w:firstLine="720"/>
        <w:rPr>
          <w:rFonts w:ascii="Arial" w:eastAsia="Arial" w:hAnsi="Arial" w:cs="Arial"/>
          <w:sz w:val="22"/>
        </w:rPr>
      </w:pPr>
      <w:r>
        <w:rPr>
          <w:rFonts w:ascii="Arial" w:eastAsia="Arial" w:hAnsi="Arial" w:cs="Arial"/>
          <w:sz w:val="22"/>
        </w:rPr>
        <w:t>November 13, 2020</w:t>
      </w:r>
    </w:p>
    <w:p w14:paraId="6C028E1B" w14:textId="77777777" w:rsidR="00A77B3E" w:rsidRDefault="00A77B3E">
      <w:pPr>
        <w:spacing w:line="248" w:lineRule="auto"/>
        <w:ind w:left="720"/>
        <w:rPr>
          <w:rFonts w:ascii="Arial" w:eastAsia="Arial" w:hAnsi="Arial" w:cs="Arial"/>
          <w:sz w:val="22"/>
        </w:rPr>
      </w:pPr>
    </w:p>
    <w:p w14:paraId="3912A037" w14:textId="77777777" w:rsidR="00A77B3E" w:rsidRDefault="00FF2E54" w:rsidP="00FF2E54">
      <w:pPr>
        <w:numPr>
          <w:ilvl w:val="0"/>
          <w:numId w:val="11"/>
        </w:numPr>
        <w:spacing w:line="182" w:lineRule="auto"/>
        <w:rPr>
          <w:rFonts w:ascii="Arial" w:eastAsia="Arial" w:hAnsi="Arial" w:cs="Arial"/>
        </w:rPr>
      </w:pPr>
      <w:r>
        <w:rPr>
          <w:rFonts w:ascii="Arial" w:eastAsia="Arial" w:hAnsi="Arial" w:cs="Arial"/>
          <w:b/>
          <w:sz w:val="22"/>
        </w:rPr>
        <w:t>Credit Suisse 24</w:t>
      </w:r>
      <w:r>
        <w:rPr>
          <w:rFonts w:ascii="Arial" w:eastAsia="Arial" w:hAnsi="Arial" w:cs="Arial"/>
          <w:b/>
          <w:vertAlign w:val="superscript"/>
        </w:rPr>
        <w:t>th</w:t>
      </w:r>
      <w:r>
        <w:rPr>
          <w:rFonts w:ascii="Arial" w:eastAsia="Arial" w:hAnsi="Arial" w:cs="Arial"/>
          <w:b/>
          <w:sz w:val="22"/>
        </w:rPr>
        <w:t xml:space="preserve"> Annual Technology Conference</w:t>
      </w:r>
    </w:p>
    <w:p w14:paraId="1A9921F1" w14:textId="77777777" w:rsidR="00A77B3E" w:rsidRDefault="00FF2E54">
      <w:pPr>
        <w:spacing w:line="213" w:lineRule="auto"/>
        <w:ind w:firstLine="720"/>
      </w:pPr>
      <w:r>
        <w:rPr>
          <w:rFonts w:ascii="Arial" w:eastAsia="Arial" w:hAnsi="Arial" w:cs="Arial"/>
          <w:sz w:val="22"/>
        </w:rPr>
        <w:t>December 2, 2020</w:t>
      </w:r>
    </w:p>
    <w:p w14:paraId="7FB7EAB8" w14:textId="77777777" w:rsidR="00A77B3E" w:rsidRDefault="00A77B3E">
      <w:pPr>
        <w:spacing w:line="238" w:lineRule="auto"/>
      </w:pPr>
    </w:p>
    <w:p w14:paraId="4DB4A2AF" w14:textId="77777777" w:rsidR="00A77B3E" w:rsidRDefault="00FF2E54" w:rsidP="00FF2E54">
      <w:pPr>
        <w:numPr>
          <w:ilvl w:val="0"/>
          <w:numId w:val="12"/>
        </w:numPr>
        <w:spacing w:line="182" w:lineRule="auto"/>
        <w:rPr>
          <w:rFonts w:ascii="Arial" w:eastAsia="Arial" w:hAnsi="Arial" w:cs="Arial"/>
        </w:rPr>
      </w:pPr>
      <w:r>
        <w:rPr>
          <w:rFonts w:ascii="Arial" w:eastAsia="Arial" w:hAnsi="Arial" w:cs="Arial"/>
          <w:b/>
          <w:sz w:val="22"/>
        </w:rPr>
        <w:t>Raymond James Technology Conference (IR Only)</w:t>
      </w:r>
    </w:p>
    <w:p w14:paraId="25D1E792" w14:textId="77777777" w:rsidR="00A77B3E" w:rsidRDefault="00FF2E54">
      <w:pPr>
        <w:spacing w:line="213" w:lineRule="auto"/>
        <w:ind w:firstLine="720"/>
      </w:pPr>
      <w:r>
        <w:rPr>
          <w:rFonts w:ascii="Arial" w:eastAsia="Arial" w:hAnsi="Arial" w:cs="Arial"/>
          <w:sz w:val="22"/>
        </w:rPr>
        <w:t>December 7, 2020</w:t>
      </w:r>
    </w:p>
    <w:p w14:paraId="00AD9745" w14:textId="77777777" w:rsidR="00A77B3E" w:rsidRDefault="00A77B3E">
      <w:pPr>
        <w:spacing w:line="238" w:lineRule="auto"/>
      </w:pPr>
    </w:p>
    <w:p w14:paraId="1E90F3A2" w14:textId="77777777" w:rsidR="00A77B3E" w:rsidRDefault="00FF2E54" w:rsidP="00FF2E54">
      <w:pPr>
        <w:numPr>
          <w:ilvl w:val="0"/>
          <w:numId w:val="13"/>
        </w:numPr>
        <w:spacing w:line="213" w:lineRule="auto"/>
        <w:rPr>
          <w:rFonts w:ascii="Arial" w:eastAsia="Arial" w:hAnsi="Arial" w:cs="Arial"/>
          <w:sz w:val="22"/>
        </w:rPr>
      </w:pPr>
      <w:r>
        <w:rPr>
          <w:rFonts w:ascii="Arial" w:eastAsia="Arial" w:hAnsi="Arial" w:cs="Arial"/>
          <w:b/>
          <w:sz w:val="22"/>
        </w:rPr>
        <w:t>UBS Global TMT Virtual Conference</w:t>
      </w:r>
    </w:p>
    <w:p w14:paraId="39DF3EDB" w14:textId="77777777" w:rsidR="00A77B3E" w:rsidRDefault="00FF2E54">
      <w:pPr>
        <w:spacing w:line="213" w:lineRule="auto"/>
        <w:ind w:firstLine="720"/>
        <w:rPr>
          <w:rFonts w:ascii="Arial" w:eastAsia="Arial" w:hAnsi="Arial" w:cs="Arial"/>
          <w:sz w:val="22"/>
        </w:rPr>
      </w:pPr>
      <w:r>
        <w:rPr>
          <w:rFonts w:ascii="Arial" w:eastAsia="Arial" w:hAnsi="Arial" w:cs="Arial"/>
          <w:sz w:val="22"/>
        </w:rPr>
        <w:t>December 8, 2020</w:t>
      </w:r>
    </w:p>
    <w:p w14:paraId="447B34F5" w14:textId="77777777" w:rsidR="00A77B3E" w:rsidRDefault="00A77B3E">
      <w:pPr>
        <w:spacing w:line="248" w:lineRule="auto"/>
        <w:rPr>
          <w:rFonts w:ascii="Arial" w:eastAsia="Arial" w:hAnsi="Arial" w:cs="Arial"/>
          <w:sz w:val="22"/>
        </w:rPr>
      </w:pPr>
    </w:p>
    <w:p w14:paraId="45AB719F" w14:textId="77777777" w:rsidR="00A77B3E" w:rsidRDefault="00FF2E54" w:rsidP="00FF2E54">
      <w:pPr>
        <w:numPr>
          <w:ilvl w:val="0"/>
          <w:numId w:val="13"/>
        </w:numPr>
        <w:spacing w:line="213" w:lineRule="auto"/>
        <w:rPr>
          <w:rFonts w:ascii="Arial" w:eastAsia="Arial" w:hAnsi="Arial" w:cs="Arial"/>
          <w:b/>
          <w:sz w:val="22"/>
        </w:rPr>
      </w:pPr>
      <w:r>
        <w:rPr>
          <w:rFonts w:ascii="Arial" w:eastAsia="Arial" w:hAnsi="Arial" w:cs="Arial"/>
          <w:b/>
          <w:sz w:val="22"/>
        </w:rPr>
        <w:t xml:space="preserve">Barclays Technology, </w:t>
      </w:r>
      <w:proofErr w:type="gramStart"/>
      <w:r>
        <w:rPr>
          <w:rFonts w:ascii="Arial" w:eastAsia="Arial" w:hAnsi="Arial" w:cs="Arial"/>
          <w:b/>
          <w:sz w:val="22"/>
        </w:rPr>
        <w:t>Media</w:t>
      </w:r>
      <w:proofErr w:type="gramEnd"/>
      <w:r>
        <w:rPr>
          <w:rFonts w:ascii="Arial" w:eastAsia="Arial" w:hAnsi="Arial" w:cs="Arial"/>
          <w:b/>
          <w:sz w:val="22"/>
        </w:rPr>
        <w:t xml:space="preserve"> and Telecommunications Conference </w:t>
      </w:r>
    </w:p>
    <w:p w14:paraId="5D32B9B3" w14:textId="77777777" w:rsidR="00A77B3E" w:rsidRDefault="00FF2E54">
      <w:pPr>
        <w:spacing w:line="213" w:lineRule="auto"/>
        <w:ind w:firstLine="720"/>
        <w:rPr>
          <w:rFonts w:ascii="Arial" w:eastAsia="Arial" w:hAnsi="Arial" w:cs="Arial"/>
          <w:sz w:val="22"/>
        </w:rPr>
      </w:pPr>
      <w:r>
        <w:rPr>
          <w:rFonts w:ascii="Arial" w:eastAsia="Arial" w:hAnsi="Arial" w:cs="Arial"/>
          <w:sz w:val="22"/>
        </w:rPr>
        <w:t>December 9, 2020</w:t>
      </w:r>
    </w:p>
    <w:p w14:paraId="7E0AF92A" w14:textId="77777777" w:rsidR="00A77B3E" w:rsidRDefault="00A77B3E">
      <w:pPr>
        <w:spacing w:line="248" w:lineRule="auto"/>
        <w:rPr>
          <w:sz w:val="20"/>
        </w:rPr>
      </w:pPr>
    </w:p>
    <w:p w14:paraId="0605CB1B" w14:textId="77777777" w:rsidR="00A77B3E" w:rsidRDefault="00FF2E54">
      <w:pPr>
        <w:spacing w:line="248" w:lineRule="auto"/>
        <w:rPr>
          <w:rFonts w:ascii="Arial" w:eastAsia="Arial" w:hAnsi="Arial" w:cs="Arial"/>
          <w:sz w:val="22"/>
        </w:rPr>
      </w:pPr>
      <w:r>
        <w:rPr>
          <w:rFonts w:ascii="Arial" w:eastAsia="Arial" w:hAnsi="Arial" w:cs="Arial"/>
          <w:sz w:val="22"/>
        </w:rPr>
        <w:t xml:space="preserve">Members of Fortinet’s management team are expected to present at these conferences and discuss the latest company strategies and initiatives. Fortinet’s conference presentations are expected to be available via webcast on the company’s web site. To access the most updated information and listen to the webcast of each event, please visit the Investor Relations page of Fortinet’s website at </w:t>
      </w:r>
      <w:r>
        <w:rPr>
          <w:rFonts w:ascii="Arial" w:eastAsia="Arial" w:hAnsi="Arial" w:cs="Arial"/>
          <w:color w:val="0000FF"/>
          <w:sz w:val="22"/>
          <w:u w:val="single"/>
        </w:rPr>
        <w:t>https://investor.fortinet.com</w:t>
      </w:r>
      <w:r>
        <w:rPr>
          <w:rFonts w:ascii="Arial" w:eastAsia="Arial" w:hAnsi="Arial" w:cs="Arial"/>
          <w:sz w:val="22"/>
        </w:rPr>
        <w:t>. The schedule is subject to change.</w:t>
      </w:r>
    </w:p>
    <w:p w14:paraId="274D6E40" w14:textId="77777777" w:rsidR="00A77B3E" w:rsidRDefault="00A77B3E">
      <w:pPr>
        <w:widowControl w:val="0"/>
        <w:spacing w:line="248" w:lineRule="auto"/>
        <w:rPr>
          <w:sz w:val="22"/>
        </w:rPr>
      </w:pPr>
    </w:p>
    <w:p w14:paraId="608B63DE" w14:textId="77777777" w:rsidR="00A77B3E" w:rsidRDefault="00FF2E54">
      <w:pPr>
        <w:keepNext/>
        <w:spacing w:line="248" w:lineRule="auto"/>
        <w:rPr>
          <w:rFonts w:ascii="Arial" w:eastAsia="Arial" w:hAnsi="Arial" w:cs="Arial"/>
          <w:b/>
          <w:sz w:val="22"/>
        </w:rPr>
      </w:pPr>
      <w:r>
        <w:rPr>
          <w:rFonts w:ascii="Arial" w:eastAsia="Arial" w:hAnsi="Arial" w:cs="Arial"/>
          <w:b/>
          <w:sz w:val="22"/>
          <w:u w:val="single"/>
        </w:rPr>
        <w:t>About Fortinet</w:t>
      </w:r>
      <w:r>
        <w:rPr>
          <w:rFonts w:ascii="Arial" w:eastAsia="Arial" w:hAnsi="Arial" w:cs="Arial"/>
          <w:sz w:val="22"/>
        </w:rPr>
        <w:t xml:space="preserve"> (</w:t>
      </w:r>
      <w:r>
        <w:rPr>
          <w:rFonts w:ascii="Arial" w:eastAsia="Arial" w:hAnsi="Arial" w:cs="Arial"/>
          <w:color w:val="0000FF"/>
          <w:sz w:val="22"/>
          <w:u w:val="single"/>
        </w:rPr>
        <w:t>www.fortinet.com</w:t>
      </w:r>
      <w:r>
        <w:rPr>
          <w:rFonts w:ascii="Arial" w:eastAsia="Arial" w:hAnsi="Arial" w:cs="Arial"/>
          <w:sz w:val="22"/>
        </w:rPr>
        <w:t>)</w:t>
      </w:r>
    </w:p>
    <w:p w14:paraId="5E831496" w14:textId="77777777" w:rsidR="00A77B3E" w:rsidRDefault="00A77B3E">
      <w:pPr>
        <w:keepNext/>
        <w:spacing w:line="248" w:lineRule="auto"/>
        <w:rPr>
          <w:rFonts w:ascii="Arial" w:eastAsia="Arial" w:hAnsi="Arial" w:cs="Arial"/>
          <w:sz w:val="22"/>
        </w:rPr>
      </w:pPr>
    </w:p>
    <w:p w14:paraId="65B9AFA2" w14:textId="77777777" w:rsidR="00A77B3E" w:rsidRDefault="00FF2E54">
      <w:pPr>
        <w:keepNext/>
        <w:spacing w:line="221" w:lineRule="auto"/>
        <w:rPr>
          <w:rFonts w:ascii="Arial" w:eastAsia="Arial" w:hAnsi="Arial" w:cs="Arial"/>
        </w:rPr>
      </w:pPr>
      <w:r>
        <w:rPr>
          <w:rFonts w:ascii="Arial" w:eastAsia="Arial" w:hAnsi="Arial" w:cs="Arial"/>
          <w:sz w:val="22"/>
        </w:rPr>
        <w:t>Fortinet (Nasdaq: FTNT) secures the largest enterprise, service provider, and government organizations around the world. Fortinet empowers its customers with complete visibility and control across the expanding attack surface and the power to take on ever-increasing performance requirements today and into the future. Only the Fortinet Security Fabric platform can address the most critical security challenges and protect data across the entire digital infrastructure, whether in networked, application, multi-</w:t>
      </w:r>
      <w:proofErr w:type="gramStart"/>
      <w:r>
        <w:rPr>
          <w:rFonts w:ascii="Arial" w:eastAsia="Arial" w:hAnsi="Arial" w:cs="Arial"/>
          <w:sz w:val="22"/>
        </w:rPr>
        <w:t>cloud</w:t>
      </w:r>
      <w:proofErr w:type="gramEnd"/>
      <w:r>
        <w:rPr>
          <w:rFonts w:ascii="Arial" w:eastAsia="Arial" w:hAnsi="Arial" w:cs="Arial"/>
          <w:sz w:val="22"/>
        </w:rPr>
        <w:t xml:space="preserve"> or edge environments. Both a technology company and a learning organization, the Fortinet Network Security Institute has </w:t>
      </w:r>
      <w:r>
        <w:rPr>
          <w:rFonts w:ascii="Arial" w:eastAsia="Arial" w:hAnsi="Arial" w:cs="Arial"/>
          <w:sz w:val="22"/>
        </w:rPr>
        <w:lastRenderedPageBreak/>
        <w:t xml:space="preserve">one of the largest and broadest cybersecurity training programs in the industry. Learn more at </w:t>
      </w:r>
      <w:r>
        <w:rPr>
          <w:rFonts w:ascii="Arial" w:eastAsia="Arial" w:hAnsi="Arial" w:cs="Arial"/>
          <w:color w:val="0000FF"/>
          <w:sz w:val="22"/>
          <w:u w:val="single"/>
        </w:rPr>
        <w:t>https://www.fortinet.com,</w:t>
      </w:r>
      <w:r>
        <w:rPr>
          <w:rFonts w:ascii="Arial" w:eastAsia="Arial" w:hAnsi="Arial" w:cs="Arial"/>
          <w:color w:val="0000FF"/>
          <w:sz w:val="22"/>
        </w:rPr>
        <w:t xml:space="preserve"> </w:t>
      </w:r>
      <w:r>
        <w:rPr>
          <w:rFonts w:ascii="Arial" w:eastAsia="Arial" w:hAnsi="Arial" w:cs="Arial"/>
          <w:sz w:val="22"/>
        </w:rPr>
        <w:t xml:space="preserve">the </w:t>
      </w:r>
      <w:r>
        <w:rPr>
          <w:rFonts w:ascii="Arial" w:eastAsia="Arial" w:hAnsi="Arial" w:cs="Arial"/>
          <w:color w:val="0000FF"/>
          <w:sz w:val="22"/>
          <w:u w:val="single"/>
        </w:rPr>
        <w:t>Fortinet Blog</w:t>
      </w:r>
      <w:r>
        <w:rPr>
          <w:rFonts w:ascii="Arial" w:eastAsia="Arial" w:hAnsi="Arial" w:cs="Arial"/>
          <w:sz w:val="22"/>
        </w:rPr>
        <w:t xml:space="preserve"> or </w:t>
      </w:r>
      <w:r>
        <w:rPr>
          <w:rFonts w:ascii="Arial" w:eastAsia="Arial" w:hAnsi="Arial" w:cs="Arial"/>
          <w:color w:val="0000FF"/>
          <w:sz w:val="22"/>
          <w:u w:val="single"/>
        </w:rPr>
        <w:t>FortiGuard Labs</w:t>
      </w:r>
      <w:r>
        <w:rPr>
          <w:rFonts w:ascii="Arial" w:eastAsia="Arial" w:hAnsi="Arial" w:cs="Arial"/>
          <w:sz w:val="22"/>
        </w:rPr>
        <w:t>.</w:t>
      </w:r>
    </w:p>
    <w:p w14:paraId="1F93BE55" w14:textId="77777777" w:rsidR="00A77B3E" w:rsidRDefault="00FF2E54">
      <w:pPr>
        <w:keepNext/>
        <w:keepLines/>
        <w:widowControl w:val="0"/>
        <w:spacing w:before="120" w:line="248" w:lineRule="auto"/>
        <w:jc w:val="center"/>
        <w:rPr>
          <w:rFonts w:ascii="Arial" w:eastAsia="Arial" w:hAnsi="Arial" w:cs="Arial"/>
          <w:sz w:val="22"/>
        </w:rPr>
      </w:pPr>
      <w:r>
        <w:rPr>
          <w:rFonts w:ascii="Arial" w:eastAsia="Arial" w:hAnsi="Arial" w:cs="Arial"/>
          <w:sz w:val="22"/>
        </w:rPr>
        <w:t>#          #          #</w:t>
      </w:r>
    </w:p>
    <w:p w14:paraId="01F98C9D" w14:textId="77777777" w:rsidR="00A77B3E" w:rsidRDefault="00FF2E54">
      <w:pPr>
        <w:widowControl w:val="0"/>
        <w:spacing w:line="238" w:lineRule="auto"/>
        <w:rPr>
          <w:rFonts w:ascii="Calibri" w:eastAsia="Calibri" w:hAnsi="Calibri" w:cs="Calibri"/>
          <w:sz w:val="22"/>
        </w:rPr>
      </w:pPr>
      <w:r>
        <w:rPr>
          <w:rFonts w:ascii="Arial" w:eastAsia="Arial" w:hAnsi="Arial" w:cs="Arial"/>
          <w:i/>
          <w:sz w:val="22"/>
        </w:rPr>
        <w:t xml:space="preserve">Copyright © 2020 Fortinet, Inc. All rights reserved. The symbols ® and ™ denote respectively federally registered trademarks and common law trademarks of Fortinet, Inc., its </w:t>
      </w:r>
      <w:proofErr w:type="gramStart"/>
      <w:r>
        <w:rPr>
          <w:rFonts w:ascii="Arial" w:eastAsia="Arial" w:hAnsi="Arial" w:cs="Arial"/>
          <w:i/>
          <w:sz w:val="22"/>
        </w:rPr>
        <w:t>subsidiaries</w:t>
      </w:r>
      <w:proofErr w:type="gramEnd"/>
      <w:r>
        <w:rPr>
          <w:rFonts w:ascii="Arial" w:eastAsia="Arial" w:hAnsi="Arial" w:cs="Arial"/>
          <w:i/>
          <w:sz w:val="22"/>
        </w:rPr>
        <w:t xml:space="preserve"> and affiliates. Fortinet’s trademarks include, but are not limited to, the following: Fortinet, the Fortinet logo, FortiGate, </w:t>
      </w:r>
      <w:proofErr w:type="spellStart"/>
      <w:r>
        <w:rPr>
          <w:rFonts w:ascii="Arial" w:eastAsia="Arial" w:hAnsi="Arial" w:cs="Arial"/>
          <w:i/>
          <w:sz w:val="22"/>
        </w:rPr>
        <w:t>FortiOS</w:t>
      </w:r>
      <w:proofErr w:type="spellEnd"/>
      <w:r>
        <w:rPr>
          <w:rFonts w:ascii="Arial" w:eastAsia="Arial" w:hAnsi="Arial" w:cs="Arial"/>
          <w:i/>
          <w:sz w:val="22"/>
        </w:rPr>
        <w:t xml:space="preserve">, FortiGuard, </w:t>
      </w:r>
      <w:proofErr w:type="spellStart"/>
      <w:r>
        <w:rPr>
          <w:rFonts w:ascii="Arial" w:eastAsia="Arial" w:hAnsi="Arial" w:cs="Arial"/>
          <w:i/>
          <w:sz w:val="22"/>
        </w:rPr>
        <w:t>FortiCare</w:t>
      </w:r>
      <w:proofErr w:type="spellEnd"/>
      <w:r>
        <w:rPr>
          <w:rFonts w:ascii="Arial" w:eastAsia="Arial" w:hAnsi="Arial" w:cs="Arial"/>
          <w:i/>
          <w:sz w:val="22"/>
        </w:rPr>
        <w:t xml:space="preserve">, </w:t>
      </w:r>
      <w:proofErr w:type="spellStart"/>
      <w:r>
        <w:rPr>
          <w:rFonts w:ascii="Arial" w:eastAsia="Arial" w:hAnsi="Arial" w:cs="Arial"/>
          <w:i/>
          <w:sz w:val="22"/>
        </w:rPr>
        <w:t>FortiAnalyzer</w:t>
      </w:r>
      <w:proofErr w:type="spellEnd"/>
      <w:r>
        <w:rPr>
          <w:rFonts w:ascii="Arial" w:eastAsia="Arial" w:hAnsi="Arial" w:cs="Arial"/>
          <w:i/>
          <w:sz w:val="22"/>
        </w:rPr>
        <w:t xml:space="preserve">, </w:t>
      </w:r>
      <w:proofErr w:type="spellStart"/>
      <w:r>
        <w:rPr>
          <w:rFonts w:ascii="Arial" w:eastAsia="Arial" w:hAnsi="Arial" w:cs="Arial"/>
          <w:i/>
          <w:sz w:val="22"/>
        </w:rPr>
        <w:t>FortiManager</w:t>
      </w:r>
      <w:proofErr w:type="spellEnd"/>
      <w:r>
        <w:rPr>
          <w:rFonts w:ascii="Arial" w:eastAsia="Arial" w:hAnsi="Arial" w:cs="Arial"/>
          <w:i/>
          <w:sz w:val="22"/>
        </w:rPr>
        <w:t xml:space="preserve">, </w:t>
      </w:r>
      <w:proofErr w:type="spellStart"/>
      <w:r>
        <w:rPr>
          <w:rFonts w:ascii="Arial" w:eastAsia="Arial" w:hAnsi="Arial" w:cs="Arial"/>
          <w:i/>
          <w:sz w:val="22"/>
        </w:rPr>
        <w:t>FortiASIC</w:t>
      </w:r>
      <w:proofErr w:type="spellEnd"/>
      <w:r>
        <w:rPr>
          <w:rFonts w:ascii="Arial" w:eastAsia="Arial" w:hAnsi="Arial" w:cs="Arial"/>
          <w:i/>
          <w:sz w:val="22"/>
        </w:rPr>
        <w:t xml:space="preserve">, FortiClient, </w:t>
      </w:r>
      <w:proofErr w:type="spellStart"/>
      <w:r>
        <w:rPr>
          <w:rFonts w:ascii="Arial" w:eastAsia="Arial" w:hAnsi="Arial" w:cs="Arial"/>
          <w:i/>
          <w:sz w:val="22"/>
        </w:rPr>
        <w:t>FortiCloud</w:t>
      </w:r>
      <w:proofErr w:type="spellEnd"/>
      <w:r>
        <w:rPr>
          <w:rFonts w:ascii="Arial" w:eastAsia="Arial" w:hAnsi="Arial" w:cs="Arial"/>
          <w:i/>
          <w:sz w:val="22"/>
        </w:rPr>
        <w:t xml:space="preserve">, </w:t>
      </w:r>
      <w:proofErr w:type="spellStart"/>
      <w:r>
        <w:rPr>
          <w:rFonts w:ascii="Arial" w:eastAsia="Arial" w:hAnsi="Arial" w:cs="Arial"/>
          <w:i/>
          <w:sz w:val="22"/>
        </w:rPr>
        <w:t>FortiCore</w:t>
      </w:r>
      <w:proofErr w:type="spellEnd"/>
      <w:r>
        <w:rPr>
          <w:rFonts w:ascii="Arial" w:eastAsia="Arial" w:hAnsi="Arial" w:cs="Arial"/>
          <w:i/>
          <w:sz w:val="22"/>
        </w:rPr>
        <w:t xml:space="preserve">, </w:t>
      </w:r>
      <w:proofErr w:type="spellStart"/>
      <w:r>
        <w:rPr>
          <w:rFonts w:ascii="Arial" w:eastAsia="Arial" w:hAnsi="Arial" w:cs="Arial"/>
          <w:i/>
          <w:sz w:val="22"/>
        </w:rPr>
        <w:t>FortiMail</w:t>
      </w:r>
      <w:proofErr w:type="spellEnd"/>
      <w:r>
        <w:rPr>
          <w:rFonts w:ascii="Arial" w:eastAsia="Arial" w:hAnsi="Arial" w:cs="Arial"/>
          <w:i/>
          <w:sz w:val="22"/>
        </w:rPr>
        <w:t xml:space="preserve">, </w:t>
      </w:r>
      <w:proofErr w:type="spellStart"/>
      <w:r>
        <w:rPr>
          <w:rFonts w:ascii="Arial" w:eastAsia="Arial" w:hAnsi="Arial" w:cs="Arial"/>
          <w:i/>
          <w:sz w:val="22"/>
        </w:rPr>
        <w:t>FortiSandbox</w:t>
      </w:r>
      <w:proofErr w:type="spellEnd"/>
      <w:r>
        <w:rPr>
          <w:rFonts w:ascii="Arial" w:eastAsia="Arial" w:hAnsi="Arial" w:cs="Arial"/>
          <w:i/>
          <w:sz w:val="22"/>
        </w:rPr>
        <w:t xml:space="preserve">, </w:t>
      </w:r>
      <w:proofErr w:type="spellStart"/>
      <w:r>
        <w:rPr>
          <w:rFonts w:ascii="Arial" w:eastAsia="Arial" w:hAnsi="Arial" w:cs="Arial"/>
          <w:i/>
          <w:sz w:val="22"/>
        </w:rPr>
        <w:t>FortiADC</w:t>
      </w:r>
      <w:proofErr w:type="spellEnd"/>
      <w:r>
        <w:rPr>
          <w:rFonts w:ascii="Arial" w:eastAsia="Arial" w:hAnsi="Arial" w:cs="Arial"/>
          <w:i/>
          <w:sz w:val="22"/>
        </w:rPr>
        <w:t xml:space="preserve">, </w:t>
      </w:r>
      <w:proofErr w:type="spellStart"/>
      <w:r>
        <w:rPr>
          <w:rFonts w:ascii="Arial" w:eastAsia="Arial" w:hAnsi="Arial" w:cs="Arial"/>
          <w:i/>
          <w:sz w:val="22"/>
        </w:rPr>
        <w:t>FortiAI</w:t>
      </w:r>
      <w:proofErr w:type="spellEnd"/>
      <w:r>
        <w:rPr>
          <w:rFonts w:ascii="Arial" w:eastAsia="Arial" w:hAnsi="Arial" w:cs="Arial"/>
          <w:i/>
          <w:sz w:val="22"/>
        </w:rPr>
        <w:t xml:space="preserve">, </w:t>
      </w:r>
      <w:proofErr w:type="spellStart"/>
      <w:r>
        <w:rPr>
          <w:rFonts w:ascii="Arial" w:eastAsia="Arial" w:hAnsi="Arial" w:cs="Arial"/>
          <w:i/>
          <w:sz w:val="22"/>
        </w:rPr>
        <w:t>FortiAP</w:t>
      </w:r>
      <w:proofErr w:type="spellEnd"/>
      <w:r>
        <w:rPr>
          <w:rFonts w:ascii="Arial" w:eastAsia="Arial" w:hAnsi="Arial" w:cs="Arial"/>
          <w:i/>
          <w:sz w:val="22"/>
        </w:rPr>
        <w:t xml:space="preserve">, </w:t>
      </w:r>
      <w:proofErr w:type="spellStart"/>
      <w:r>
        <w:rPr>
          <w:rFonts w:ascii="Arial" w:eastAsia="Arial" w:hAnsi="Arial" w:cs="Arial"/>
          <w:i/>
          <w:sz w:val="22"/>
        </w:rPr>
        <w:t>FortiAppEngine</w:t>
      </w:r>
      <w:proofErr w:type="spellEnd"/>
      <w:r>
        <w:rPr>
          <w:rFonts w:ascii="Arial" w:eastAsia="Arial" w:hAnsi="Arial" w:cs="Arial"/>
          <w:i/>
          <w:sz w:val="22"/>
        </w:rPr>
        <w:t xml:space="preserve">, </w:t>
      </w:r>
      <w:proofErr w:type="spellStart"/>
      <w:r>
        <w:rPr>
          <w:rFonts w:ascii="Arial" w:eastAsia="Arial" w:hAnsi="Arial" w:cs="Arial"/>
          <w:i/>
          <w:sz w:val="22"/>
        </w:rPr>
        <w:t>FortiAppMonitor</w:t>
      </w:r>
      <w:proofErr w:type="spellEnd"/>
      <w:r>
        <w:rPr>
          <w:rFonts w:ascii="Arial" w:eastAsia="Arial" w:hAnsi="Arial" w:cs="Arial"/>
          <w:i/>
          <w:sz w:val="22"/>
        </w:rPr>
        <w:t xml:space="preserve">, </w:t>
      </w:r>
      <w:proofErr w:type="spellStart"/>
      <w:r>
        <w:rPr>
          <w:rFonts w:ascii="Arial" w:eastAsia="Arial" w:hAnsi="Arial" w:cs="Arial"/>
          <w:i/>
          <w:sz w:val="22"/>
        </w:rPr>
        <w:t>FortiAuthenticator</w:t>
      </w:r>
      <w:proofErr w:type="spellEnd"/>
      <w:r>
        <w:rPr>
          <w:rFonts w:ascii="Arial" w:eastAsia="Arial" w:hAnsi="Arial" w:cs="Arial"/>
          <w:i/>
          <w:sz w:val="22"/>
        </w:rPr>
        <w:t xml:space="preserve">, </w:t>
      </w:r>
      <w:proofErr w:type="spellStart"/>
      <w:r>
        <w:rPr>
          <w:rFonts w:ascii="Arial" w:eastAsia="Arial" w:hAnsi="Arial" w:cs="Arial"/>
          <w:i/>
          <w:sz w:val="22"/>
        </w:rPr>
        <w:t>FortiBalancer</w:t>
      </w:r>
      <w:proofErr w:type="spellEnd"/>
      <w:r>
        <w:rPr>
          <w:rFonts w:ascii="Arial" w:eastAsia="Arial" w:hAnsi="Arial" w:cs="Arial"/>
          <w:i/>
          <w:sz w:val="22"/>
        </w:rPr>
        <w:t xml:space="preserve">, </w:t>
      </w:r>
      <w:proofErr w:type="spellStart"/>
      <w:r>
        <w:rPr>
          <w:rFonts w:ascii="Arial" w:eastAsia="Arial" w:hAnsi="Arial" w:cs="Arial"/>
          <w:i/>
          <w:sz w:val="22"/>
        </w:rPr>
        <w:t>FortiBIOS</w:t>
      </w:r>
      <w:proofErr w:type="spellEnd"/>
      <w:r>
        <w:rPr>
          <w:rFonts w:ascii="Arial" w:eastAsia="Arial" w:hAnsi="Arial" w:cs="Arial"/>
          <w:i/>
          <w:sz w:val="22"/>
        </w:rPr>
        <w:t xml:space="preserve">, </w:t>
      </w:r>
      <w:proofErr w:type="spellStart"/>
      <w:r>
        <w:rPr>
          <w:rFonts w:ascii="Arial" w:eastAsia="Arial" w:hAnsi="Arial" w:cs="Arial"/>
          <w:i/>
          <w:sz w:val="22"/>
        </w:rPr>
        <w:t>FortiBridge</w:t>
      </w:r>
      <w:proofErr w:type="spellEnd"/>
      <w:r>
        <w:rPr>
          <w:rFonts w:ascii="Arial" w:eastAsia="Arial" w:hAnsi="Arial" w:cs="Arial"/>
          <w:i/>
          <w:sz w:val="22"/>
        </w:rPr>
        <w:t xml:space="preserve">, </w:t>
      </w:r>
      <w:proofErr w:type="spellStart"/>
      <w:r>
        <w:rPr>
          <w:rFonts w:ascii="Arial" w:eastAsia="Arial" w:hAnsi="Arial" w:cs="Arial"/>
          <w:i/>
          <w:sz w:val="22"/>
        </w:rPr>
        <w:t>FortiCache</w:t>
      </w:r>
      <w:proofErr w:type="spellEnd"/>
      <w:r>
        <w:rPr>
          <w:rFonts w:ascii="Arial" w:eastAsia="Arial" w:hAnsi="Arial" w:cs="Arial"/>
          <w:i/>
          <w:sz w:val="22"/>
        </w:rPr>
        <w:t xml:space="preserve">, </w:t>
      </w:r>
      <w:proofErr w:type="spellStart"/>
      <w:r>
        <w:rPr>
          <w:rFonts w:ascii="Arial" w:eastAsia="Arial" w:hAnsi="Arial" w:cs="Arial"/>
          <w:i/>
          <w:sz w:val="22"/>
        </w:rPr>
        <w:t>FortiCall</w:t>
      </w:r>
      <w:proofErr w:type="spellEnd"/>
      <w:r>
        <w:rPr>
          <w:rFonts w:ascii="Arial" w:eastAsia="Arial" w:hAnsi="Arial" w:cs="Arial"/>
          <w:i/>
          <w:sz w:val="22"/>
        </w:rPr>
        <w:t xml:space="preserve">, </w:t>
      </w:r>
      <w:proofErr w:type="spellStart"/>
      <w:r>
        <w:rPr>
          <w:rFonts w:ascii="Arial" w:eastAsia="Arial" w:hAnsi="Arial" w:cs="Arial"/>
          <w:i/>
          <w:sz w:val="22"/>
        </w:rPr>
        <w:t>FortiCam</w:t>
      </w:r>
      <w:proofErr w:type="spellEnd"/>
      <w:r>
        <w:rPr>
          <w:rFonts w:ascii="Arial" w:eastAsia="Arial" w:hAnsi="Arial" w:cs="Arial"/>
          <w:i/>
          <w:sz w:val="22"/>
        </w:rPr>
        <w:t xml:space="preserve">, </w:t>
      </w:r>
      <w:proofErr w:type="spellStart"/>
      <w:r>
        <w:rPr>
          <w:rFonts w:ascii="Arial" w:eastAsia="Arial" w:hAnsi="Arial" w:cs="Arial"/>
          <w:i/>
          <w:sz w:val="22"/>
        </w:rPr>
        <w:t>FortiCamera</w:t>
      </w:r>
      <w:proofErr w:type="spellEnd"/>
      <w:r>
        <w:rPr>
          <w:rFonts w:ascii="Arial" w:eastAsia="Arial" w:hAnsi="Arial" w:cs="Arial"/>
          <w:i/>
          <w:sz w:val="22"/>
        </w:rPr>
        <w:t xml:space="preserve">, </w:t>
      </w:r>
      <w:proofErr w:type="spellStart"/>
      <w:r>
        <w:rPr>
          <w:rFonts w:ascii="Arial" w:eastAsia="Arial" w:hAnsi="Arial" w:cs="Arial"/>
          <w:i/>
          <w:sz w:val="22"/>
        </w:rPr>
        <w:t>FortiCarrier</w:t>
      </w:r>
      <w:proofErr w:type="spellEnd"/>
      <w:r>
        <w:rPr>
          <w:rFonts w:ascii="Arial" w:eastAsia="Arial" w:hAnsi="Arial" w:cs="Arial"/>
          <w:i/>
          <w:sz w:val="22"/>
        </w:rPr>
        <w:t xml:space="preserve">, </w:t>
      </w:r>
      <w:proofErr w:type="spellStart"/>
      <w:r>
        <w:rPr>
          <w:rFonts w:ascii="Arial" w:eastAsia="Arial" w:hAnsi="Arial" w:cs="Arial"/>
          <w:i/>
          <w:sz w:val="22"/>
        </w:rPr>
        <w:t>FortiCASB</w:t>
      </w:r>
      <w:proofErr w:type="spellEnd"/>
      <w:r>
        <w:rPr>
          <w:rFonts w:ascii="Arial" w:eastAsia="Arial" w:hAnsi="Arial" w:cs="Arial"/>
          <w:i/>
          <w:sz w:val="22"/>
        </w:rPr>
        <w:t xml:space="preserve">, </w:t>
      </w:r>
      <w:proofErr w:type="spellStart"/>
      <w:r>
        <w:rPr>
          <w:rFonts w:ascii="Arial" w:eastAsia="Arial" w:hAnsi="Arial" w:cs="Arial"/>
          <w:i/>
          <w:sz w:val="22"/>
        </w:rPr>
        <w:t>FortiCenter</w:t>
      </w:r>
      <w:proofErr w:type="spellEnd"/>
      <w:r>
        <w:rPr>
          <w:rFonts w:ascii="Arial" w:eastAsia="Arial" w:hAnsi="Arial" w:cs="Arial"/>
          <w:i/>
          <w:sz w:val="22"/>
        </w:rPr>
        <w:t xml:space="preserve">, </w:t>
      </w:r>
      <w:proofErr w:type="spellStart"/>
      <w:r>
        <w:rPr>
          <w:rFonts w:ascii="Arial" w:eastAsia="Arial" w:hAnsi="Arial" w:cs="Arial"/>
          <w:i/>
          <w:sz w:val="22"/>
        </w:rPr>
        <w:t>FortiCentral</w:t>
      </w:r>
      <w:proofErr w:type="spellEnd"/>
      <w:r>
        <w:rPr>
          <w:rFonts w:ascii="Arial" w:eastAsia="Arial" w:hAnsi="Arial" w:cs="Arial"/>
          <w:i/>
          <w:sz w:val="22"/>
        </w:rPr>
        <w:t xml:space="preserve">, </w:t>
      </w:r>
      <w:proofErr w:type="spellStart"/>
      <w:r>
        <w:rPr>
          <w:rFonts w:ascii="Arial" w:eastAsia="Arial" w:hAnsi="Arial" w:cs="Arial"/>
          <w:i/>
          <w:sz w:val="22"/>
        </w:rPr>
        <w:t>FortiConnect</w:t>
      </w:r>
      <w:proofErr w:type="spellEnd"/>
      <w:r>
        <w:rPr>
          <w:rFonts w:ascii="Arial" w:eastAsia="Arial" w:hAnsi="Arial" w:cs="Arial"/>
          <w:i/>
          <w:sz w:val="22"/>
        </w:rPr>
        <w:t xml:space="preserve">, </w:t>
      </w:r>
      <w:proofErr w:type="spellStart"/>
      <w:r>
        <w:rPr>
          <w:rFonts w:ascii="Arial" w:eastAsia="Arial" w:hAnsi="Arial" w:cs="Arial"/>
          <w:i/>
          <w:sz w:val="22"/>
        </w:rPr>
        <w:t>FortiController</w:t>
      </w:r>
      <w:proofErr w:type="spellEnd"/>
      <w:r>
        <w:rPr>
          <w:rFonts w:ascii="Arial" w:eastAsia="Arial" w:hAnsi="Arial" w:cs="Arial"/>
          <w:i/>
          <w:sz w:val="22"/>
        </w:rPr>
        <w:t xml:space="preserve">, </w:t>
      </w:r>
      <w:proofErr w:type="spellStart"/>
      <w:r>
        <w:rPr>
          <w:rFonts w:ascii="Arial" w:eastAsia="Arial" w:hAnsi="Arial" w:cs="Arial"/>
          <w:i/>
          <w:sz w:val="22"/>
        </w:rPr>
        <w:t>FortiConverter</w:t>
      </w:r>
      <w:proofErr w:type="spellEnd"/>
      <w:r>
        <w:rPr>
          <w:rFonts w:ascii="Arial" w:eastAsia="Arial" w:hAnsi="Arial" w:cs="Arial"/>
          <w:i/>
          <w:sz w:val="22"/>
        </w:rPr>
        <w:t xml:space="preserve">, </w:t>
      </w:r>
      <w:proofErr w:type="spellStart"/>
      <w:r>
        <w:rPr>
          <w:rFonts w:ascii="Arial" w:eastAsia="Arial" w:hAnsi="Arial" w:cs="Arial"/>
          <w:i/>
          <w:sz w:val="22"/>
        </w:rPr>
        <w:t>FortiCWP</w:t>
      </w:r>
      <w:proofErr w:type="spellEnd"/>
      <w:r>
        <w:rPr>
          <w:rFonts w:ascii="Arial" w:eastAsia="Arial" w:hAnsi="Arial" w:cs="Arial"/>
          <w:i/>
          <w:sz w:val="22"/>
        </w:rPr>
        <w:t xml:space="preserve">, </w:t>
      </w:r>
      <w:proofErr w:type="spellStart"/>
      <w:r>
        <w:rPr>
          <w:rFonts w:ascii="Arial" w:eastAsia="Arial" w:hAnsi="Arial" w:cs="Arial"/>
          <w:i/>
          <w:sz w:val="22"/>
        </w:rPr>
        <w:t>FortiDB</w:t>
      </w:r>
      <w:proofErr w:type="spellEnd"/>
      <w:r>
        <w:rPr>
          <w:rFonts w:ascii="Arial" w:eastAsia="Arial" w:hAnsi="Arial" w:cs="Arial"/>
          <w:i/>
          <w:sz w:val="22"/>
        </w:rPr>
        <w:t xml:space="preserve">, </w:t>
      </w:r>
      <w:proofErr w:type="spellStart"/>
      <w:r>
        <w:rPr>
          <w:rFonts w:ascii="Arial" w:eastAsia="Arial" w:hAnsi="Arial" w:cs="Arial"/>
          <w:i/>
          <w:sz w:val="22"/>
        </w:rPr>
        <w:t>FortiDDoS</w:t>
      </w:r>
      <w:proofErr w:type="spellEnd"/>
      <w:r>
        <w:rPr>
          <w:rFonts w:ascii="Arial" w:eastAsia="Arial" w:hAnsi="Arial" w:cs="Arial"/>
          <w:i/>
          <w:sz w:val="22"/>
        </w:rPr>
        <w:t xml:space="preserve">, </w:t>
      </w:r>
      <w:proofErr w:type="spellStart"/>
      <w:r>
        <w:rPr>
          <w:rFonts w:ascii="Arial" w:eastAsia="Arial" w:hAnsi="Arial" w:cs="Arial"/>
          <w:i/>
          <w:sz w:val="22"/>
        </w:rPr>
        <w:t>FortiDeceptor</w:t>
      </w:r>
      <w:proofErr w:type="spellEnd"/>
      <w:r>
        <w:rPr>
          <w:rFonts w:ascii="Arial" w:eastAsia="Arial" w:hAnsi="Arial" w:cs="Arial"/>
          <w:i/>
          <w:sz w:val="22"/>
        </w:rPr>
        <w:t xml:space="preserve">, </w:t>
      </w:r>
      <w:proofErr w:type="spellStart"/>
      <w:r>
        <w:rPr>
          <w:rFonts w:ascii="Arial" w:eastAsia="Arial" w:hAnsi="Arial" w:cs="Arial"/>
          <w:i/>
          <w:sz w:val="22"/>
        </w:rPr>
        <w:t>FortiDirector</w:t>
      </w:r>
      <w:proofErr w:type="spellEnd"/>
      <w:r>
        <w:rPr>
          <w:rFonts w:ascii="Arial" w:eastAsia="Arial" w:hAnsi="Arial" w:cs="Arial"/>
          <w:i/>
          <w:sz w:val="22"/>
        </w:rPr>
        <w:t xml:space="preserve">, </w:t>
      </w:r>
      <w:proofErr w:type="spellStart"/>
      <w:r>
        <w:rPr>
          <w:rFonts w:ascii="Arial" w:eastAsia="Arial" w:hAnsi="Arial" w:cs="Arial"/>
          <w:i/>
          <w:sz w:val="22"/>
        </w:rPr>
        <w:t>FortiDNS</w:t>
      </w:r>
      <w:proofErr w:type="spellEnd"/>
      <w:r>
        <w:rPr>
          <w:rFonts w:ascii="Arial" w:eastAsia="Arial" w:hAnsi="Arial" w:cs="Arial"/>
          <w:i/>
          <w:sz w:val="22"/>
        </w:rPr>
        <w:t xml:space="preserve">, </w:t>
      </w:r>
      <w:proofErr w:type="spellStart"/>
      <w:r>
        <w:rPr>
          <w:rFonts w:ascii="Arial" w:eastAsia="Arial" w:hAnsi="Arial" w:cs="Arial"/>
          <w:i/>
          <w:sz w:val="22"/>
        </w:rPr>
        <w:t>FortiEDR</w:t>
      </w:r>
      <w:proofErr w:type="spellEnd"/>
      <w:r>
        <w:rPr>
          <w:rFonts w:ascii="Arial" w:eastAsia="Arial" w:hAnsi="Arial" w:cs="Arial"/>
          <w:i/>
          <w:sz w:val="22"/>
        </w:rPr>
        <w:t xml:space="preserve">, </w:t>
      </w:r>
      <w:proofErr w:type="spellStart"/>
      <w:r>
        <w:rPr>
          <w:rFonts w:ascii="Arial" w:eastAsia="Arial" w:hAnsi="Arial" w:cs="Arial"/>
          <w:i/>
          <w:sz w:val="22"/>
        </w:rPr>
        <w:t>FortiExplorer</w:t>
      </w:r>
      <w:proofErr w:type="spellEnd"/>
      <w:r>
        <w:rPr>
          <w:rFonts w:ascii="Arial" w:eastAsia="Arial" w:hAnsi="Arial" w:cs="Arial"/>
          <w:i/>
          <w:sz w:val="22"/>
        </w:rPr>
        <w:t xml:space="preserve">, </w:t>
      </w:r>
      <w:proofErr w:type="spellStart"/>
      <w:r>
        <w:rPr>
          <w:rFonts w:ascii="Arial" w:eastAsia="Arial" w:hAnsi="Arial" w:cs="Arial"/>
          <w:i/>
          <w:sz w:val="22"/>
        </w:rPr>
        <w:t>FortiExtender</w:t>
      </w:r>
      <w:proofErr w:type="spellEnd"/>
      <w:r>
        <w:rPr>
          <w:rFonts w:ascii="Arial" w:eastAsia="Arial" w:hAnsi="Arial" w:cs="Arial"/>
          <w:i/>
          <w:sz w:val="22"/>
        </w:rPr>
        <w:t xml:space="preserve">, </w:t>
      </w:r>
      <w:proofErr w:type="spellStart"/>
      <w:r>
        <w:rPr>
          <w:rFonts w:ascii="Arial" w:eastAsia="Arial" w:hAnsi="Arial" w:cs="Arial"/>
          <w:i/>
          <w:sz w:val="22"/>
        </w:rPr>
        <w:t>FortiFone</w:t>
      </w:r>
      <w:proofErr w:type="spellEnd"/>
      <w:r>
        <w:rPr>
          <w:rFonts w:ascii="Arial" w:eastAsia="Arial" w:hAnsi="Arial" w:cs="Arial"/>
          <w:i/>
          <w:sz w:val="22"/>
        </w:rPr>
        <w:t xml:space="preserve">, </w:t>
      </w:r>
      <w:proofErr w:type="spellStart"/>
      <w:r>
        <w:rPr>
          <w:rFonts w:ascii="Arial" w:eastAsia="Arial" w:hAnsi="Arial" w:cs="Arial"/>
          <w:i/>
          <w:sz w:val="22"/>
        </w:rPr>
        <w:t>FortiGSLB</w:t>
      </w:r>
      <w:proofErr w:type="spellEnd"/>
      <w:r>
        <w:rPr>
          <w:rFonts w:ascii="Arial" w:eastAsia="Arial" w:hAnsi="Arial" w:cs="Arial"/>
          <w:i/>
          <w:sz w:val="22"/>
        </w:rPr>
        <w:t xml:space="preserve">, </w:t>
      </w:r>
      <w:proofErr w:type="spellStart"/>
      <w:r>
        <w:rPr>
          <w:rFonts w:ascii="Arial" w:eastAsia="Arial" w:hAnsi="Arial" w:cs="Arial"/>
          <w:i/>
          <w:sz w:val="22"/>
        </w:rPr>
        <w:t>FortiHypervisor</w:t>
      </w:r>
      <w:proofErr w:type="spellEnd"/>
      <w:r>
        <w:rPr>
          <w:rFonts w:ascii="Arial" w:eastAsia="Arial" w:hAnsi="Arial" w:cs="Arial"/>
          <w:i/>
          <w:sz w:val="22"/>
        </w:rPr>
        <w:t xml:space="preserve">, </w:t>
      </w:r>
      <w:proofErr w:type="spellStart"/>
      <w:r>
        <w:rPr>
          <w:rFonts w:ascii="Arial" w:eastAsia="Arial" w:hAnsi="Arial" w:cs="Arial"/>
          <w:i/>
          <w:sz w:val="22"/>
        </w:rPr>
        <w:t>FortiInsight</w:t>
      </w:r>
      <w:proofErr w:type="spellEnd"/>
      <w:r>
        <w:rPr>
          <w:rFonts w:ascii="Arial" w:eastAsia="Arial" w:hAnsi="Arial" w:cs="Arial"/>
          <w:i/>
          <w:sz w:val="22"/>
        </w:rPr>
        <w:t xml:space="preserve">, </w:t>
      </w:r>
      <w:proofErr w:type="spellStart"/>
      <w:r>
        <w:rPr>
          <w:rFonts w:ascii="Arial" w:eastAsia="Arial" w:hAnsi="Arial" w:cs="Arial"/>
          <w:i/>
          <w:sz w:val="22"/>
        </w:rPr>
        <w:t>FortiIsolator</w:t>
      </w:r>
      <w:proofErr w:type="spellEnd"/>
      <w:r>
        <w:rPr>
          <w:rFonts w:ascii="Arial" w:eastAsia="Arial" w:hAnsi="Arial" w:cs="Arial"/>
          <w:i/>
          <w:sz w:val="22"/>
        </w:rPr>
        <w:t xml:space="preserve">, </w:t>
      </w:r>
      <w:proofErr w:type="spellStart"/>
      <w:r>
        <w:rPr>
          <w:rFonts w:ascii="Arial" w:eastAsia="Arial" w:hAnsi="Arial" w:cs="Arial"/>
          <w:i/>
          <w:sz w:val="22"/>
        </w:rPr>
        <w:t>FortiLocator</w:t>
      </w:r>
      <w:proofErr w:type="spellEnd"/>
      <w:r>
        <w:rPr>
          <w:rFonts w:ascii="Arial" w:eastAsia="Arial" w:hAnsi="Arial" w:cs="Arial"/>
          <w:i/>
          <w:sz w:val="22"/>
        </w:rPr>
        <w:t xml:space="preserve">, </w:t>
      </w:r>
      <w:proofErr w:type="spellStart"/>
      <w:r>
        <w:rPr>
          <w:rFonts w:ascii="Arial" w:eastAsia="Arial" w:hAnsi="Arial" w:cs="Arial"/>
          <w:i/>
          <w:sz w:val="22"/>
        </w:rPr>
        <w:t>FortiLog</w:t>
      </w:r>
      <w:proofErr w:type="spellEnd"/>
      <w:r>
        <w:rPr>
          <w:rFonts w:ascii="Arial" w:eastAsia="Arial" w:hAnsi="Arial" w:cs="Arial"/>
          <w:i/>
          <w:sz w:val="22"/>
        </w:rPr>
        <w:t xml:space="preserve">, </w:t>
      </w:r>
      <w:proofErr w:type="spellStart"/>
      <w:r>
        <w:rPr>
          <w:rFonts w:ascii="Arial" w:eastAsia="Arial" w:hAnsi="Arial" w:cs="Arial"/>
          <w:i/>
          <w:sz w:val="22"/>
        </w:rPr>
        <w:t>FortiMeter</w:t>
      </w:r>
      <w:proofErr w:type="spellEnd"/>
      <w:r>
        <w:rPr>
          <w:rFonts w:ascii="Arial" w:eastAsia="Arial" w:hAnsi="Arial" w:cs="Arial"/>
          <w:i/>
          <w:sz w:val="22"/>
        </w:rPr>
        <w:t xml:space="preserve">, </w:t>
      </w:r>
      <w:proofErr w:type="spellStart"/>
      <w:r>
        <w:rPr>
          <w:rFonts w:ascii="Arial" w:eastAsia="Arial" w:hAnsi="Arial" w:cs="Arial"/>
          <w:i/>
          <w:sz w:val="22"/>
        </w:rPr>
        <w:t>FortiMoM</w:t>
      </w:r>
      <w:proofErr w:type="spellEnd"/>
      <w:r>
        <w:rPr>
          <w:rFonts w:ascii="Arial" w:eastAsia="Arial" w:hAnsi="Arial" w:cs="Arial"/>
          <w:i/>
          <w:sz w:val="22"/>
        </w:rPr>
        <w:t xml:space="preserve">, </w:t>
      </w:r>
      <w:proofErr w:type="spellStart"/>
      <w:r>
        <w:rPr>
          <w:rFonts w:ascii="Arial" w:eastAsia="Arial" w:hAnsi="Arial" w:cs="Arial"/>
          <w:i/>
          <w:sz w:val="22"/>
        </w:rPr>
        <w:t>FortiMonitor</w:t>
      </w:r>
      <w:proofErr w:type="spellEnd"/>
      <w:r>
        <w:rPr>
          <w:rFonts w:ascii="Arial" w:eastAsia="Arial" w:hAnsi="Arial" w:cs="Arial"/>
          <w:i/>
          <w:sz w:val="22"/>
        </w:rPr>
        <w:t xml:space="preserve">, </w:t>
      </w:r>
      <w:proofErr w:type="spellStart"/>
      <w:r>
        <w:rPr>
          <w:rFonts w:ascii="Arial" w:eastAsia="Arial" w:hAnsi="Arial" w:cs="Arial"/>
          <w:i/>
          <w:sz w:val="22"/>
        </w:rPr>
        <w:t>FortiNAC</w:t>
      </w:r>
      <w:proofErr w:type="spellEnd"/>
      <w:r>
        <w:rPr>
          <w:rFonts w:ascii="Arial" w:eastAsia="Arial" w:hAnsi="Arial" w:cs="Arial"/>
          <w:i/>
          <w:sz w:val="22"/>
        </w:rPr>
        <w:t xml:space="preserve">, </w:t>
      </w:r>
      <w:proofErr w:type="spellStart"/>
      <w:r>
        <w:rPr>
          <w:rFonts w:ascii="Arial" w:eastAsia="Arial" w:hAnsi="Arial" w:cs="Arial"/>
          <w:i/>
          <w:sz w:val="22"/>
        </w:rPr>
        <w:t>FortiPartner</w:t>
      </w:r>
      <w:proofErr w:type="spellEnd"/>
      <w:r>
        <w:rPr>
          <w:rFonts w:ascii="Arial" w:eastAsia="Arial" w:hAnsi="Arial" w:cs="Arial"/>
          <w:i/>
          <w:sz w:val="22"/>
        </w:rPr>
        <w:t xml:space="preserve">, </w:t>
      </w:r>
      <w:proofErr w:type="spellStart"/>
      <w:r>
        <w:rPr>
          <w:rFonts w:ascii="Arial" w:eastAsia="Arial" w:hAnsi="Arial" w:cs="Arial"/>
          <w:i/>
          <w:sz w:val="22"/>
        </w:rPr>
        <w:t>FortiPortal</w:t>
      </w:r>
      <w:proofErr w:type="spellEnd"/>
      <w:r>
        <w:rPr>
          <w:rFonts w:ascii="Arial" w:eastAsia="Arial" w:hAnsi="Arial" w:cs="Arial"/>
          <w:i/>
          <w:sz w:val="22"/>
        </w:rPr>
        <w:t xml:space="preserve">, </w:t>
      </w:r>
      <w:proofErr w:type="spellStart"/>
      <w:r>
        <w:rPr>
          <w:rFonts w:ascii="Arial" w:eastAsia="Arial" w:hAnsi="Arial" w:cs="Arial"/>
          <w:i/>
          <w:sz w:val="22"/>
        </w:rPr>
        <w:t>FortiPresence</w:t>
      </w:r>
      <w:proofErr w:type="spellEnd"/>
      <w:r>
        <w:rPr>
          <w:rFonts w:ascii="Arial" w:eastAsia="Arial" w:hAnsi="Arial" w:cs="Arial"/>
          <w:i/>
          <w:sz w:val="22"/>
        </w:rPr>
        <w:t xml:space="preserve"> , </w:t>
      </w:r>
      <w:proofErr w:type="spellStart"/>
      <w:r>
        <w:rPr>
          <w:rFonts w:ascii="Arial" w:eastAsia="Arial" w:hAnsi="Arial" w:cs="Arial"/>
          <w:i/>
          <w:sz w:val="22"/>
        </w:rPr>
        <w:t>FortiProtect</w:t>
      </w:r>
      <w:proofErr w:type="spellEnd"/>
      <w:r>
        <w:rPr>
          <w:rFonts w:ascii="Arial" w:eastAsia="Arial" w:hAnsi="Arial" w:cs="Arial"/>
          <w:i/>
          <w:sz w:val="22"/>
        </w:rPr>
        <w:t xml:space="preserve">, </w:t>
      </w:r>
      <w:proofErr w:type="spellStart"/>
      <w:r>
        <w:rPr>
          <w:rFonts w:ascii="Arial" w:eastAsia="Arial" w:hAnsi="Arial" w:cs="Arial"/>
          <w:i/>
          <w:sz w:val="22"/>
        </w:rPr>
        <w:t>FortiProxy</w:t>
      </w:r>
      <w:proofErr w:type="spellEnd"/>
      <w:r>
        <w:rPr>
          <w:rFonts w:ascii="Arial" w:eastAsia="Arial" w:hAnsi="Arial" w:cs="Arial"/>
          <w:i/>
          <w:sz w:val="22"/>
        </w:rPr>
        <w:t xml:space="preserve">, </w:t>
      </w:r>
      <w:proofErr w:type="spellStart"/>
      <w:r>
        <w:rPr>
          <w:rFonts w:ascii="Arial" w:eastAsia="Arial" w:hAnsi="Arial" w:cs="Arial"/>
          <w:i/>
          <w:sz w:val="22"/>
        </w:rPr>
        <w:t>FortiRecorder</w:t>
      </w:r>
      <w:proofErr w:type="spellEnd"/>
      <w:r>
        <w:rPr>
          <w:rFonts w:ascii="Arial" w:eastAsia="Arial" w:hAnsi="Arial" w:cs="Arial"/>
          <w:i/>
          <w:sz w:val="22"/>
        </w:rPr>
        <w:t xml:space="preserve">, </w:t>
      </w:r>
      <w:proofErr w:type="spellStart"/>
      <w:r>
        <w:rPr>
          <w:rFonts w:ascii="Arial" w:eastAsia="Arial" w:hAnsi="Arial" w:cs="Arial"/>
          <w:i/>
          <w:sz w:val="22"/>
        </w:rPr>
        <w:t>FortiReporter</w:t>
      </w:r>
      <w:proofErr w:type="spellEnd"/>
      <w:r>
        <w:rPr>
          <w:rFonts w:ascii="Arial" w:eastAsia="Arial" w:hAnsi="Arial" w:cs="Arial"/>
          <w:i/>
          <w:sz w:val="22"/>
        </w:rPr>
        <w:t xml:space="preserve">, </w:t>
      </w:r>
      <w:proofErr w:type="spellStart"/>
      <w:r>
        <w:rPr>
          <w:rFonts w:ascii="Arial" w:eastAsia="Arial" w:hAnsi="Arial" w:cs="Arial"/>
          <w:i/>
          <w:sz w:val="22"/>
        </w:rPr>
        <w:t>FortiSASE</w:t>
      </w:r>
      <w:proofErr w:type="spellEnd"/>
      <w:r>
        <w:rPr>
          <w:rFonts w:ascii="Arial" w:eastAsia="Arial" w:hAnsi="Arial" w:cs="Arial"/>
          <w:i/>
          <w:sz w:val="22"/>
        </w:rPr>
        <w:t xml:space="preserve">, </w:t>
      </w:r>
      <w:proofErr w:type="spellStart"/>
      <w:r>
        <w:rPr>
          <w:rFonts w:ascii="Arial" w:eastAsia="Arial" w:hAnsi="Arial" w:cs="Arial"/>
          <w:i/>
          <w:sz w:val="22"/>
        </w:rPr>
        <w:t>FortiScan</w:t>
      </w:r>
      <w:proofErr w:type="spellEnd"/>
      <w:r>
        <w:rPr>
          <w:rFonts w:ascii="Arial" w:eastAsia="Arial" w:hAnsi="Arial" w:cs="Arial"/>
          <w:i/>
          <w:sz w:val="22"/>
        </w:rPr>
        <w:t xml:space="preserve">, </w:t>
      </w:r>
      <w:proofErr w:type="spellStart"/>
      <w:r>
        <w:rPr>
          <w:rFonts w:ascii="Arial" w:eastAsia="Arial" w:hAnsi="Arial" w:cs="Arial"/>
          <w:i/>
          <w:sz w:val="22"/>
        </w:rPr>
        <w:t>FortiSDNConnector</w:t>
      </w:r>
      <w:proofErr w:type="spellEnd"/>
      <w:r>
        <w:rPr>
          <w:rFonts w:ascii="Arial" w:eastAsia="Arial" w:hAnsi="Arial" w:cs="Arial"/>
          <w:i/>
          <w:sz w:val="22"/>
        </w:rPr>
        <w:t xml:space="preserve">, </w:t>
      </w:r>
      <w:proofErr w:type="spellStart"/>
      <w:r>
        <w:rPr>
          <w:rFonts w:ascii="Arial" w:eastAsia="Arial" w:hAnsi="Arial" w:cs="Arial"/>
          <w:i/>
          <w:sz w:val="22"/>
        </w:rPr>
        <w:t>FortiSIEM</w:t>
      </w:r>
      <w:proofErr w:type="spellEnd"/>
      <w:r>
        <w:rPr>
          <w:rFonts w:ascii="Arial" w:eastAsia="Arial" w:hAnsi="Arial" w:cs="Arial"/>
          <w:i/>
          <w:sz w:val="22"/>
        </w:rPr>
        <w:t xml:space="preserve">, </w:t>
      </w:r>
      <w:proofErr w:type="spellStart"/>
      <w:r>
        <w:rPr>
          <w:rFonts w:ascii="Arial" w:eastAsia="Arial" w:hAnsi="Arial" w:cs="Arial"/>
          <w:i/>
          <w:sz w:val="22"/>
        </w:rPr>
        <w:t>FortiSDWAN</w:t>
      </w:r>
      <w:proofErr w:type="spellEnd"/>
      <w:r>
        <w:rPr>
          <w:rFonts w:ascii="Arial" w:eastAsia="Arial" w:hAnsi="Arial" w:cs="Arial"/>
          <w:i/>
          <w:sz w:val="22"/>
        </w:rPr>
        <w:t xml:space="preserve">, </w:t>
      </w:r>
      <w:proofErr w:type="spellStart"/>
      <w:r>
        <w:rPr>
          <w:rFonts w:ascii="Arial" w:eastAsia="Arial" w:hAnsi="Arial" w:cs="Arial"/>
          <w:i/>
          <w:sz w:val="22"/>
        </w:rPr>
        <w:t>FortiSMS</w:t>
      </w:r>
      <w:proofErr w:type="spellEnd"/>
      <w:r>
        <w:rPr>
          <w:rFonts w:ascii="Arial" w:eastAsia="Arial" w:hAnsi="Arial" w:cs="Arial"/>
          <w:i/>
          <w:sz w:val="22"/>
        </w:rPr>
        <w:t xml:space="preserve">, </w:t>
      </w:r>
      <w:proofErr w:type="spellStart"/>
      <w:r>
        <w:rPr>
          <w:rFonts w:ascii="Arial" w:eastAsia="Arial" w:hAnsi="Arial" w:cs="Arial"/>
          <w:i/>
          <w:sz w:val="22"/>
        </w:rPr>
        <w:t>FortiSOAR</w:t>
      </w:r>
      <w:proofErr w:type="spellEnd"/>
      <w:r>
        <w:rPr>
          <w:rFonts w:ascii="Arial" w:eastAsia="Arial" w:hAnsi="Arial" w:cs="Arial"/>
          <w:i/>
          <w:sz w:val="22"/>
        </w:rPr>
        <w:t xml:space="preserve">, </w:t>
      </w:r>
      <w:proofErr w:type="spellStart"/>
      <w:r>
        <w:rPr>
          <w:rFonts w:ascii="Arial" w:eastAsia="Arial" w:hAnsi="Arial" w:cs="Arial"/>
          <w:i/>
          <w:sz w:val="22"/>
        </w:rPr>
        <w:t>FortiSwitch</w:t>
      </w:r>
      <w:proofErr w:type="spellEnd"/>
      <w:r>
        <w:rPr>
          <w:rFonts w:ascii="Arial" w:eastAsia="Arial" w:hAnsi="Arial" w:cs="Arial"/>
          <w:i/>
          <w:sz w:val="22"/>
        </w:rPr>
        <w:t xml:space="preserve">, </w:t>
      </w:r>
      <w:proofErr w:type="spellStart"/>
      <w:r>
        <w:rPr>
          <w:rFonts w:ascii="Arial" w:eastAsia="Arial" w:hAnsi="Arial" w:cs="Arial"/>
          <w:i/>
          <w:sz w:val="22"/>
        </w:rPr>
        <w:t>FortiTester</w:t>
      </w:r>
      <w:proofErr w:type="spellEnd"/>
      <w:r>
        <w:rPr>
          <w:rFonts w:ascii="Arial" w:eastAsia="Arial" w:hAnsi="Arial" w:cs="Arial"/>
          <w:i/>
          <w:sz w:val="22"/>
        </w:rPr>
        <w:t xml:space="preserve">, </w:t>
      </w:r>
      <w:proofErr w:type="spellStart"/>
      <w:r>
        <w:rPr>
          <w:rFonts w:ascii="Arial" w:eastAsia="Arial" w:hAnsi="Arial" w:cs="Arial"/>
          <w:i/>
          <w:sz w:val="22"/>
        </w:rPr>
        <w:t>FortiToken</w:t>
      </w:r>
      <w:proofErr w:type="spellEnd"/>
      <w:r>
        <w:rPr>
          <w:rFonts w:ascii="Arial" w:eastAsia="Arial" w:hAnsi="Arial" w:cs="Arial"/>
          <w:i/>
          <w:sz w:val="22"/>
        </w:rPr>
        <w:t xml:space="preserve">, </w:t>
      </w:r>
      <w:proofErr w:type="spellStart"/>
      <w:r>
        <w:rPr>
          <w:rFonts w:ascii="Arial" w:eastAsia="Arial" w:hAnsi="Arial" w:cs="Arial"/>
          <w:i/>
          <w:sz w:val="22"/>
        </w:rPr>
        <w:t>FortiTrust</w:t>
      </w:r>
      <w:proofErr w:type="spellEnd"/>
      <w:r>
        <w:rPr>
          <w:rFonts w:ascii="Arial" w:eastAsia="Arial" w:hAnsi="Arial" w:cs="Arial"/>
          <w:i/>
          <w:sz w:val="22"/>
        </w:rPr>
        <w:t xml:space="preserve">, </w:t>
      </w:r>
      <w:proofErr w:type="spellStart"/>
      <w:r>
        <w:rPr>
          <w:rFonts w:ascii="Arial" w:eastAsia="Arial" w:hAnsi="Arial" w:cs="Arial"/>
          <w:i/>
          <w:sz w:val="22"/>
        </w:rPr>
        <w:t>FortiVoice</w:t>
      </w:r>
      <w:proofErr w:type="spellEnd"/>
      <w:r>
        <w:rPr>
          <w:rFonts w:ascii="Arial" w:eastAsia="Arial" w:hAnsi="Arial" w:cs="Arial"/>
          <w:i/>
          <w:sz w:val="22"/>
        </w:rPr>
        <w:t xml:space="preserve">, </w:t>
      </w:r>
      <w:proofErr w:type="spellStart"/>
      <w:r>
        <w:rPr>
          <w:rFonts w:ascii="Arial" w:eastAsia="Arial" w:hAnsi="Arial" w:cs="Arial"/>
          <w:i/>
          <w:sz w:val="22"/>
        </w:rPr>
        <w:t>FortiVoIP</w:t>
      </w:r>
      <w:proofErr w:type="spellEnd"/>
      <w:r>
        <w:rPr>
          <w:rFonts w:ascii="Arial" w:eastAsia="Arial" w:hAnsi="Arial" w:cs="Arial"/>
          <w:i/>
          <w:sz w:val="22"/>
        </w:rPr>
        <w:t xml:space="preserve">, </w:t>
      </w:r>
      <w:proofErr w:type="spellStart"/>
      <w:r>
        <w:rPr>
          <w:rFonts w:ascii="Arial" w:eastAsia="Arial" w:hAnsi="Arial" w:cs="Arial"/>
          <w:i/>
          <w:sz w:val="22"/>
        </w:rPr>
        <w:t>FortiWAN</w:t>
      </w:r>
      <w:proofErr w:type="spellEnd"/>
      <w:r>
        <w:rPr>
          <w:rFonts w:ascii="Arial" w:eastAsia="Arial" w:hAnsi="Arial" w:cs="Arial"/>
          <w:i/>
          <w:sz w:val="22"/>
        </w:rPr>
        <w:t xml:space="preserve">, </w:t>
      </w:r>
      <w:proofErr w:type="spellStart"/>
      <w:r>
        <w:rPr>
          <w:rFonts w:ascii="Arial" w:eastAsia="Arial" w:hAnsi="Arial" w:cs="Arial"/>
          <w:i/>
          <w:sz w:val="22"/>
        </w:rPr>
        <w:t>FortiWeb</w:t>
      </w:r>
      <w:proofErr w:type="spellEnd"/>
      <w:r>
        <w:rPr>
          <w:rFonts w:ascii="Arial" w:eastAsia="Arial" w:hAnsi="Arial" w:cs="Arial"/>
          <w:i/>
          <w:sz w:val="22"/>
        </w:rPr>
        <w:t xml:space="preserve">, </w:t>
      </w:r>
      <w:proofErr w:type="spellStart"/>
      <w:r>
        <w:rPr>
          <w:rFonts w:ascii="Arial" w:eastAsia="Arial" w:hAnsi="Arial" w:cs="Arial"/>
          <w:i/>
          <w:sz w:val="22"/>
        </w:rPr>
        <w:t>FortiWiFi</w:t>
      </w:r>
      <w:proofErr w:type="spellEnd"/>
      <w:r>
        <w:rPr>
          <w:rFonts w:ascii="Arial" w:eastAsia="Arial" w:hAnsi="Arial" w:cs="Arial"/>
          <w:i/>
          <w:sz w:val="22"/>
        </w:rPr>
        <w:t xml:space="preserve">, </w:t>
      </w:r>
      <w:proofErr w:type="spellStart"/>
      <w:r>
        <w:rPr>
          <w:rFonts w:ascii="Arial" w:eastAsia="Arial" w:hAnsi="Arial" w:cs="Arial"/>
          <w:i/>
          <w:sz w:val="22"/>
        </w:rPr>
        <w:t>FortiWLC</w:t>
      </w:r>
      <w:proofErr w:type="spellEnd"/>
      <w:r>
        <w:rPr>
          <w:rFonts w:ascii="Arial" w:eastAsia="Arial" w:hAnsi="Arial" w:cs="Arial"/>
          <w:i/>
          <w:sz w:val="22"/>
        </w:rPr>
        <w:t xml:space="preserve">, </w:t>
      </w:r>
      <w:proofErr w:type="spellStart"/>
      <w:r>
        <w:rPr>
          <w:rFonts w:ascii="Arial" w:eastAsia="Arial" w:hAnsi="Arial" w:cs="Arial"/>
          <w:i/>
          <w:sz w:val="22"/>
        </w:rPr>
        <w:t>FortiWLCOS</w:t>
      </w:r>
      <w:proofErr w:type="spellEnd"/>
      <w:r>
        <w:rPr>
          <w:rFonts w:ascii="Arial" w:eastAsia="Arial" w:hAnsi="Arial" w:cs="Arial"/>
          <w:i/>
          <w:sz w:val="22"/>
        </w:rPr>
        <w:t xml:space="preserve"> and </w:t>
      </w:r>
      <w:proofErr w:type="spellStart"/>
      <w:r>
        <w:rPr>
          <w:rFonts w:ascii="Arial" w:eastAsia="Arial" w:hAnsi="Arial" w:cs="Arial"/>
          <w:i/>
          <w:sz w:val="22"/>
        </w:rPr>
        <w:t>FortiWLM</w:t>
      </w:r>
      <w:proofErr w:type="spellEnd"/>
      <w:r>
        <w:rPr>
          <w:rFonts w:ascii="Arial" w:eastAsia="Arial" w:hAnsi="Arial" w:cs="Arial"/>
          <w:i/>
          <w:sz w:val="22"/>
        </w:rPr>
        <w:t>. Other trademarks belong to their respective owners. Fortinet has not independently verified statements or certifications herein attributed to third parties and Fortinet does not independently endorse such statements. Notwithstanding anything to the contrary herein, nothing herein constitutes a warranty, guarantee, contract, binding specification or other binding commitment by Fortinet or any indication of intent related to a binding commitment, and performance and other specification information herein may be unique to certain environments.</w:t>
      </w:r>
    </w:p>
    <w:p w14:paraId="5D940C52" w14:textId="77777777" w:rsidR="00A77B3E" w:rsidRDefault="00A77B3E">
      <w:pPr>
        <w:spacing w:line="248" w:lineRule="auto"/>
        <w:rPr>
          <w:rFonts w:ascii="Arial" w:eastAsia="Arial" w:hAnsi="Arial" w:cs="Arial"/>
          <w:sz w:val="22"/>
        </w:rPr>
      </w:pPr>
    </w:p>
    <w:p w14:paraId="13A982DB" w14:textId="77777777" w:rsidR="00A77B3E" w:rsidRDefault="00FF2E54">
      <w:pPr>
        <w:spacing w:line="248" w:lineRule="auto"/>
        <w:rPr>
          <w:rFonts w:ascii="Arial" w:eastAsia="Arial" w:hAnsi="Arial" w:cs="Arial"/>
          <w:sz w:val="22"/>
        </w:rPr>
      </w:pPr>
      <w:r>
        <w:rPr>
          <w:rFonts w:ascii="Arial" w:eastAsia="Arial" w:hAnsi="Arial" w:cs="Arial"/>
          <w:sz w:val="22"/>
        </w:rPr>
        <w:t>FTNT-F</w:t>
      </w:r>
    </w:p>
    <w:p w14:paraId="690DC69A" w14:textId="77777777" w:rsidR="00A77B3E" w:rsidRDefault="00A77B3E">
      <w:pPr>
        <w:spacing w:line="248" w:lineRule="auto"/>
        <w:rPr>
          <w:rFonts w:ascii="Arial" w:eastAsia="Arial" w:hAnsi="Arial" w:cs="Arial"/>
          <w:sz w:val="22"/>
        </w:rPr>
      </w:pPr>
    </w:p>
    <w:p w14:paraId="5088E0E1" w14:textId="77777777" w:rsidR="00A77B3E" w:rsidRDefault="00FF2E54">
      <w:pPr>
        <w:keepNext/>
        <w:spacing w:line="248" w:lineRule="auto"/>
        <w:rPr>
          <w:rFonts w:ascii="Arial" w:eastAsia="Arial" w:hAnsi="Arial" w:cs="Arial"/>
          <w:b/>
          <w:sz w:val="22"/>
        </w:rPr>
      </w:pPr>
      <w:r>
        <w:rPr>
          <w:rFonts w:ascii="Arial" w:eastAsia="Arial" w:hAnsi="Arial" w:cs="Arial"/>
          <w:b/>
          <w:sz w:val="22"/>
        </w:rPr>
        <w:t>Forward-Looking Statements</w:t>
      </w:r>
    </w:p>
    <w:p w14:paraId="2E27F6E6" w14:textId="77777777" w:rsidR="00A77B3E" w:rsidRDefault="00A77B3E">
      <w:pPr>
        <w:keepNext/>
        <w:spacing w:line="248" w:lineRule="auto"/>
        <w:rPr>
          <w:rFonts w:ascii="Arial" w:eastAsia="Arial" w:hAnsi="Arial" w:cs="Arial"/>
          <w:b/>
          <w:sz w:val="22"/>
        </w:rPr>
      </w:pPr>
    </w:p>
    <w:p w14:paraId="4E37A341" w14:textId="77777777" w:rsidR="00A77B3E" w:rsidRDefault="00FF2E54">
      <w:pPr>
        <w:widowControl w:val="0"/>
        <w:spacing w:line="248" w:lineRule="auto"/>
        <w:rPr>
          <w:rFonts w:ascii="Arial" w:eastAsia="Arial" w:hAnsi="Arial" w:cs="Arial"/>
          <w:sz w:val="22"/>
        </w:rPr>
      </w:pPr>
      <w:r>
        <w:rPr>
          <w:rFonts w:ascii="Arial" w:eastAsia="Arial" w:hAnsi="Arial" w:cs="Arial"/>
          <w:sz w:val="22"/>
        </w:rPr>
        <w:t xml:space="preserve">This press release contains forward-looking statements that involve risks and uncertainties. These forward-looking statements include statements regarding demand for our products and services, guidance and expectations around future financial results, including guidance and expectations for the fourth quarter 2020, statements regarding market share gains and innovation and investment areas, statements regarding the acceleration of digital transformation and cloud migration efforts as a result of the COVID-19, and statements regarding the momentum in our business and future growth expectations and objectives. Although we attempt to be accurate in making forward-looking statements, it is possible that future circumstances might differ from the assumptions on which such statements are based such that actual results are materially different from our forward-looking statements in this release. Important factors that could cause results to differ materially from the statements herein include the following: general economic risks, including those caused by the COVID-19 pandemic; negative impacts from the COVID-19 pandemic on sales, billings, revenue, demand and buying patterns, component supply and ability to manufacture products to meet demand in a timely fashion, and costs such as possible increased costs for shipping and components; global economic conditions, country-specific economic conditions, and foreign currency risks; competitiveness in the security market; the dynamic nature of the security market and its products and services; specific economic risks worldwide and in different geographies, and among different customer segments; uncertainty regarding demand and increased business and renewals from existing customers; uncertainties around continued success in sales growth and market share gains; actual or perceived vulnerabilities in our supply chain, products or services, and any actual or perceived breach of our network or our customers’ networks; longer sales cycles, particularly for larger enterprise, service providers, government and other large organization customers; the effectiveness of our salesforce and failure to convert sales pipeline into final sales; risks associated with successful implementation of multiple integrated software products and other product functionality risks; risks associated with integrating acquisitions and changes in </w:t>
      </w:r>
      <w:r>
        <w:rPr>
          <w:rFonts w:ascii="Arial" w:eastAsia="Arial" w:hAnsi="Arial" w:cs="Arial"/>
          <w:sz w:val="22"/>
        </w:rPr>
        <w:lastRenderedPageBreak/>
        <w:t xml:space="preserve">circumstances and plans associated therewith, including, among other risks, changes in plans related to product and services integrations, product and services plans and sales strategies; sales and marketing execution risks; execution risks around new product development and introductions and innovation; litigation and disputes and the potential cost, distraction and damage to sales and reputation caused thereby or by other factors; cybersecurity threats, breaches and other disruptions; market acceptance of new products and services; the ability to attract and retain personnel; changes in strategy; risks associated with management of growth; lengthy sales and implementation cycles, particularly in larger organizations; technological changes that make our products and services less competitive; risks associated with the adoption of, and demand for, our products and services in general and by specific customer segments, including those caused by the COVID-19 pandemic; competition and pricing pressure; product inventory shortages for any reason, including those caused by the COVID-19 pandemic; risks associated with business disruption caused by natural disasters and health emergencies such as earthquakes, fires, power outages, typhoons, floods, health epidemics and viruses such as the COVID-19 pandemic, and by manmade events such as civil unrest, labor disruption, international trade disputes, international conflicts, terrorism, wars, and critical infrastructure attacks; tariffs, trade disputes and other trade barriers, and negative impact on sales based on geo-political dynamics and disputes and protectionist policies; any political and government disruption around the world, including the impact of any future shutdowns of the U.S. government; and the other risk factors set forth from time to time in our most recent Annual Report on Form 10-K, our most recent Quarterly Report on Form 10-Q and our other filings with the Securities and Exchange Commission (SEC), copies of which are available free of charge at the SEC’s website at </w:t>
      </w:r>
      <w:r>
        <w:rPr>
          <w:rFonts w:ascii="Arial" w:eastAsia="Arial" w:hAnsi="Arial" w:cs="Arial"/>
          <w:color w:val="0000FF"/>
          <w:sz w:val="22"/>
          <w:u w:val="single"/>
        </w:rPr>
        <w:t>www.sec.gov</w:t>
      </w:r>
      <w:r>
        <w:rPr>
          <w:rFonts w:ascii="Arial" w:eastAsia="Arial" w:hAnsi="Arial" w:cs="Arial"/>
          <w:sz w:val="22"/>
        </w:rPr>
        <w:t xml:space="preserve"> or upon request from our investor relations department. All forward-looking statements herein reflect our opinions only as of the date of this release, and we undertake no obligation, and expressly disclaim any obligation, to update forward-looking statements herein </w:t>
      </w:r>
      <w:proofErr w:type="gramStart"/>
      <w:r>
        <w:rPr>
          <w:rFonts w:ascii="Arial" w:eastAsia="Arial" w:hAnsi="Arial" w:cs="Arial"/>
          <w:sz w:val="22"/>
        </w:rPr>
        <w:t>in light of</w:t>
      </w:r>
      <w:proofErr w:type="gramEnd"/>
      <w:r>
        <w:rPr>
          <w:rFonts w:ascii="Arial" w:eastAsia="Arial" w:hAnsi="Arial" w:cs="Arial"/>
          <w:sz w:val="22"/>
        </w:rPr>
        <w:t xml:space="preserve"> new information or future events.</w:t>
      </w:r>
    </w:p>
    <w:p w14:paraId="477EDC50" w14:textId="77777777" w:rsidR="00A77B3E" w:rsidRDefault="00A77B3E">
      <w:pPr>
        <w:widowControl w:val="0"/>
        <w:spacing w:line="248" w:lineRule="auto"/>
        <w:rPr>
          <w:rFonts w:ascii="Arial" w:eastAsia="Arial" w:hAnsi="Arial" w:cs="Arial"/>
          <w:sz w:val="22"/>
        </w:rPr>
      </w:pPr>
    </w:p>
    <w:p w14:paraId="68D6D1E3" w14:textId="77777777" w:rsidR="00A77B3E" w:rsidRDefault="00FF2E54">
      <w:pPr>
        <w:keepNext/>
        <w:spacing w:line="248" w:lineRule="auto"/>
        <w:rPr>
          <w:rFonts w:ascii="Arial" w:eastAsia="Arial" w:hAnsi="Arial" w:cs="Arial"/>
          <w:b/>
          <w:sz w:val="22"/>
        </w:rPr>
      </w:pPr>
      <w:r>
        <w:rPr>
          <w:rFonts w:ascii="Arial" w:eastAsia="Arial" w:hAnsi="Arial" w:cs="Arial"/>
          <w:b/>
          <w:sz w:val="22"/>
        </w:rPr>
        <w:t>COVID-19 Impact</w:t>
      </w:r>
    </w:p>
    <w:p w14:paraId="143ECFBA" w14:textId="77777777" w:rsidR="00A77B3E" w:rsidRDefault="00A77B3E">
      <w:pPr>
        <w:keepNext/>
        <w:spacing w:line="248" w:lineRule="auto"/>
        <w:rPr>
          <w:rFonts w:ascii="Arial" w:eastAsia="Arial" w:hAnsi="Arial" w:cs="Arial"/>
          <w:sz w:val="22"/>
        </w:rPr>
      </w:pPr>
    </w:p>
    <w:p w14:paraId="48B3D961" w14:textId="77777777" w:rsidR="00A77B3E" w:rsidRDefault="00FF2E54">
      <w:pPr>
        <w:widowControl w:val="0"/>
        <w:spacing w:line="248" w:lineRule="auto"/>
        <w:rPr>
          <w:rFonts w:ascii="Arial" w:eastAsia="Arial" w:hAnsi="Arial" w:cs="Arial"/>
          <w:color w:val="212529"/>
          <w:sz w:val="22"/>
        </w:rPr>
      </w:pPr>
      <w:r>
        <w:rPr>
          <w:rFonts w:ascii="Arial" w:eastAsia="Arial" w:hAnsi="Arial" w:cs="Arial"/>
          <w:color w:val="212529"/>
          <w:sz w:val="22"/>
        </w:rPr>
        <w:t xml:space="preserve">While the broader implications of the COVID-19 pandemic on our employees and overall financial performance remain uncertain, we have seen certain impacts on our business and operations, results of operations, financial condition, cash flows, liquidity and capital and financial resources. Going forward, the situation is uncertain, rapidly </w:t>
      </w:r>
      <w:proofErr w:type="gramStart"/>
      <w:r>
        <w:rPr>
          <w:rFonts w:ascii="Arial" w:eastAsia="Arial" w:hAnsi="Arial" w:cs="Arial"/>
          <w:color w:val="212529"/>
          <w:sz w:val="22"/>
        </w:rPr>
        <w:t>changing</w:t>
      </w:r>
      <w:proofErr w:type="gramEnd"/>
      <w:r>
        <w:rPr>
          <w:rFonts w:ascii="Arial" w:eastAsia="Arial" w:hAnsi="Arial" w:cs="Arial"/>
          <w:color w:val="212529"/>
          <w:sz w:val="22"/>
        </w:rPr>
        <w:t xml:space="preserve"> and hard to predict, and the COVID-19 pandemic may have a material negative impact on our future periods, including our results for the three months ending December 31, 2020 and beyond. To highlight the uncertainty remaining for the three-month period ending December 31, 2020, it should be noted that, due to customer buying patterns and the efforts of our sales force and channel partners to meet or exceed quarterly quotas, we have historically received a substantial portion of each quarter’s sales orders and generated a substantial portion of each quarter’s billings and revenue during the last two weeks of the quarter. If we experience significant changes in our billings growth rates, it will impact product revenue in the current quarter and FortiGuard and </w:t>
      </w:r>
      <w:proofErr w:type="spellStart"/>
      <w:r>
        <w:rPr>
          <w:rFonts w:ascii="Arial" w:eastAsia="Arial" w:hAnsi="Arial" w:cs="Arial"/>
          <w:color w:val="212529"/>
          <w:sz w:val="22"/>
        </w:rPr>
        <w:t>FortiCare</w:t>
      </w:r>
      <w:proofErr w:type="spellEnd"/>
      <w:r>
        <w:rPr>
          <w:rFonts w:ascii="Arial" w:eastAsia="Arial" w:hAnsi="Arial" w:cs="Arial"/>
          <w:color w:val="212529"/>
          <w:sz w:val="22"/>
        </w:rPr>
        <w:t xml:space="preserve"> service revenues in subsequent quarters, as we sell annual and multi-year service contracts that are recognized ratably over the contractual service term. In addition, the broader implications of the pandemic on our busine</w:t>
      </w:r>
      <w:r>
        <w:rPr>
          <w:rFonts w:ascii="Arial" w:eastAsia="Arial" w:hAnsi="Arial" w:cs="Arial"/>
          <w:sz w:val="22"/>
        </w:rPr>
        <w:t>ss and operations and our financial results, including the extent to which the effects of the pandemic will impact future results and growth in the cybersecurity industry, remain uncertain. The duration and severity of the economic downturn from the pandemic may negatively impact our business and operations, results of operations, financial condition, cash flows, liquidity and capital and financial resources in a material way. As a result, the effects of the pandemic may not be fully reflected in our results of operations until future periods.</w:t>
      </w:r>
    </w:p>
    <w:p w14:paraId="36A72AAB" w14:textId="77777777" w:rsidR="00A77B3E" w:rsidRDefault="00A77B3E">
      <w:pPr>
        <w:widowControl w:val="0"/>
        <w:spacing w:line="248" w:lineRule="auto"/>
        <w:rPr>
          <w:rFonts w:ascii="Arial" w:eastAsia="Arial" w:hAnsi="Arial" w:cs="Arial"/>
          <w:sz w:val="22"/>
        </w:rPr>
      </w:pPr>
    </w:p>
    <w:p w14:paraId="461CA016" w14:textId="77777777" w:rsidR="00A77B3E" w:rsidRDefault="00FF2E54">
      <w:pPr>
        <w:keepNext/>
        <w:spacing w:line="248" w:lineRule="auto"/>
        <w:rPr>
          <w:rFonts w:ascii="Arial" w:eastAsia="Arial" w:hAnsi="Arial" w:cs="Arial"/>
          <w:b/>
          <w:sz w:val="22"/>
        </w:rPr>
      </w:pPr>
      <w:r>
        <w:rPr>
          <w:rFonts w:ascii="Arial" w:eastAsia="Arial" w:hAnsi="Arial" w:cs="Arial"/>
          <w:b/>
          <w:sz w:val="22"/>
        </w:rPr>
        <w:lastRenderedPageBreak/>
        <w:t>Non-GAAP Financial Measures</w:t>
      </w:r>
    </w:p>
    <w:p w14:paraId="53364E26" w14:textId="77777777" w:rsidR="00A77B3E" w:rsidRDefault="00A77B3E">
      <w:pPr>
        <w:keepNext/>
        <w:spacing w:line="248" w:lineRule="auto"/>
        <w:rPr>
          <w:rFonts w:ascii="Arial" w:eastAsia="Arial" w:hAnsi="Arial" w:cs="Arial"/>
          <w:sz w:val="22"/>
        </w:rPr>
      </w:pPr>
    </w:p>
    <w:p w14:paraId="6560DFB2" w14:textId="77777777" w:rsidR="00A77B3E" w:rsidRDefault="00FF2E54">
      <w:pPr>
        <w:spacing w:line="248" w:lineRule="auto"/>
        <w:rPr>
          <w:rFonts w:ascii="Arial" w:eastAsia="Arial" w:hAnsi="Arial" w:cs="Arial"/>
          <w:sz w:val="22"/>
        </w:rPr>
      </w:pPr>
      <w:r>
        <w:rPr>
          <w:rFonts w:ascii="Arial" w:eastAsia="Arial" w:hAnsi="Arial" w:cs="Arial"/>
          <w:sz w:val="22"/>
        </w:rPr>
        <w:t>We have provided in this release financial information that has not been prepared in accordance with U.S. Generally Accepted Accounting Principles (GAAP). These non-GAAP financial and liquidity measures are not based on any standardized methodology prescribed by GAAP and are not necessarily comparable to similar measures presented by other companies. We use these non-GAAP financial measures internally in analyzing our financial results and believe they are useful to investors, as a supplement to GAAP measures, in evaluating our ongoing operational performance. We believe that the use of these non-GAAP financial measures provides an additional tool for investors to use in evaluating ongoing operating results and trends and in comparing our financial results with peer companies, many of which present similar non-GAAP financial measures to investors.</w:t>
      </w:r>
    </w:p>
    <w:p w14:paraId="50728BFA" w14:textId="77777777" w:rsidR="00A77B3E" w:rsidRDefault="00A77B3E">
      <w:pPr>
        <w:spacing w:line="248" w:lineRule="auto"/>
        <w:rPr>
          <w:rFonts w:ascii="Arial" w:eastAsia="Arial" w:hAnsi="Arial" w:cs="Arial"/>
          <w:sz w:val="22"/>
        </w:rPr>
      </w:pPr>
    </w:p>
    <w:p w14:paraId="5570C744" w14:textId="77777777" w:rsidR="00A77B3E" w:rsidRDefault="00FF2E54">
      <w:pPr>
        <w:spacing w:line="248" w:lineRule="auto"/>
        <w:rPr>
          <w:rFonts w:ascii="Arial" w:eastAsia="Arial" w:hAnsi="Arial" w:cs="Arial"/>
          <w:sz w:val="22"/>
        </w:rPr>
      </w:pPr>
      <w:r>
        <w:rPr>
          <w:rFonts w:ascii="Arial" w:eastAsia="Arial" w:hAnsi="Arial" w:cs="Arial"/>
          <w:sz w:val="22"/>
        </w:rPr>
        <w:t xml:space="preserve">Non-GAAP financial measures should not be considered in isolation from, or as a substitute for, financial information prepared in accordance with GAAP. Investors are encouraged to review the reconciliation of these non-GAAP financial measures to their most directly comparable GAAP financial measures provided in the financial statement tables below. </w:t>
      </w:r>
    </w:p>
    <w:p w14:paraId="6299668D" w14:textId="77777777" w:rsidR="00A77B3E" w:rsidRDefault="00A77B3E">
      <w:pPr>
        <w:spacing w:line="248" w:lineRule="auto"/>
        <w:rPr>
          <w:rFonts w:ascii="Arial" w:eastAsia="Arial" w:hAnsi="Arial" w:cs="Arial"/>
          <w:sz w:val="22"/>
        </w:rPr>
      </w:pPr>
    </w:p>
    <w:p w14:paraId="320009D0" w14:textId="77777777" w:rsidR="00A77B3E" w:rsidRDefault="00FF2E54">
      <w:pPr>
        <w:spacing w:line="248" w:lineRule="auto"/>
        <w:rPr>
          <w:rFonts w:ascii="Arial" w:eastAsia="Arial" w:hAnsi="Arial" w:cs="Arial"/>
          <w:i/>
          <w:sz w:val="22"/>
        </w:rPr>
      </w:pPr>
      <w:r>
        <w:rPr>
          <w:rFonts w:ascii="Arial" w:eastAsia="Arial" w:hAnsi="Arial" w:cs="Arial"/>
          <w:i/>
          <w:sz w:val="22"/>
        </w:rPr>
        <w:t>Billings (non-GAAP).</w:t>
      </w:r>
      <w:r>
        <w:rPr>
          <w:rFonts w:ascii="Arial" w:eastAsia="Arial" w:hAnsi="Arial" w:cs="Arial"/>
          <w:sz w:val="22"/>
        </w:rPr>
        <w:t xml:space="preserve"> We define billings as revenue recognized in accordance with GAAP plus the change in deferred revenue from the beginning to the end of the period, less any deferred revenue balances acquired from business combination(s) during the period. We consider billings to be a useful metric for management and investors because billings drive current and future revenue, which is an important indicator of the health and viability of our business. There are </w:t>
      </w:r>
      <w:proofErr w:type="gramStart"/>
      <w:r>
        <w:rPr>
          <w:rFonts w:ascii="Arial" w:eastAsia="Arial" w:hAnsi="Arial" w:cs="Arial"/>
          <w:sz w:val="22"/>
        </w:rPr>
        <w:t>a number of</w:t>
      </w:r>
      <w:proofErr w:type="gramEnd"/>
      <w:r>
        <w:rPr>
          <w:rFonts w:ascii="Arial" w:eastAsia="Arial" w:hAnsi="Arial" w:cs="Arial"/>
          <w:sz w:val="22"/>
        </w:rPr>
        <w:t xml:space="preserve"> limitations related to the use of billings instead of GAAP revenue. First, billings include amounts that have not yet been recognized as revenue and are impacted by the term of security and support agreements. Second, we may calculate billings in a manner that is different from peer companies that report similar financial measures. Management accounts for these limitations by providing specific information regarding GAAP revenue and evaluating billings together with GAAP revenue.</w:t>
      </w:r>
    </w:p>
    <w:p w14:paraId="46853B31" w14:textId="77777777" w:rsidR="00A77B3E" w:rsidRDefault="00A77B3E">
      <w:pPr>
        <w:spacing w:line="248" w:lineRule="auto"/>
        <w:rPr>
          <w:rFonts w:ascii="Arial" w:eastAsia="Arial" w:hAnsi="Arial" w:cs="Arial"/>
          <w:sz w:val="22"/>
        </w:rPr>
      </w:pPr>
    </w:p>
    <w:p w14:paraId="003C9D59" w14:textId="77777777" w:rsidR="00A77B3E" w:rsidRDefault="00FF2E54">
      <w:pPr>
        <w:spacing w:line="238" w:lineRule="auto"/>
        <w:rPr>
          <w:rFonts w:ascii="Arial" w:eastAsia="Arial" w:hAnsi="Arial" w:cs="Arial"/>
          <w:sz w:val="22"/>
        </w:rPr>
      </w:pPr>
      <w:r>
        <w:rPr>
          <w:rFonts w:ascii="Arial" w:eastAsia="Arial" w:hAnsi="Arial" w:cs="Arial"/>
          <w:i/>
          <w:sz w:val="22"/>
        </w:rPr>
        <w:t>Free cash flow (non-GAAP).</w:t>
      </w:r>
      <w:r>
        <w:rPr>
          <w:rFonts w:ascii="Arial" w:eastAsia="Arial" w:hAnsi="Arial" w:cs="Arial"/>
          <w:sz w:val="22"/>
        </w:rPr>
        <w:t xml:space="preserve"> We define free cash flow as net cash provided by operating activities minus purchases of property and equipment and excluding any significant non-recurring items, such as proceeds from intellectual property matter. We believe free cash flow to be a liquidity measure that provides useful information to management and investors about the amount of cash generated by the business that, after capital expenditures and net of proceeds from intellectual property matter, can be used for strategic opportunities, including repurchasing outstanding common stock, investing in our business, making strategic acquisitions and strengthening the balance sheet. A limitation of using free cash flow rather than the GAAP measures of cash provided by or used in operating activities, investing activities, and financing activities is that free cash flow does not represent the total increase or decrease in the cash and cash equivalents balance for the period because it excludes cash flows from significant non-recurring items, such as proceeds from intellectual property matter, investing activities other than capital expenditures and cash flows from financing activities. Management accounts for this limitation by providing information about our capital expenditures and other investing and financing activities on the face of the cash flow statement and under the caption “Management</w:t>
      </w:r>
      <w:r>
        <w:rPr>
          <w:sz w:val="20"/>
        </w:rPr>
        <w:t>’</w:t>
      </w:r>
      <w:r>
        <w:rPr>
          <w:rFonts w:ascii="Arial" w:eastAsia="Arial" w:hAnsi="Arial" w:cs="Arial"/>
          <w:sz w:val="22"/>
        </w:rPr>
        <w:t>s Discussion and Analysis of Financial Condition and Results of Operations</w:t>
      </w:r>
      <w:r>
        <w:t>—</w:t>
      </w:r>
      <w:r>
        <w:rPr>
          <w:rFonts w:ascii="Arial" w:eastAsia="Arial" w:hAnsi="Arial" w:cs="Arial"/>
          <w:sz w:val="22"/>
        </w:rPr>
        <w:t>Liquidity and Capital Resources” in our most recent Quarterly Report on Form 10-Q and Annual Report on Form 10-K and by presenting cash flows from investing and financing activities in our reconciliation of free cash flow. In addition, it is important to note that other companies, including companies in our industry, may not use free cash flow, may calculate free cash flow in a different manner than we do or may use other financial measures to evaluate their performance, all of which could reduce the usefulness of free cash flow as a comparative measure.</w:t>
      </w:r>
    </w:p>
    <w:p w14:paraId="306D0AF1" w14:textId="77777777" w:rsidR="00A77B3E" w:rsidRDefault="00A77B3E">
      <w:pPr>
        <w:spacing w:line="248" w:lineRule="auto"/>
        <w:rPr>
          <w:rFonts w:ascii="Arial" w:eastAsia="Arial" w:hAnsi="Arial" w:cs="Arial"/>
          <w:sz w:val="22"/>
        </w:rPr>
      </w:pPr>
    </w:p>
    <w:p w14:paraId="62498E73" w14:textId="77777777" w:rsidR="00A77B3E" w:rsidRDefault="00FF2E54">
      <w:pPr>
        <w:spacing w:line="238" w:lineRule="auto"/>
        <w:rPr>
          <w:rFonts w:ascii="Arial" w:eastAsia="Arial" w:hAnsi="Arial" w:cs="Arial"/>
          <w:sz w:val="22"/>
        </w:rPr>
      </w:pPr>
      <w:r>
        <w:rPr>
          <w:rFonts w:ascii="Arial" w:eastAsia="Arial" w:hAnsi="Arial" w:cs="Arial"/>
          <w:i/>
          <w:sz w:val="22"/>
        </w:rPr>
        <w:lastRenderedPageBreak/>
        <w:t xml:space="preserve">Non-GAAP operating income and operating margin. </w:t>
      </w:r>
      <w:r>
        <w:rPr>
          <w:rFonts w:ascii="Arial" w:eastAsia="Arial" w:hAnsi="Arial" w:cs="Arial"/>
          <w:sz w:val="22"/>
        </w:rPr>
        <w:t xml:space="preserve">We define non-GAAP operating income as operating income plus stock-based compensation, impairment and amortization of acquired intangible assets, gain on intellectual property matter and, when applicable, other significant non-recurring items in a given quarter, such as non-recurring gains or losses on litigation-related matters. Non-GAAP operating margin is defined as non-GAAP operating income divided by GAAP revenue. We consider these non-GAAP financial measures to be useful metrics for management and investors because they exclude the items noted above so that our management and investors can compare our recurring core business operating results over multiple periods. There are </w:t>
      </w:r>
      <w:proofErr w:type="gramStart"/>
      <w:r>
        <w:rPr>
          <w:rFonts w:ascii="Arial" w:eastAsia="Arial" w:hAnsi="Arial" w:cs="Arial"/>
          <w:sz w:val="22"/>
        </w:rPr>
        <w:t>a number of</w:t>
      </w:r>
      <w:proofErr w:type="gramEnd"/>
      <w:r>
        <w:rPr>
          <w:rFonts w:ascii="Arial" w:eastAsia="Arial" w:hAnsi="Arial" w:cs="Arial"/>
          <w:sz w:val="22"/>
        </w:rPr>
        <w:t xml:space="preserve"> limitations related to the use of non-GAAP operating income instead of operating income or loss calculated in accordance with GAAP. First, non-GAAP operating income excludes the items noted above. Second, the components of the costs that we exclude from our calculation of non-GAAP operating income may differ from the components that peer companies exclude when they report their non-GAAP results of operations. Management accounts for these limitations by providing specific information regarding the GAAP amounts excluded from non-GAAP operating income and evaluating non-GAAP operating income together with operating income calculated in accordance with GAAP.</w:t>
      </w:r>
    </w:p>
    <w:p w14:paraId="3AEAC445" w14:textId="77777777" w:rsidR="00A77B3E" w:rsidRDefault="00A77B3E">
      <w:pPr>
        <w:spacing w:line="248" w:lineRule="auto"/>
        <w:rPr>
          <w:rFonts w:ascii="Arial" w:eastAsia="Arial" w:hAnsi="Arial" w:cs="Arial"/>
          <w:i/>
          <w:sz w:val="22"/>
        </w:rPr>
      </w:pPr>
    </w:p>
    <w:p w14:paraId="5B785385" w14:textId="77777777" w:rsidR="00A77B3E" w:rsidRDefault="00FF2E54">
      <w:pPr>
        <w:spacing w:line="248" w:lineRule="auto"/>
        <w:rPr>
          <w:rFonts w:ascii="Arial" w:eastAsia="Arial" w:hAnsi="Arial" w:cs="Arial"/>
          <w:i/>
          <w:sz w:val="22"/>
        </w:rPr>
      </w:pPr>
      <w:r>
        <w:rPr>
          <w:rFonts w:ascii="Arial" w:eastAsia="Arial" w:hAnsi="Arial" w:cs="Arial"/>
          <w:i/>
          <w:sz w:val="22"/>
        </w:rPr>
        <w:t xml:space="preserve">Non-GAAP net income and diluted net income per share. </w:t>
      </w:r>
      <w:r>
        <w:rPr>
          <w:rFonts w:ascii="Arial" w:eastAsia="Arial" w:hAnsi="Arial" w:cs="Arial"/>
          <w:sz w:val="22"/>
        </w:rPr>
        <w:t>We define non-GAAP net income as net income or loss plus the items noted above under non-GAAP operating income and operating margin. In addition, we adjust non-GAAP net income and diluted net income per share for gains or losses on investments in privately held companies and a tax adjustment required for an effective tax rate on a non-GAAP basis, which differs from the GAAP effective tax rate. We define non-GAAP diluted net income per share as non-GAAP net income divided by the non-GAAP diluted weighted-average shares outstanding. We consider these non-GAAP financial measures to be useful metrics for management and investors for the same reasons that we use non-GAAP operating income and non-GAAP operating margin. However, in order to provide a more complete picture of our recurring core business operating results, we include in non-GAAP net income and non-GAAP diluted net income per share, the tax adjustment required resulting in an effective tax rate on a non-GAAP basis, which often differs from the GAAP tax rate. We believe the non-GAAP effective tax rates we use are reasonable estimates of normalized tax rates for our current and prior fiscal years under our global operating structure. The same limitations described above regarding our use of non-GAAP operating income and non-GAAP operating margin apply to our use of non-GAAP net income and non-GAAP diluted net income per share. We account for these limitations by providing specific information regarding the GAAP amounts excluded from non-GAAP net income and non-GAAP diluted net income per share and evaluating non-GAAP net income and non-GAAP diluted net income per share together with net income or loss and diluted net income per share calculated in accordance with GAAP.</w:t>
      </w:r>
    </w:p>
    <w:p w14:paraId="322907F5" w14:textId="77777777" w:rsidR="00A77B3E" w:rsidRDefault="00A77B3E">
      <w:pPr>
        <w:spacing w:line="248" w:lineRule="auto"/>
        <w:rPr>
          <w:sz w:val="20"/>
        </w:rPr>
        <w:sectPr w:rsidR="00A77B3E">
          <w:headerReference w:type="default" r:id="rId8"/>
          <w:footerReference w:type="default" r:id="rId9"/>
          <w:type w:val="continuous"/>
          <w:pgSz w:w="12240" w:h="15840"/>
          <w:pgMar w:top="855" w:right="1080" w:bottom="855" w:left="1800" w:header="270" w:footer="270" w:gutter="0"/>
          <w:cols w:space="708"/>
          <w:docGrid w:linePitch="360"/>
        </w:sectPr>
      </w:pPr>
    </w:p>
    <w:p w14:paraId="6B231865" w14:textId="77777777" w:rsidR="00D22731" w:rsidRDefault="00FF2E54">
      <w:pPr>
        <w:spacing w:line="248" w:lineRule="auto"/>
        <w:jc w:val="center"/>
        <w:outlineLvl w:val="0"/>
        <w:rPr>
          <w:b/>
          <w:sz w:val="20"/>
        </w:rPr>
      </w:pPr>
      <w:bookmarkStart w:id="1" w:name="Section2"/>
      <w:bookmarkEnd w:id="1"/>
      <w:r>
        <w:rPr>
          <w:b/>
          <w:sz w:val="20"/>
        </w:rPr>
        <w:lastRenderedPageBreak/>
        <w:t>FORTINET, INC.</w:t>
      </w:r>
    </w:p>
    <w:p w14:paraId="3C6BC517" w14:textId="77777777" w:rsidR="00D22731" w:rsidRDefault="00FF2E54">
      <w:pPr>
        <w:spacing w:before="60" w:line="248" w:lineRule="auto"/>
        <w:jc w:val="center"/>
        <w:rPr>
          <w:b/>
          <w:sz w:val="20"/>
        </w:rPr>
      </w:pPr>
      <w:r>
        <w:rPr>
          <w:b/>
          <w:sz w:val="20"/>
        </w:rPr>
        <w:t>CONDENSED CONSOLIDATED BALANCE SHEETS</w:t>
      </w:r>
      <w:r>
        <w:rPr>
          <w:b/>
          <w:sz w:val="20"/>
          <w:vertAlign w:val="superscript"/>
        </w:rPr>
        <w:t>1</w:t>
      </w:r>
    </w:p>
    <w:p w14:paraId="0D74DA80" w14:textId="77777777" w:rsidR="00D22731" w:rsidRDefault="00FF2E54">
      <w:pPr>
        <w:spacing w:before="60" w:after="160" w:line="248" w:lineRule="auto"/>
        <w:jc w:val="center"/>
        <w:rPr>
          <w:b/>
          <w:sz w:val="20"/>
        </w:rPr>
      </w:pPr>
      <w:r>
        <w:rPr>
          <w:b/>
          <w:sz w:val="20"/>
        </w:rPr>
        <w:t>(Unaudited, in millions)</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163"/>
        <w:gridCol w:w="1066"/>
        <w:gridCol w:w="102"/>
        <w:gridCol w:w="77"/>
        <w:gridCol w:w="163"/>
        <w:gridCol w:w="1066"/>
        <w:gridCol w:w="102"/>
      </w:tblGrid>
      <w:tr w:rsidR="00D22731" w14:paraId="00980BAB" w14:textId="77777777">
        <w:trPr>
          <w:cantSplit/>
          <w:trHeight w:hRule="exact" w:val="645"/>
          <w:jc w:val="center"/>
        </w:trPr>
        <w:tc>
          <w:tcPr>
            <w:tcW w:w="7560" w:type="dxa"/>
            <w:tcBorders>
              <w:top w:val="nil"/>
              <w:left w:val="nil"/>
              <w:bottom w:val="nil"/>
              <w:right w:val="nil"/>
            </w:tcBorders>
            <w:tcMar>
              <w:top w:w="0" w:type="dxa"/>
              <w:left w:w="53" w:type="dxa"/>
              <w:bottom w:w="0" w:type="dxa"/>
              <w:right w:w="53" w:type="dxa"/>
            </w:tcMar>
            <w:vAlign w:val="bottom"/>
          </w:tcPr>
          <w:p w14:paraId="56EF1D7E" w14:textId="77777777" w:rsidR="00D22731" w:rsidRDefault="00FF2E54">
            <w:pPr>
              <w:keepNext/>
              <w:spacing w:before="75" w:after="30" w:line="200" w:lineRule="auto"/>
            </w:pPr>
            <w:r>
              <w:rPr>
                <w:color w:val="000000"/>
                <w:sz w:val="18"/>
              </w:rPr>
              <w:t> </w:t>
            </w: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14:paraId="2E4B3F12" w14:textId="77777777" w:rsidR="00D22731" w:rsidRDefault="00FF2E54">
            <w:pPr>
              <w:keepNext/>
              <w:spacing w:before="75" w:after="30" w:line="200" w:lineRule="auto"/>
              <w:jc w:val="center"/>
            </w:pPr>
            <w:r>
              <w:rPr>
                <w:b/>
                <w:color w:val="000000"/>
                <w:sz w:val="18"/>
              </w:rPr>
              <w:t>September 30,</w:t>
            </w:r>
            <w:r>
              <w:br/>
            </w:r>
            <w:r>
              <w:rPr>
                <w:b/>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17BF5648" w14:textId="77777777" w:rsidR="00D22731" w:rsidRDefault="00D22731">
            <w:pPr>
              <w:keepNext/>
            </w:pPr>
          </w:p>
        </w:tc>
        <w:tc>
          <w:tcPr>
            <w:tcW w:w="1305" w:type="dxa"/>
            <w:gridSpan w:val="3"/>
            <w:tcBorders>
              <w:top w:val="nil"/>
              <w:left w:val="nil"/>
              <w:bottom w:val="single" w:sz="8" w:space="0" w:color="000000"/>
              <w:right w:val="nil"/>
            </w:tcBorders>
            <w:tcMar>
              <w:top w:w="0" w:type="dxa"/>
              <w:left w:w="53" w:type="dxa"/>
              <w:bottom w:w="0" w:type="dxa"/>
              <w:right w:w="53" w:type="dxa"/>
            </w:tcMar>
            <w:vAlign w:val="bottom"/>
          </w:tcPr>
          <w:p w14:paraId="225DB93D" w14:textId="77777777" w:rsidR="00D22731" w:rsidRDefault="00FF2E54">
            <w:pPr>
              <w:keepNext/>
              <w:spacing w:before="75" w:after="30" w:line="200" w:lineRule="auto"/>
              <w:jc w:val="center"/>
            </w:pPr>
            <w:r>
              <w:rPr>
                <w:b/>
                <w:color w:val="000000"/>
                <w:sz w:val="18"/>
              </w:rPr>
              <w:t>December 31,</w:t>
            </w:r>
            <w:r>
              <w:br/>
            </w:r>
            <w:r>
              <w:rPr>
                <w:b/>
                <w:color w:val="000000"/>
                <w:sz w:val="18"/>
              </w:rPr>
              <w:t>2019</w:t>
            </w:r>
          </w:p>
        </w:tc>
      </w:tr>
      <w:tr w:rsidR="00D22731" w14:paraId="48153F65" w14:textId="77777777">
        <w:trPr>
          <w:cantSplit/>
          <w:trHeight w:hRule="exact" w:val="40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64043C91" w14:textId="77777777" w:rsidR="00D22731" w:rsidRDefault="00FF2E54">
            <w:pPr>
              <w:keepNext/>
              <w:spacing w:before="75" w:after="30" w:line="200" w:lineRule="auto"/>
            </w:pPr>
            <w:r>
              <w:rPr>
                <w:b/>
                <w:color w:val="000000"/>
                <w:sz w:val="20"/>
              </w:rPr>
              <w:t>ASSETS</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1946F48"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7DCB9E" w14:textId="77777777" w:rsidR="00D22731" w:rsidRDefault="00D22731">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2F91131" w14:textId="77777777" w:rsidR="00D22731" w:rsidRDefault="00D22731">
            <w:pPr>
              <w:keepNext/>
            </w:pPr>
          </w:p>
        </w:tc>
      </w:tr>
      <w:tr w:rsidR="00D22731" w14:paraId="538A06D9"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722DE12D" w14:textId="77777777" w:rsidR="00D22731" w:rsidRDefault="00FF2E54">
            <w:pPr>
              <w:keepNext/>
              <w:spacing w:before="75" w:after="30" w:line="200" w:lineRule="auto"/>
            </w:pPr>
            <w:r>
              <w:rPr>
                <w:color w:val="000000"/>
                <w:sz w:val="20"/>
              </w:rPr>
              <w:t>CURRENT ASSETS:</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6524733B"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659040" w14:textId="77777777" w:rsidR="00D22731" w:rsidRDefault="00D22731">
            <w:pPr>
              <w:keepNext/>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4D5BBDB7" w14:textId="77777777" w:rsidR="00D22731" w:rsidRDefault="00D22731">
            <w:pPr>
              <w:keepNext/>
            </w:pPr>
          </w:p>
        </w:tc>
      </w:tr>
      <w:tr w:rsidR="00D22731" w14:paraId="5D446D26"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713585DA" w14:textId="77777777" w:rsidR="00D22731" w:rsidRDefault="00FF2E54">
            <w:pPr>
              <w:keepNext/>
              <w:spacing w:before="75" w:after="30" w:line="200" w:lineRule="auto"/>
              <w:ind w:left="225"/>
            </w:pPr>
            <w:r>
              <w:rPr>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D5CDFED"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14:paraId="5F0757F2" w14:textId="77777777" w:rsidR="00D22731" w:rsidRDefault="00FF2E54">
            <w:pPr>
              <w:keepNext/>
              <w:spacing w:before="75" w:after="30" w:line="200" w:lineRule="auto"/>
              <w:jc w:val="right"/>
            </w:pPr>
            <w:r>
              <w:rPr>
                <w:color w:val="000000"/>
                <w:sz w:val="20"/>
              </w:rPr>
              <w:t>882.3 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7C5B861"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3F366F" w14:textId="77777777" w:rsidR="00D22731" w:rsidRDefault="00D22731">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F1807F5"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CCEEFF"/>
            <w:tcMar>
              <w:top w:w="0" w:type="dxa"/>
              <w:left w:w="0" w:type="dxa"/>
              <w:bottom w:w="0" w:type="dxa"/>
              <w:right w:w="0" w:type="dxa"/>
            </w:tcMar>
            <w:vAlign w:val="bottom"/>
          </w:tcPr>
          <w:p w14:paraId="27F60E5C" w14:textId="77777777" w:rsidR="00D22731" w:rsidRDefault="00FF2E54">
            <w:pPr>
              <w:keepNext/>
              <w:spacing w:before="75" w:after="30" w:line="200" w:lineRule="auto"/>
              <w:jc w:val="right"/>
            </w:pPr>
            <w:r>
              <w:rPr>
                <w:color w:val="000000"/>
                <w:sz w:val="20"/>
              </w:rPr>
              <w:t>1,222.5 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91966C" w14:textId="77777777" w:rsidR="00D22731" w:rsidRDefault="00D22731">
            <w:pPr>
              <w:keepNext/>
              <w:spacing w:before="75" w:after="30" w:line="200" w:lineRule="auto"/>
            </w:pPr>
          </w:p>
        </w:tc>
      </w:tr>
      <w:tr w:rsidR="00D22731" w14:paraId="35D4D176"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251C2253" w14:textId="77777777" w:rsidR="00D22731" w:rsidRDefault="00FF2E54">
            <w:pPr>
              <w:keepNext/>
              <w:spacing w:before="75" w:after="30" w:line="200" w:lineRule="auto"/>
              <w:ind w:left="225"/>
            </w:pPr>
            <w:r>
              <w:rPr>
                <w:color w:val="000000"/>
                <w:sz w:val="20"/>
              </w:rPr>
              <w:t>Short-term investments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35D839F" w14:textId="77777777" w:rsidR="00D22731" w:rsidRDefault="00FF2E54">
            <w:pPr>
              <w:keepNext/>
              <w:spacing w:before="75" w:after="30" w:line="200" w:lineRule="auto"/>
              <w:jc w:val="right"/>
            </w:pPr>
            <w:r>
              <w:rPr>
                <w:color w:val="000000"/>
                <w:sz w:val="20"/>
              </w:rPr>
              <w:t>774.4 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8F50D0"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1C248A"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0B2880A" w14:textId="77777777" w:rsidR="00D22731" w:rsidRDefault="00FF2E54">
            <w:pPr>
              <w:keepNext/>
              <w:spacing w:before="75" w:after="30" w:line="200" w:lineRule="auto"/>
              <w:jc w:val="right"/>
            </w:pPr>
            <w:r>
              <w:rPr>
                <w:color w:val="000000"/>
                <w:sz w:val="20"/>
              </w:rPr>
              <w:t>843.1 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19D387" w14:textId="77777777" w:rsidR="00D22731" w:rsidRDefault="00D22731">
            <w:pPr>
              <w:keepNext/>
              <w:spacing w:before="75" w:after="30" w:line="200" w:lineRule="auto"/>
            </w:pPr>
          </w:p>
        </w:tc>
      </w:tr>
      <w:tr w:rsidR="00D22731" w14:paraId="7A159F1A"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074799A" w14:textId="77777777" w:rsidR="00D22731" w:rsidRDefault="00FF2E54">
            <w:pPr>
              <w:keepNext/>
              <w:spacing w:before="75" w:after="30" w:line="200" w:lineRule="auto"/>
              <w:ind w:left="225"/>
            </w:pPr>
            <w:r>
              <w:rPr>
                <w:color w:val="000000"/>
                <w:sz w:val="20"/>
              </w:rPr>
              <w:t xml:space="preserve">Accounts </w:t>
            </w:r>
            <w:proofErr w:type="gramStart"/>
            <w:r>
              <w:rPr>
                <w:color w:val="000000"/>
                <w:sz w:val="20"/>
              </w:rPr>
              <w:t>receivable—net</w:t>
            </w:r>
            <w:proofErr w:type="gramEnd"/>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4F69EBB3" w14:textId="77777777" w:rsidR="00D22731" w:rsidRDefault="00FF2E54">
            <w:pPr>
              <w:keepNext/>
              <w:spacing w:before="75" w:after="30" w:line="200" w:lineRule="auto"/>
              <w:jc w:val="right"/>
            </w:pPr>
            <w:r>
              <w:rPr>
                <w:color w:val="000000"/>
                <w:sz w:val="20"/>
              </w:rPr>
              <w:t>546.6 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D841B4E"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183AAE"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7C8FF9A7" w14:textId="77777777" w:rsidR="00D22731" w:rsidRDefault="00FF2E54">
            <w:pPr>
              <w:keepNext/>
              <w:spacing w:before="75" w:after="30" w:line="200" w:lineRule="auto"/>
              <w:jc w:val="right"/>
            </w:pPr>
            <w:r>
              <w:rPr>
                <w:color w:val="000000"/>
                <w:sz w:val="20"/>
              </w:rPr>
              <w:t>544.3 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6970B5" w14:textId="77777777" w:rsidR="00D22731" w:rsidRDefault="00D22731">
            <w:pPr>
              <w:keepNext/>
              <w:spacing w:before="75" w:after="30" w:line="200" w:lineRule="auto"/>
            </w:pPr>
          </w:p>
        </w:tc>
      </w:tr>
      <w:tr w:rsidR="00D22731" w14:paraId="3546F374"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2A858FFF" w14:textId="77777777" w:rsidR="00D22731" w:rsidRDefault="00FF2E54">
            <w:pPr>
              <w:keepNext/>
              <w:spacing w:before="75" w:after="30" w:line="200" w:lineRule="auto"/>
              <w:ind w:left="225"/>
            </w:pPr>
            <w:r>
              <w:rPr>
                <w:color w:val="000000"/>
                <w:sz w:val="20"/>
              </w:rPr>
              <w:t>Inventory</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60F204AC" w14:textId="77777777" w:rsidR="00D22731" w:rsidRDefault="00FF2E54">
            <w:pPr>
              <w:keepNext/>
              <w:spacing w:before="75" w:after="30" w:line="200" w:lineRule="auto"/>
              <w:jc w:val="right"/>
            </w:pPr>
            <w:r>
              <w:rPr>
                <w:color w:val="000000"/>
                <w:sz w:val="20"/>
              </w:rPr>
              <w:t>134.5 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FAA2EEC"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D6F7E9"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7F1A03B" w14:textId="77777777" w:rsidR="00D22731" w:rsidRDefault="00FF2E54">
            <w:pPr>
              <w:keepNext/>
              <w:spacing w:before="75" w:after="30" w:line="200" w:lineRule="auto"/>
              <w:jc w:val="right"/>
            </w:pPr>
            <w:r>
              <w:rPr>
                <w:color w:val="000000"/>
                <w:sz w:val="20"/>
              </w:rPr>
              <w:t>117.9 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9CB134" w14:textId="77777777" w:rsidR="00D22731" w:rsidRDefault="00D22731">
            <w:pPr>
              <w:keepNext/>
              <w:spacing w:before="75" w:after="30" w:line="200" w:lineRule="auto"/>
            </w:pPr>
          </w:p>
        </w:tc>
      </w:tr>
      <w:tr w:rsidR="00D22731" w14:paraId="2F8F902E"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7DF681A1" w14:textId="77777777" w:rsidR="00D22731" w:rsidRDefault="00FF2E54">
            <w:pPr>
              <w:keepNext/>
              <w:spacing w:before="75" w:after="30" w:line="200" w:lineRule="auto"/>
              <w:ind w:left="225"/>
            </w:pPr>
            <w:r>
              <w:rPr>
                <w:color w:val="000000"/>
                <w:sz w:val="20"/>
              </w:rPr>
              <w:t>Prepaid expenses and other current assets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4D7EB2E" w14:textId="77777777" w:rsidR="00D22731" w:rsidRDefault="00FF2E54">
            <w:pPr>
              <w:keepNext/>
              <w:spacing w:before="75" w:after="30" w:line="200" w:lineRule="auto"/>
              <w:jc w:val="right"/>
            </w:pPr>
            <w:r>
              <w:rPr>
                <w:color w:val="000000"/>
                <w:sz w:val="20"/>
              </w:rPr>
              <w:t>46.8 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A6640EB"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D53EED"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2DBF5D9" w14:textId="77777777" w:rsidR="00D22731" w:rsidRDefault="00FF2E54">
            <w:pPr>
              <w:keepNext/>
              <w:spacing w:before="75" w:after="30" w:line="200" w:lineRule="auto"/>
              <w:jc w:val="right"/>
            </w:pPr>
            <w:r>
              <w:rPr>
                <w:color w:val="000000"/>
                <w:sz w:val="20"/>
              </w:rPr>
              <w:t>41.2 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B7340F4" w14:textId="77777777" w:rsidR="00D22731" w:rsidRDefault="00D22731">
            <w:pPr>
              <w:keepNext/>
              <w:spacing w:before="75" w:after="30" w:line="200" w:lineRule="auto"/>
            </w:pPr>
          </w:p>
        </w:tc>
      </w:tr>
      <w:tr w:rsidR="00D22731" w14:paraId="1C57067D"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319B0FC0" w14:textId="77777777" w:rsidR="00D22731" w:rsidRDefault="00FF2E54">
            <w:pPr>
              <w:keepNext/>
              <w:spacing w:before="75" w:after="30" w:line="200" w:lineRule="auto"/>
              <w:ind w:left="495"/>
            </w:pPr>
            <w:r>
              <w:rPr>
                <w:color w:val="000000"/>
                <w:sz w:val="20"/>
              </w:rPr>
              <w:t>Total current assets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4B806D4" w14:textId="77777777" w:rsidR="00D22731" w:rsidRDefault="00FF2E54">
            <w:pPr>
              <w:keepNext/>
              <w:spacing w:before="55" w:after="30" w:line="200" w:lineRule="auto"/>
              <w:jc w:val="right"/>
            </w:pPr>
            <w:r>
              <w:rPr>
                <w:color w:val="000000"/>
                <w:sz w:val="20"/>
              </w:rPr>
              <w:t>2,384.6 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2EAB0D5"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8EAF99" w14:textId="77777777" w:rsidR="00D22731" w:rsidRDefault="00D22731">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3CF360B7" w14:textId="77777777" w:rsidR="00D22731" w:rsidRDefault="00FF2E54">
            <w:pPr>
              <w:keepNext/>
              <w:spacing w:before="55" w:after="30" w:line="200" w:lineRule="auto"/>
              <w:jc w:val="right"/>
            </w:pPr>
            <w:r>
              <w:rPr>
                <w:color w:val="000000"/>
                <w:sz w:val="20"/>
              </w:rPr>
              <w:t>2,769.0 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FD2280B" w14:textId="77777777" w:rsidR="00D22731" w:rsidRDefault="00D22731">
            <w:pPr>
              <w:keepNext/>
              <w:spacing w:before="55" w:after="30" w:line="200" w:lineRule="auto"/>
            </w:pPr>
          </w:p>
        </w:tc>
      </w:tr>
      <w:tr w:rsidR="00D22731" w14:paraId="7264B358"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1A0B0BE" w14:textId="77777777" w:rsidR="00D22731" w:rsidRDefault="00FF2E54">
            <w:pPr>
              <w:keepNext/>
              <w:spacing w:before="75" w:after="30" w:line="200" w:lineRule="auto"/>
            </w:pPr>
            <w:r>
              <w:rPr>
                <w:color w:val="000000"/>
                <w:sz w:val="20"/>
              </w:rPr>
              <w:t>LONG-TERM INVESTMENTS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CA93FDE" w14:textId="77777777" w:rsidR="00D22731" w:rsidRDefault="00FF2E54">
            <w:pPr>
              <w:keepNext/>
              <w:spacing w:before="75" w:after="30" w:line="200" w:lineRule="auto"/>
              <w:jc w:val="right"/>
            </w:pPr>
            <w:r>
              <w:rPr>
                <w:color w:val="000000"/>
                <w:sz w:val="20"/>
              </w:rPr>
              <w:t>117.9 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403EF22"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F9A9C4"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5F2A9CF" w14:textId="77777777" w:rsidR="00D22731" w:rsidRDefault="00FF2E54">
            <w:pPr>
              <w:keepNext/>
              <w:spacing w:before="75" w:after="30" w:line="200" w:lineRule="auto"/>
              <w:jc w:val="right"/>
            </w:pPr>
            <w:r>
              <w:rPr>
                <w:color w:val="000000"/>
                <w:sz w:val="20"/>
              </w:rPr>
              <w:t>144.3 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69295E" w14:textId="77777777" w:rsidR="00D22731" w:rsidRDefault="00D22731">
            <w:pPr>
              <w:keepNext/>
              <w:spacing w:before="75" w:after="30" w:line="200" w:lineRule="auto"/>
            </w:pPr>
          </w:p>
        </w:tc>
      </w:tr>
      <w:tr w:rsidR="00D22731" w14:paraId="6D9E1B7B"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1C4119A7" w14:textId="77777777" w:rsidR="00D22731" w:rsidRDefault="00FF2E54">
            <w:pPr>
              <w:keepNext/>
              <w:spacing w:before="75" w:after="30" w:line="200" w:lineRule="auto"/>
            </w:pPr>
            <w:r>
              <w:rPr>
                <w:color w:val="000000"/>
                <w:sz w:val="20"/>
              </w:rPr>
              <w:t>PROPERTY AND EQUIPMENT—NET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0881D7B0" w14:textId="77777777" w:rsidR="00D22731" w:rsidRDefault="00FF2E54">
            <w:pPr>
              <w:keepNext/>
              <w:spacing w:before="75" w:after="30" w:line="200" w:lineRule="auto"/>
              <w:jc w:val="right"/>
            </w:pPr>
            <w:r>
              <w:rPr>
                <w:color w:val="000000"/>
                <w:sz w:val="20"/>
              </w:rPr>
              <w:t>419.4 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3C415E"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A4A976"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A05E683" w14:textId="77777777" w:rsidR="00D22731" w:rsidRDefault="00FF2E54">
            <w:pPr>
              <w:keepNext/>
              <w:spacing w:before="75" w:after="30" w:line="200" w:lineRule="auto"/>
              <w:jc w:val="right"/>
            </w:pPr>
            <w:r>
              <w:rPr>
                <w:color w:val="000000"/>
                <w:sz w:val="20"/>
              </w:rPr>
              <w:t>344.3 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6916D8" w14:textId="77777777" w:rsidR="00D22731" w:rsidRDefault="00D22731">
            <w:pPr>
              <w:keepNext/>
              <w:spacing w:before="75" w:after="30" w:line="200" w:lineRule="auto"/>
            </w:pPr>
          </w:p>
        </w:tc>
      </w:tr>
      <w:tr w:rsidR="00D22731" w14:paraId="6F879A4E"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659134AB" w14:textId="77777777" w:rsidR="00D22731" w:rsidRDefault="00FF2E54">
            <w:pPr>
              <w:keepNext/>
              <w:spacing w:before="75" w:after="30" w:line="200" w:lineRule="auto"/>
            </w:pPr>
            <w:r>
              <w:rPr>
                <w:color w:val="000000"/>
                <w:sz w:val="20"/>
              </w:rPr>
              <w:t>DEFERRED CONTRACT COSTS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0E9E6F0C" w14:textId="77777777" w:rsidR="00D22731" w:rsidRDefault="00FF2E54">
            <w:pPr>
              <w:keepNext/>
              <w:spacing w:before="75" w:after="30" w:line="200" w:lineRule="auto"/>
              <w:jc w:val="right"/>
            </w:pPr>
            <w:r>
              <w:rPr>
                <w:color w:val="000000"/>
                <w:sz w:val="20"/>
              </w:rPr>
              <w:t>281.1 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F16DA8D"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CB4018"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4266AFB6" w14:textId="77777777" w:rsidR="00D22731" w:rsidRDefault="00FF2E54">
            <w:pPr>
              <w:keepNext/>
              <w:spacing w:before="75" w:after="30" w:line="200" w:lineRule="auto"/>
              <w:jc w:val="right"/>
            </w:pPr>
            <w:r>
              <w:rPr>
                <w:color w:val="000000"/>
                <w:sz w:val="20"/>
              </w:rPr>
              <w:t>237.0 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6FAE88" w14:textId="77777777" w:rsidR="00D22731" w:rsidRDefault="00D22731">
            <w:pPr>
              <w:keepNext/>
              <w:spacing w:before="75" w:after="30" w:line="200" w:lineRule="auto"/>
            </w:pPr>
          </w:p>
        </w:tc>
      </w:tr>
      <w:tr w:rsidR="00D22731" w14:paraId="7388157E"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03788C3" w14:textId="77777777" w:rsidR="00D22731" w:rsidRDefault="00FF2E54">
            <w:pPr>
              <w:keepNext/>
              <w:spacing w:before="75" w:after="30" w:line="200" w:lineRule="auto"/>
            </w:pPr>
            <w:r>
              <w:rPr>
                <w:color w:val="000000"/>
                <w:sz w:val="20"/>
              </w:rPr>
              <w:t xml:space="preserve">DEFERRED TAX ASSETS </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2D86865E" w14:textId="77777777" w:rsidR="00D22731" w:rsidRDefault="00FF2E54">
            <w:pPr>
              <w:keepNext/>
              <w:spacing w:before="75" w:after="30" w:line="200" w:lineRule="auto"/>
              <w:jc w:val="right"/>
            </w:pPr>
            <w:r>
              <w:rPr>
                <w:color w:val="000000"/>
                <w:sz w:val="20"/>
              </w:rPr>
              <w:t>230.1 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DDA2B6"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B7DC6E"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19070A2" w14:textId="77777777" w:rsidR="00D22731" w:rsidRDefault="00FF2E54">
            <w:pPr>
              <w:keepNext/>
              <w:spacing w:before="75" w:after="30" w:line="200" w:lineRule="auto"/>
              <w:jc w:val="right"/>
            </w:pPr>
            <w:r>
              <w:rPr>
                <w:color w:val="000000"/>
                <w:sz w:val="20"/>
              </w:rPr>
              <w:t>226.3 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3DB650" w14:textId="77777777" w:rsidR="00D22731" w:rsidRDefault="00D22731">
            <w:pPr>
              <w:keepNext/>
              <w:spacing w:before="75" w:after="30" w:line="200" w:lineRule="auto"/>
            </w:pPr>
          </w:p>
        </w:tc>
      </w:tr>
      <w:tr w:rsidR="00D22731" w14:paraId="73A39002"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6AD7B7C" w14:textId="77777777" w:rsidR="00D22731" w:rsidRDefault="00FF2E54">
            <w:pPr>
              <w:keepNext/>
              <w:spacing w:before="75" w:after="30" w:line="200" w:lineRule="auto"/>
            </w:pPr>
            <w:r>
              <w:rPr>
                <w:color w:val="000000"/>
                <w:sz w:val="20"/>
              </w:rPr>
              <w:t>GOODWILL AND OTHER INTANGIBLE ASSETS—NET</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08670F81" w14:textId="77777777" w:rsidR="00D22731" w:rsidRDefault="00FF2E54">
            <w:pPr>
              <w:keepNext/>
              <w:spacing w:before="75" w:after="30" w:line="200" w:lineRule="auto"/>
              <w:jc w:val="right"/>
            </w:pPr>
            <w:r>
              <w:rPr>
                <w:color w:val="000000"/>
                <w:sz w:val="20"/>
              </w:rPr>
              <w:t>93.5 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CA77F7"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69301A"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5C67022D" w14:textId="77777777" w:rsidR="00D22731" w:rsidRDefault="00FF2E54">
            <w:pPr>
              <w:keepNext/>
              <w:spacing w:before="75" w:after="30" w:line="200" w:lineRule="auto"/>
              <w:jc w:val="right"/>
            </w:pPr>
            <w:r>
              <w:rPr>
                <w:color w:val="000000"/>
                <w:sz w:val="20"/>
              </w:rPr>
              <w:t>98.3 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CB630B" w14:textId="77777777" w:rsidR="00D22731" w:rsidRDefault="00D22731">
            <w:pPr>
              <w:keepNext/>
              <w:spacing w:before="75" w:after="30" w:line="200" w:lineRule="auto"/>
            </w:pPr>
          </w:p>
        </w:tc>
      </w:tr>
      <w:tr w:rsidR="00D22731" w14:paraId="4112F02F"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64D89609" w14:textId="77777777" w:rsidR="00D22731" w:rsidRDefault="00FF2E54">
            <w:pPr>
              <w:keepNext/>
              <w:spacing w:before="75" w:after="30" w:line="200" w:lineRule="auto"/>
            </w:pPr>
            <w:r>
              <w:rPr>
                <w:color w:val="000000"/>
                <w:sz w:val="20"/>
              </w:rPr>
              <w:t>OTHER ASSETS</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400B41B" w14:textId="77777777" w:rsidR="00D22731" w:rsidRDefault="00FF2E54">
            <w:pPr>
              <w:keepNext/>
              <w:spacing w:before="75" w:after="30" w:line="200" w:lineRule="auto"/>
              <w:jc w:val="right"/>
            </w:pPr>
            <w:r>
              <w:rPr>
                <w:color w:val="000000"/>
                <w:sz w:val="20"/>
              </w:rPr>
              <w:t>59.6 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0A4BAD"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05D37C" w14:textId="77777777" w:rsidR="00D22731" w:rsidRDefault="00D22731">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28F1943" w14:textId="77777777" w:rsidR="00D22731" w:rsidRDefault="00FF2E54">
            <w:pPr>
              <w:keepNext/>
              <w:spacing w:before="75" w:after="30" w:line="200" w:lineRule="auto"/>
              <w:jc w:val="right"/>
            </w:pPr>
            <w:r>
              <w:rPr>
                <w:color w:val="000000"/>
                <w:sz w:val="20"/>
              </w:rPr>
              <w:t>60.0 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C8D151" w14:textId="77777777" w:rsidR="00D22731" w:rsidRDefault="00D22731">
            <w:pPr>
              <w:keepNext/>
              <w:spacing w:before="75" w:after="30" w:line="200" w:lineRule="auto"/>
            </w:pPr>
          </w:p>
        </w:tc>
      </w:tr>
      <w:tr w:rsidR="00D22731" w14:paraId="28333170" w14:textId="77777777">
        <w:trPr>
          <w:cantSplit/>
          <w:trHeight w:hRule="exact" w:val="36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E951A29" w14:textId="77777777" w:rsidR="00D22731" w:rsidRDefault="00FF2E54">
            <w:pPr>
              <w:keepNext/>
              <w:spacing w:before="75" w:after="30" w:line="200" w:lineRule="auto"/>
            </w:pPr>
            <w:r>
              <w:rPr>
                <w:color w:val="000000"/>
                <w:sz w:val="20"/>
              </w:rPr>
              <w:t>TOTAL 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9195DA1" w14:textId="77777777" w:rsidR="00D22731" w:rsidRDefault="00FF2E54">
            <w:pPr>
              <w:keepNext/>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D29AEF3" w14:textId="77777777" w:rsidR="00D22731" w:rsidRDefault="00FF2E54">
            <w:pPr>
              <w:keepNext/>
              <w:spacing w:before="55" w:after="30" w:line="200" w:lineRule="auto"/>
              <w:jc w:val="right"/>
            </w:pPr>
            <w:r>
              <w:rPr>
                <w:color w:val="000000"/>
                <w:sz w:val="20"/>
              </w:rPr>
              <w:t>3,586.2 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329625D"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AF6B91"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5BE7517" w14:textId="77777777" w:rsidR="00D22731" w:rsidRDefault="00FF2E54">
            <w:pPr>
              <w:keepNext/>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9EBDE9" w14:textId="77777777" w:rsidR="00D22731" w:rsidRDefault="00FF2E54">
            <w:pPr>
              <w:keepNext/>
              <w:spacing w:before="55" w:after="30" w:line="200" w:lineRule="auto"/>
              <w:jc w:val="right"/>
            </w:pPr>
            <w:r>
              <w:rPr>
                <w:color w:val="000000"/>
                <w:sz w:val="20"/>
              </w:rPr>
              <w:t>3,879.2 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2E86339" w14:textId="77777777" w:rsidR="00D22731" w:rsidRDefault="00D22731">
            <w:pPr>
              <w:keepNext/>
              <w:spacing w:before="55" w:after="30" w:line="200" w:lineRule="auto"/>
            </w:pPr>
          </w:p>
        </w:tc>
      </w:tr>
      <w:tr w:rsidR="00D22731" w14:paraId="154FD272" w14:textId="77777777">
        <w:trPr>
          <w:cantSplit/>
          <w:trHeight w:hRule="exact" w:val="40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EFC6437" w14:textId="77777777" w:rsidR="00D22731" w:rsidRDefault="00FF2E54">
            <w:pPr>
              <w:keepNext/>
              <w:spacing w:before="75" w:after="30" w:line="209" w:lineRule="auto"/>
              <w:rPr>
                <w:b/>
                <w:sz w:val="20"/>
              </w:rPr>
            </w:pPr>
            <w:r>
              <w:rPr>
                <w:b/>
                <w:sz w:val="20"/>
              </w:rPr>
              <w:t>LIABILITIES AND STOCKHOLDERS</w:t>
            </w:r>
            <w:r>
              <w:rPr>
                <w:sz w:val="22"/>
              </w:rPr>
              <w:t>’</w:t>
            </w:r>
            <w:r>
              <w:rPr>
                <w:b/>
                <w:sz w:val="20"/>
              </w:rPr>
              <w:t xml:space="preserve"> EQUITY</w:t>
            </w: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39D6A3F"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01CBAE" w14:textId="77777777" w:rsidR="00D22731" w:rsidRDefault="00D22731">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4EF8F0E" w14:textId="77777777" w:rsidR="00D22731" w:rsidRDefault="00D22731">
            <w:pPr>
              <w:keepNext/>
            </w:pPr>
          </w:p>
        </w:tc>
      </w:tr>
      <w:tr w:rsidR="00D22731" w14:paraId="3167E9D1"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2492865" w14:textId="77777777" w:rsidR="00D22731" w:rsidRDefault="00FF2E54">
            <w:pPr>
              <w:keepNext/>
              <w:spacing w:before="75" w:after="30" w:line="200" w:lineRule="auto"/>
            </w:pPr>
            <w:r>
              <w:rPr>
                <w:color w:val="000000"/>
                <w:sz w:val="20"/>
              </w:rPr>
              <w:t>CURRENT LIABILITIES:</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3B9F8162"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336C82" w14:textId="77777777" w:rsidR="00D22731" w:rsidRDefault="00D22731">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5CD6A43F" w14:textId="77777777" w:rsidR="00D22731" w:rsidRDefault="00D22731">
            <w:pPr>
              <w:keepNext/>
            </w:pPr>
          </w:p>
        </w:tc>
      </w:tr>
      <w:tr w:rsidR="00D22731" w14:paraId="37BC5BE2"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7A81C419" w14:textId="77777777" w:rsidR="00D22731" w:rsidRDefault="00FF2E54">
            <w:pPr>
              <w:keepNext/>
              <w:spacing w:before="75" w:after="30" w:line="200" w:lineRule="auto"/>
              <w:ind w:left="225"/>
            </w:pPr>
            <w:r>
              <w:rPr>
                <w:color w:val="000000"/>
                <w:sz w:val="20"/>
              </w:rPr>
              <w:t>Accounts payable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F4CF6BB"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26A24352" w14:textId="77777777" w:rsidR="00D22731" w:rsidRDefault="00FF2E54">
            <w:pPr>
              <w:keepNext/>
              <w:spacing w:before="75" w:after="30" w:line="200" w:lineRule="auto"/>
              <w:jc w:val="right"/>
            </w:pPr>
            <w:r>
              <w:rPr>
                <w:color w:val="000000"/>
                <w:sz w:val="20"/>
              </w:rPr>
              <w:t>95.9 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9FD5D08"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E6D73E" w14:textId="77777777" w:rsidR="00D22731" w:rsidRDefault="00D2273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DDC4F78"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07E1A8A8" w14:textId="77777777" w:rsidR="00D22731" w:rsidRDefault="00FF2E54">
            <w:pPr>
              <w:keepNext/>
              <w:spacing w:before="75" w:after="30" w:line="200" w:lineRule="auto"/>
              <w:jc w:val="right"/>
            </w:pPr>
            <w:r>
              <w:rPr>
                <w:color w:val="000000"/>
                <w:sz w:val="20"/>
              </w:rPr>
              <w:t>96.4 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0FE475" w14:textId="77777777" w:rsidR="00D22731" w:rsidRDefault="00D22731">
            <w:pPr>
              <w:keepNext/>
              <w:spacing w:before="75" w:after="30" w:line="200" w:lineRule="auto"/>
            </w:pPr>
          </w:p>
        </w:tc>
      </w:tr>
      <w:tr w:rsidR="00D22731" w14:paraId="2AD3351A"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501DBED9" w14:textId="77777777" w:rsidR="00D22731" w:rsidRDefault="00FF2E54">
            <w:pPr>
              <w:keepNext/>
              <w:spacing w:before="75" w:after="30" w:line="200" w:lineRule="auto"/>
              <w:ind w:left="225"/>
            </w:pPr>
            <w:r>
              <w:rPr>
                <w:color w:val="000000"/>
                <w:sz w:val="20"/>
              </w:rPr>
              <w:t>Accrued liabilities</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02F6B31" w14:textId="77777777" w:rsidR="00D22731" w:rsidRDefault="00FF2E54">
            <w:pPr>
              <w:keepNext/>
              <w:spacing w:before="75" w:after="30" w:line="200" w:lineRule="auto"/>
              <w:jc w:val="right"/>
            </w:pPr>
            <w:r>
              <w:rPr>
                <w:color w:val="000000"/>
                <w:sz w:val="20"/>
              </w:rPr>
              <w:t>127.8 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3000E7"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9F9069"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2673D49A" w14:textId="77777777" w:rsidR="00D22731" w:rsidRDefault="00FF2E54">
            <w:pPr>
              <w:keepNext/>
              <w:spacing w:before="75" w:after="30" w:line="200" w:lineRule="auto"/>
              <w:jc w:val="right"/>
            </w:pPr>
            <w:r>
              <w:rPr>
                <w:color w:val="000000"/>
                <w:sz w:val="20"/>
              </w:rPr>
              <w:t>101.8 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4AFE439" w14:textId="77777777" w:rsidR="00D22731" w:rsidRDefault="00D22731">
            <w:pPr>
              <w:keepNext/>
              <w:spacing w:before="75" w:after="30" w:line="200" w:lineRule="auto"/>
            </w:pPr>
          </w:p>
        </w:tc>
      </w:tr>
      <w:tr w:rsidR="00D22731" w14:paraId="7F56EEDC"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3A8EA7C" w14:textId="77777777" w:rsidR="00D22731" w:rsidRDefault="00FF2E54">
            <w:pPr>
              <w:keepNext/>
              <w:spacing w:before="75" w:after="30" w:line="200" w:lineRule="auto"/>
              <w:ind w:left="225"/>
            </w:pPr>
            <w:r>
              <w:rPr>
                <w:color w:val="000000"/>
                <w:sz w:val="20"/>
              </w:rPr>
              <w:t>Accrued payroll and compensation</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023847D4" w14:textId="77777777" w:rsidR="00D22731" w:rsidRDefault="00FF2E54">
            <w:pPr>
              <w:keepNext/>
              <w:spacing w:before="75" w:after="30" w:line="200" w:lineRule="auto"/>
              <w:jc w:val="right"/>
            </w:pPr>
            <w:r>
              <w:rPr>
                <w:color w:val="000000"/>
                <w:sz w:val="20"/>
              </w:rPr>
              <w:t>121.9 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284D02"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1F1A06"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9362FEC" w14:textId="77777777" w:rsidR="00D22731" w:rsidRDefault="00FF2E54">
            <w:pPr>
              <w:keepNext/>
              <w:spacing w:before="75" w:after="30" w:line="200" w:lineRule="auto"/>
              <w:jc w:val="right"/>
            </w:pPr>
            <w:r>
              <w:rPr>
                <w:color w:val="000000"/>
                <w:sz w:val="20"/>
              </w:rPr>
              <w:t>101.8 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D93F1C" w14:textId="77777777" w:rsidR="00D22731" w:rsidRDefault="00D22731">
            <w:pPr>
              <w:keepNext/>
              <w:spacing w:before="75" w:after="30" w:line="200" w:lineRule="auto"/>
            </w:pPr>
          </w:p>
        </w:tc>
      </w:tr>
      <w:tr w:rsidR="00D22731" w14:paraId="06345BCF"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45165805" w14:textId="77777777" w:rsidR="00D22731" w:rsidRDefault="00FF2E54">
            <w:pPr>
              <w:keepNext/>
              <w:spacing w:before="75" w:after="30" w:line="200" w:lineRule="auto"/>
              <w:ind w:left="225"/>
            </w:pPr>
            <w:r>
              <w:rPr>
                <w:color w:val="000000"/>
                <w:sz w:val="20"/>
              </w:rPr>
              <w:t>Deferred revenue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53B9974" w14:textId="77777777" w:rsidR="00D22731" w:rsidRDefault="00FF2E54">
            <w:pPr>
              <w:keepNext/>
              <w:spacing w:before="75" w:after="30" w:line="200" w:lineRule="auto"/>
              <w:jc w:val="right"/>
            </w:pPr>
            <w:r>
              <w:rPr>
                <w:color w:val="000000"/>
                <w:sz w:val="20"/>
              </w:rPr>
              <w:t>1,300.0 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A7A9E40"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15F669"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E9AE8F8" w14:textId="77777777" w:rsidR="00D22731" w:rsidRDefault="00FF2E54">
            <w:pPr>
              <w:keepNext/>
              <w:spacing w:before="75" w:after="30" w:line="200" w:lineRule="auto"/>
              <w:jc w:val="right"/>
            </w:pPr>
            <w:r>
              <w:rPr>
                <w:color w:val="000000"/>
                <w:sz w:val="20"/>
              </w:rPr>
              <w:t>1,155.8 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7E84F3A" w14:textId="77777777" w:rsidR="00D22731" w:rsidRDefault="00D22731">
            <w:pPr>
              <w:keepNext/>
              <w:spacing w:before="75" w:after="30" w:line="200" w:lineRule="auto"/>
            </w:pPr>
          </w:p>
        </w:tc>
      </w:tr>
      <w:tr w:rsidR="00D22731" w14:paraId="3E42ACD6"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21B2D1B8" w14:textId="77777777" w:rsidR="00D22731" w:rsidRDefault="00FF2E54">
            <w:pPr>
              <w:keepNext/>
              <w:spacing w:before="75" w:after="30" w:line="200" w:lineRule="auto"/>
              <w:ind w:left="495"/>
            </w:pPr>
            <w:r>
              <w:rPr>
                <w:color w:val="000000"/>
                <w:sz w:val="20"/>
              </w:rPr>
              <w:t>Total current liabilities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4243830" w14:textId="77777777" w:rsidR="00D22731" w:rsidRDefault="00FF2E54">
            <w:pPr>
              <w:keepNext/>
              <w:spacing w:before="55" w:after="30" w:line="200" w:lineRule="auto"/>
              <w:jc w:val="right"/>
            </w:pPr>
            <w:r>
              <w:rPr>
                <w:color w:val="000000"/>
                <w:sz w:val="20"/>
              </w:rPr>
              <w:t>1,645.6 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C8C7A0E"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334527" w14:textId="77777777" w:rsidR="00D22731" w:rsidRDefault="00D22731">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DF0A963" w14:textId="77777777" w:rsidR="00D22731" w:rsidRDefault="00FF2E54">
            <w:pPr>
              <w:keepNext/>
              <w:spacing w:before="55" w:after="30" w:line="200" w:lineRule="auto"/>
              <w:jc w:val="right"/>
            </w:pPr>
            <w:r>
              <w:rPr>
                <w:color w:val="000000"/>
                <w:sz w:val="20"/>
              </w:rPr>
              <w:t>1,455.8 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49EE1A0" w14:textId="77777777" w:rsidR="00D22731" w:rsidRDefault="00D22731">
            <w:pPr>
              <w:keepNext/>
              <w:spacing w:before="55" w:after="30" w:line="200" w:lineRule="auto"/>
            </w:pPr>
          </w:p>
        </w:tc>
      </w:tr>
      <w:tr w:rsidR="00D22731" w14:paraId="1D699210"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1EED754C" w14:textId="77777777" w:rsidR="00D22731" w:rsidRDefault="00FF2E54">
            <w:pPr>
              <w:keepNext/>
              <w:spacing w:before="75" w:after="30" w:line="200" w:lineRule="auto"/>
            </w:pPr>
            <w:r>
              <w:rPr>
                <w:color w:val="000000"/>
                <w:sz w:val="20"/>
              </w:rPr>
              <w:t>DEFERRED REVENUE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16B99923" w14:textId="77777777" w:rsidR="00D22731" w:rsidRDefault="00FF2E54">
            <w:pPr>
              <w:keepNext/>
              <w:spacing w:before="75" w:after="30" w:line="200" w:lineRule="auto"/>
              <w:jc w:val="right"/>
            </w:pPr>
            <w:r>
              <w:rPr>
                <w:color w:val="000000"/>
                <w:sz w:val="20"/>
              </w:rPr>
              <w:t>1,092.0 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93493D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18FE9E"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56ECC6DE" w14:textId="77777777" w:rsidR="00D22731" w:rsidRDefault="00FF2E54">
            <w:pPr>
              <w:keepNext/>
              <w:spacing w:before="75" w:after="30" w:line="200" w:lineRule="auto"/>
              <w:jc w:val="right"/>
            </w:pPr>
            <w:r>
              <w:rPr>
                <w:color w:val="000000"/>
                <w:sz w:val="20"/>
              </w:rPr>
              <w:t>953.3 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9619D3" w14:textId="77777777" w:rsidR="00D22731" w:rsidRDefault="00D22731">
            <w:pPr>
              <w:keepNext/>
              <w:spacing w:before="75" w:after="30" w:line="200" w:lineRule="auto"/>
            </w:pPr>
          </w:p>
        </w:tc>
      </w:tr>
      <w:tr w:rsidR="00D22731" w14:paraId="33436DA9"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7615448E" w14:textId="77777777" w:rsidR="00D22731" w:rsidRDefault="00FF2E54">
            <w:pPr>
              <w:keepNext/>
              <w:spacing w:before="75" w:after="30" w:line="200" w:lineRule="auto"/>
            </w:pPr>
            <w:r>
              <w:rPr>
                <w:color w:val="000000"/>
                <w:sz w:val="20"/>
              </w:rPr>
              <w:t>INCOME TAX LIABILITIES</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28F3E623" w14:textId="77777777" w:rsidR="00D22731" w:rsidRDefault="00FF2E54">
            <w:pPr>
              <w:keepNext/>
              <w:spacing w:before="75" w:after="30" w:line="200" w:lineRule="auto"/>
              <w:jc w:val="right"/>
            </w:pPr>
            <w:r>
              <w:rPr>
                <w:color w:val="000000"/>
                <w:sz w:val="20"/>
              </w:rPr>
              <w:t>79.3 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D08B95"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8795D0"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628B3FBA" w14:textId="77777777" w:rsidR="00D22731" w:rsidRDefault="00FF2E54">
            <w:pPr>
              <w:keepNext/>
              <w:spacing w:before="75" w:after="30" w:line="200" w:lineRule="auto"/>
              <w:jc w:val="right"/>
            </w:pPr>
            <w:r>
              <w:rPr>
                <w:color w:val="000000"/>
                <w:sz w:val="20"/>
              </w:rPr>
              <w:t>82.8 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318A375" w14:textId="77777777" w:rsidR="00D22731" w:rsidRDefault="00D22731">
            <w:pPr>
              <w:keepNext/>
              <w:spacing w:before="75" w:after="30" w:line="200" w:lineRule="auto"/>
            </w:pPr>
          </w:p>
        </w:tc>
      </w:tr>
      <w:tr w:rsidR="00D22731" w14:paraId="41676BA9"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CD2C20A" w14:textId="77777777" w:rsidR="00D22731" w:rsidRDefault="00FF2E54">
            <w:pPr>
              <w:keepNext/>
              <w:spacing w:before="75" w:after="30" w:line="200" w:lineRule="auto"/>
            </w:pPr>
            <w:r>
              <w:rPr>
                <w:color w:val="000000"/>
                <w:sz w:val="20"/>
              </w:rPr>
              <w:t>OTHER LIABILITIES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C6AC4B5" w14:textId="77777777" w:rsidR="00D22731" w:rsidRDefault="00FF2E54">
            <w:pPr>
              <w:keepNext/>
              <w:spacing w:before="75" w:after="30" w:line="200" w:lineRule="auto"/>
              <w:jc w:val="right"/>
            </w:pPr>
            <w:r>
              <w:rPr>
                <w:color w:val="000000"/>
                <w:sz w:val="20"/>
              </w:rPr>
              <w:t>56.1 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709541C"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EC6F7E"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87E0CE4" w14:textId="77777777" w:rsidR="00D22731" w:rsidRDefault="00FF2E54">
            <w:pPr>
              <w:keepNext/>
              <w:spacing w:before="75" w:after="30" w:line="200" w:lineRule="auto"/>
              <w:jc w:val="right"/>
            </w:pPr>
            <w:r>
              <w:rPr>
                <w:color w:val="000000"/>
                <w:sz w:val="20"/>
              </w:rPr>
              <w:t>44.9 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6C151AF" w14:textId="77777777" w:rsidR="00D22731" w:rsidRDefault="00D22731">
            <w:pPr>
              <w:keepNext/>
              <w:spacing w:before="75" w:after="30" w:line="200" w:lineRule="auto"/>
            </w:pPr>
          </w:p>
        </w:tc>
      </w:tr>
      <w:tr w:rsidR="00D22731" w14:paraId="1F185067"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3799F801" w14:textId="77777777" w:rsidR="00D22731" w:rsidRDefault="00FF2E54">
            <w:pPr>
              <w:keepNext/>
              <w:spacing w:before="75" w:after="30" w:line="200" w:lineRule="auto"/>
              <w:ind w:left="495"/>
            </w:pPr>
            <w:r>
              <w:rPr>
                <w:color w:val="000000"/>
                <w:sz w:val="20"/>
              </w:rPr>
              <w:t>Total liabilities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8CC0E63" w14:textId="77777777" w:rsidR="00D22731" w:rsidRDefault="00FF2E54">
            <w:pPr>
              <w:keepNext/>
              <w:spacing w:before="55" w:after="30" w:line="200" w:lineRule="auto"/>
              <w:jc w:val="right"/>
            </w:pPr>
            <w:r>
              <w:rPr>
                <w:color w:val="000000"/>
                <w:sz w:val="20"/>
              </w:rPr>
              <w:t>2,873.0 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750C581"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B5C207" w14:textId="77777777" w:rsidR="00D22731" w:rsidRDefault="00D22731">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47E14A0E" w14:textId="77777777" w:rsidR="00D22731" w:rsidRDefault="00FF2E54">
            <w:pPr>
              <w:keepNext/>
              <w:spacing w:before="55" w:after="30" w:line="200" w:lineRule="auto"/>
              <w:jc w:val="right"/>
            </w:pPr>
            <w:r>
              <w:rPr>
                <w:color w:val="000000"/>
                <w:sz w:val="20"/>
              </w:rPr>
              <w:t>2,536.8 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8E2C7D0" w14:textId="77777777" w:rsidR="00D22731" w:rsidRDefault="00D22731">
            <w:pPr>
              <w:keepNext/>
              <w:spacing w:before="55" w:after="30" w:line="200" w:lineRule="auto"/>
            </w:pPr>
          </w:p>
        </w:tc>
      </w:tr>
      <w:tr w:rsidR="00D22731" w14:paraId="525E80A8" w14:textId="77777777">
        <w:trPr>
          <w:cantSplit/>
          <w:trHeight w:hRule="exact" w:val="31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2D15118" w14:textId="77777777" w:rsidR="00D22731" w:rsidRDefault="00FF2E54">
            <w:pPr>
              <w:keepNext/>
              <w:spacing w:before="75" w:after="30" w:line="200" w:lineRule="auto"/>
            </w:pPr>
            <w:r>
              <w:rPr>
                <w:color w:val="000000"/>
                <w:sz w:val="20"/>
              </w:rPr>
              <w:t>COMMITMENTS AND CONTINGENCIES</w:t>
            </w: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3320B8BF"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5C459E" w14:textId="77777777" w:rsidR="00D22731" w:rsidRDefault="00D22731">
            <w:pPr>
              <w:keepNext/>
            </w:pPr>
          </w:p>
        </w:tc>
        <w:tc>
          <w:tcPr>
            <w:tcW w:w="1305" w:type="dxa"/>
            <w:gridSpan w:val="3"/>
            <w:tcBorders>
              <w:top w:val="nil"/>
              <w:left w:val="nil"/>
              <w:bottom w:val="nil"/>
              <w:right w:val="nil"/>
            </w:tcBorders>
            <w:shd w:val="clear" w:color="auto" w:fill="CCEEFF"/>
            <w:tcMar>
              <w:top w:w="0" w:type="dxa"/>
              <w:left w:w="0" w:type="dxa"/>
              <w:bottom w:w="0" w:type="dxa"/>
              <w:right w:w="0" w:type="dxa"/>
            </w:tcMar>
            <w:vAlign w:val="bottom"/>
          </w:tcPr>
          <w:p w14:paraId="33E77ACB" w14:textId="77777777" w:rsidR="00D22731" w:rsidRDefault="00D22731">
            <w:pPr>
              <w:keepNext/>
            </w:pPr>
          </w:p>
        </w:tc>
      </w:tr>
      <w:tr w:rsidR="00D22731" w14:paraId="29F87981" w14:textId="77777777">
        <w:trPr>
          <w:cantSplit/>
          <w:trHeight w:hRule="exact" w:val="31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E7A8EBE" w14:textId="77777777" w:rsidR="00D22731" w:rsidRDefault="00FF2E54">
            <w:pPr>
              <w:keepNext/>
              <w:spacing w:before="75" w:after="30" w:line="209" w:lineRule="auto"/>
              <w:rPr>
                <w:sz w:val="20"/>
              </w:rPr>
            </w:pPr>
            <w:r>
              <w:rPr>
                <w:sz w:val="20"/>
              </w:rPr>
              <w:t>STOCKHOLDERS</w:t>
            </w:r>
            <w:r>
              <w:rPr>
                <w:sz w:val="22"/>
              </w:rPr>
              <w:t>’</w:t>
            </w:r>
            <w:r>
              <w:rPr>
                <w:sz w:val="20"/>
              </w:rPr>
              <w:t xml:space="preserve"> EQUITY:</w:t>
            </w: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0EC2BD1C"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DD837B" w14:textId="77777777" w:rsidR="00D22731" w:rsidRDefault="00D22731">
            <w:pPr>
              <w:keepNext/>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14:paraId="5009FB3F" w14:textId="77777777" w:rsidR="00D22731" w:rsidRDefault="00D22731">
            <w:pPr>
              <w:keepNext/>
            </w:pPr>
          </w:p>
        </w:tc>
      </w:tr>
      <w:tr w:rsidR="00D22731" w14:paraId="3EB388E5" w14:textId="77777777">
        <w:trPr>
          <w:cantSplit/>
          <w:trHeight w:hRule="exact" w:val="300"/>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C5A06A1" w14:textId="77777777" w:rsidR="00D22731" w:rsidRDefault="00FF2E54">
            <w:pPr>
              <w:keepNext/>
              <w:spacing w:before="75" w:after="30" w:line="200" w:lineRule="auto"/>
              <w:ind w:left="225"/>
            </w:pPr>
            <w:r>
              <w:rPr>
                <w:color w:val="000000"/>
                <w:sz w:val="20"/>
              </w:rPr>
              <w:t>Common stock</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64BD343D" w14:textId="77777777" w:rsidR="00D22731" w:rsidRDefault="00FF2E54">
            <w:pPr>
              <w:keepNext/>
              <w:spacing w:before="75" w:after="30" w:line="200" w:lineRule="auto"/>
              <w:jc w:val="right"/>
            </w:pPr>
            <w:r>
              <w:rPr>
                <w:color w:val="000000"/>
                <w:sz w:val="20"/>
              </w:rPr>
              <w:t>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989FBA0"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86FF71"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4F02757B" w14:textId="77777777" w:rsidR="00D22731" w:rsidRDefault="00FF2E54">
            <w:pPr>
              <w:keepNext/>
              <w:spacing w:before="75" w:after="30" w:line="200" w:lineRule="auto"/>
              <w:jc w:val="right"/>
            </w:pPr>
            <w:r>
              <w:rPr>
                <w:color w:val="000000"/>
                <w:sz w:val="20"/>
              </w:rPr>
              <w:t>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61CAF3" w14:textId="77777777" w:rsidR="00D22731" w:rsidRDefault="00D22731">
            <w:pPr>
              <w:keepNext/>
              <w:spacing w:before="75" w:after="30" w:line="200" w:lineRule="auto"/>
            </w:pPr>
          </w:p>
        </w:tc>
      </w:tr>
      <w:tr w:rsidR="00D22731" w14:paraId="720E9FDB" w14:textId="77777777">
        <w:trPr>
          <w:cantSplit/>
          <w:trHeight w:hRule="exact" w:val="30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08979103" w14:textId="77777777" w:rsidR="00D22731" w:rsidRDefault="00FF2E54">
            <w:pPr>
              <w:keepNext/>
              <w:spacing w:before="75" w:after="30" w:line="200" w:lineRule="auto"/>
              <w:ind w:left="225"/>
            </w:pPr>
            <w:r>
              <w:rPr>
                <w:color w:val="000000"/>
                <w:sz w:val="20"/>
              </w:rPr>
              <w:t>Additional paid-in capital</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9A2CF12" w14:textId="77777777" w:rsidR="00D22731" w:rsidRDefault="00FF2E54">
            <w:pPr>
              <w:keepNext/>
              <w:spacing w:before="75" w:after="30" w:line="200" w:lineRule="auto"/>
              <w:jc w:val="right"/>
            </w:pPr>
            <w:r>
              <w:rPr>
                <w:color w:val="000000"/>
                <w:sz w:val="20"/>
              </w:rPr>
              <w:t>1,178.5 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EEBB1C"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8CE549"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244D945" w14:textId="77777777" w:rsidR="00D22731" w:rsidRDefault="00FF2E54">
            <w:pPr>
              <w:keepNext/>
              <w:spacing w:before="75" w:after="30" w:line="200" w:lineRule="auto"/>
              <w:jc w:val="right"/>
            </w:pPr>
            <w:r>
              <w:rPr>
                <w:color w:val="000000"/>
                <w:sz w:val="20"/>
              </w:rPr>
              <w:t>1,180.3 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4FE4EF" w14:textId="77777777" w:rsidR="00D22731" w:rsidRDefault="00D22731">
            <w:pPr>
              <w:keepNext/>
              <w:spacing w:before="75" w:after="30" w:line="200" w:lineRule="auto"/>
            </w:pPr>
          </w:p>
        </w:tc>
      </w:tr>
      <w:tr w:rsidR="00D22731" w14:paraId="5FE70780"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3617784A" w14:textId="77777777" w:rsidR="00D22731" w:rsidRDefault="00FF2E54">
            <w:pPr>
              <w:keepNext/>
              <w:spacing w:before="75" w:after="30" w:line="200" w:lineRule="auto"/>
              <w:ind w:left="225"/>
            </w:pPr>
            <w:r>
              <w:rPr>
                <w:color w:val="000000"/>
                <w:sz w:val="20"/>
              </w:rPr>
              <w:t>Accumulated other comprehensive income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D6E7FBB" w14:textId="77777777" w:rsidR="00D22731" w:rsidRDefault="00FF2E54">
            <w:pPr>
              <w:keepNext/>
              <w:spacing w:before="75" w:after="30" w:line="200" w:lineRule="auto"/>
              <w:jc w:val="right"/>
            </w:pPr>
            <w:r>
              <w:rPr>
                <w:color w:val="000000"/>
                <w:sz w:val="20"/>
              </w:rPr>
              <w:t>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3270266"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93D840"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4DBD6E2" w14:textId="77777777" w:rsidR="00D22731" w:rsidRDefault="00FF2E54">
            <w:pPr>
              <w:keepNext/>
              <w:spacing w:before="75" w:after="30" w:line="200" w:lineRule="auto"/>
              <w:jc w:val="right"/>
            </w:pPr>
            <w:r>
              <w:rPr>
                <w:color w:val="000000"/>
                <w:sz w:val="20"/>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CF6873" w14:textId="77777777" w:rsidR="00D22731" w:rsidRDefault="00D22731">
            <w:pPr>
              <w:keepNext/>
              <w:spacing w:before="75" w:after="30" w:line="200" w:lineRule="auto"/>
            </w:pPr>
          </w:p>
        </w:tc>
      </w:tr>
      <w:tr w:rsidR="00D22731" w14:paraId="70A835B0" w14:textId="77777777">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3D179FED" w14:textId="77777777" w:rsidR="00D22731" w:rsidRDefault="00FF2E54">
            <w:pPr>
              <w:keepNext/>
              <w:spacing w:before="75" w:after="30" w:line="200" w:lineRule="auto"/>
              <w:ind w:left="225"/>
            </w:pPr>
            <w:r>
              <w:rPr>
                <w:color w:val="000000"/>
                <w:sz w:val="20"/>
              </w:rPr>
              <w:t>Retained earnings (accumulated deficit)</w:t>
            </w: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E5F2C8D" w14:textId="77777777" w:rsidR="00D22731" w:rsidRDefault="00FF2E54">
            <w:pPr>
              <w:keepNext/>
              <w:spacing w:before="75" w:after="30" w:line="200" w:lineRule="auto"/>
              <w:jc w:val="right"/>
            </w:pPr>
            <w:r>
              <w:rPr>
                <w:color w:val="000000"/>
                <w:sz w:val="20"/>
              </w:rPr>
              <w:t>(466.9)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43CF4D1"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88B65E" w14:textId="77777777" w:rsidR="00D22731" w:rsidRDefault="00D22731">
            <w:pPr>
              <w:keepNext/>
            </w:pPr>
          </w:p>
        </w:tc>
        <w:tc>
          <w:tcPr>
            <w:tcW w:w="12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4C8EFB8" w14:textId="77777777" w:rsidR="00D22731" w:rsidRDefault="00FF2E54">
            <w:pPr>
              <w:keepNext/>
              <w:spacing w:before="75" w:after="30" w:line="200" w:lineRule="auto"/>
              <w:jc w:val="right"/>
            </w:pPr>
            <w:r>
              <w:rPr>
                <w:color w:val="000000"/>
                <w:sz w:val="20"/>
              </w:rPr>
              <w:t>160.8 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BA128D4" w14:textId="77777777" w:rsidR="00D22731" w:rsidRDefault="00D22731">
            <w:pPr>
              <w:keepNext/>
              <w:spacing w:before="75" w:after="30" w:line="200" w:lineRule="auto"/>
            </w:pPr>
          </w:p>
        </w:tc>
      </w:tr>
      <w:tr w:rsidR="00D22731" w14:paraId="470FDB23" w14:textId="77777777">
        <w:trPr>
          <w:cantSplit/>
          <w:trHeight w:hRule="exact" w:val="285"/>
          <w:jc w:val="center"/>
        </w:trPr>
        <w:tc>
          <w:tcPr>
            <w:tcW w:w="7560" w:type="dxa"/>
            <w:tcBorders>
              <w:top w:val="nil"/>
              <w:left w:val="nil"/>
              <w:bottom w:val="nil"/>
              <w:right w:val="nil"/>
            </w:tcBorders>
            <w:shd w:val="clear" w:color="auto" w:fill="CCEEFF"/>
            <w:tcMar>
              <w:top w:w="0" w:type="dxa"/>
              <w:left w:w="53" w:type="dxa"/>
              <w:bottom w:w="0" w:type="dxa"/>
              <w:right w:w="53" w:type="dxa"/>
            </w:tcMar>
            <w:vAlign w:val="bottom"/>
          </w:tcPr>
          <w:p w14:paraId="002097B4" w14:textId="77777777" w:rsidR="00D22731" w:rsidRDefault="00FF2E54">
            <w:pPr>
              <w:keepNext/>
              <w:spacing w:before="75" w:after="30" w:line="200" w:lineRule="auto"/>
              <w:ind w:left="495"/>
            </w:pPr>
            <w:r>
              <w:rPr>
                <w:color w:val="000000"/>
                <w:sz w:val="20"/>
              </w:rPr>
              <w:t>Total stockholders’ equity</w:t>
            </w: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D68841E" w14:textId="77777777" w:rsidR="00D22731" w:rsidRDefault="00FF2E54">
            <w:pPr>
              <w:keepNext/>
              <w:spacing w:before="55" w:after="30" w:line="200" w:lineRule="auto"/>
              <w:jc w:val="right"/>
            </w:pPr>
            <w:r>
              <w:rPr>
                <w:color w:val="000000"/>
                <w:sz w:val="20"/>
              </w:rPr>
              <w:t>713.2 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DA167CA"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178009" w14:textId="77777777" w:rsidR="00D22731" w:rsidRDefault="00D22731">
            <w:pPr>
              <w:keepNext/>
            </w:pPr>
          </w:p>
        </w:tc>
        <w:tc>
          <w:tcPr>
            <w:tcW w:w="12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4978FF8" w14:textId="77777777" w:rsidR="00D22731" w:rsidRDefault="00FF2E54">
            <w:pPr>
              <w:keepNext/>
              <w:spacing w:before="55" w:after="30" w:line="200" w:lineRule="auto"/>
              <w:jc w:val="right"/>
            </w:pPr>
            <w:r>
              <w:rPr>
                <w:color w:val="000000"/>
                <w:sz w:val="20"/>
              </w:rPr>
              <w:t>1,342.4 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57AE780" w14:textId="77777777" w:rsidR="00D22731" w:rsidRDefault="00D22731">
            <w:pPr>
              <w:keepNext/>
              <w:spacing w:before="55" w:after="30" w:line="200" w:lineRule="auto"/>
            </w:pPr>
          </w:p>
        </w:tc>
      </w:tr>
      <w:tr w:rsidR="00D22731" w14:paraId="75135CF3" w14:textId="77777777">
        <w:trPr>
          <w:cantSplit/>
          <w:trHeight w:hRule="exact" w:val="360"/>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14:paraId="4656AC0D" w14:textId="77777777" w:rsidR="00D22731" w:rsidRDefault="00FF2E54">
            <w:pPr>
              <w:spacing w:before="75" w:after="30" w:line="200" w:lineRule="auto"/>
            </w:pPr>
            <w:r>
              <w:rPr>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6133C81" w14:textId="77777777" w:rsidR="00D22731" w:rsidRDefault="00FF2E54">
            <w:pPr>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B04C2CF" w14:textId="77777777" w:rsidR="00D22731" w:rsidRDefault="00FF2E54">
            <w:pPr>
              <w:spacing w:before="55" w:after="30" w:line="200" w:lineRule="auto"/>
              <w:jc w:val="right"/>
            </w:pPr>
            <w:r>
              <w:rPr>
                <w:color w:val="000000"/>
                <w:sz w:val="20"/>
              </w:rPr>
              <w:t>3,586.2 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0B23D89" w14:textId="77777777" w:rsidR="00D22731" w:rsidRDefault="00D2273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EFB5C5" w14:textId="77777777" w:rsidR="00D22731" w:rsidRDefault="00D22731"/>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71D09EE" w14:textId="77777777" w:rsidR="00D22731" w:rsidRDefault="00FF2E54">
            <w:pPr>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012AE42" w14:textId="77777777" w:rsidR="00D22731" w:rsidRDefault="00FF2E54">
            <w:pPr>
              <w:spacing w:before="55" w:after="30" w:line="200" w:lineRule="auto"/>
              <w:jc w:val="right"/>
            </w:pPr>
            <w:r>
              <w:rPr>
                <w:color w:val="000000"/>
                <w:sz w:val="20"/>
              </w:rPr>
              <w:t>3,879.2 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7B3BAD5" w14:textId="77777777" w:rsidR="00D22731" w:rsidRDefault="00D22731">
            <w:pPr>
              <w:spacing w:before="55" w:after="30" w:line="200" w:lineRule="auto"/>
            </w:pPr>
          </w:p>
        </w:tc>
      </w:tr>
    </w:tbl>
    <w:p w14:paraId="02E1C4CD" w14:textId="77777777" w:rsidR="00D22731" w:rsidRDefault="00D22731">
      <w:pPr>
        <w:spacing w:before="100" w:line="248" w:lineRule="auto"/>
        <w:rPr>
          <w:sz w:val="20"/>
        </w:rPr>
      </w:pPr>
    </w:p>
    <w:p w14:paraId="2A479CF4" w14:textId="77777777" w:rsidR="00D22731" w:rsidRDefault="00D22731">
      <w:pPr>
        <w:spacing w:line="248" w:lineRule="auto"/>
        <w:rPr>
          <w:sz w:val="20"/>
        </w:rPr>
      </w:pPr>
    </w:p>
    <w:p w14:paraId="185D0421" w14:textId="77777777" w:rsidR="00D22731" w:rsidRDefault="00D22731">
      <w:pPr>
        <w:spacing w:line="248" w:lineRule="auto"/>
        <w:rPr>
          <w:sz w:val="20"/>
        </w:rPr>
      </w:pPr>
    </w:p>
    <w:p w14:paraId="4374150B" w14:textId="77777777" w:rsidR="00D22731" w:rsidRDefault="00D22731">
      <w:pPr>
        <w:spacing w:line="248" w:lineRule="auto"/>
        <w:rPr>
          <w:sz w:val="20"/>
        </w:rPr>
      </w:pPr>
    </w:p>
    <w:p w14:paraId="57582388" w14:textId="77777777" w:rsidR="00D22731" w:rsidRDefault="00D22731">
      <w:pPr>
        <w:spacing w:line="248" w:lineRule="auto"/>
        <w:rPr>
          <w:sz w:val="20"/>
        </w:rPr>
      </w:pPr>
    </w:p>
    <w:p w14:paraId="6B57FEC2" w14:textId="77777777" w:rsidR="00D22731" w:rsidRDefault="00FF2E54">
      <w:pPr>
        <w:spacing w:line="248" w:lineRule="auto"/>
        <w:rPr>
          <w:b/>
          <w:sz w:val="18"/>
          <w:vertAlign w:val="superscript"/>
        </w:rPr>
      </w:pPr>
      <w:r>
        <w:rPr>
          <w:b/>
          <w:sz w:val="20"/>
          <w:vertAlign w:val="superscript"/>
        </w:rPr>
        <w:t>1</w:t>
      </w:r>
      <w:r>
        <w:rPr>
          <w:sz w:val="20"/>
        </w:rPr>
        <w:t xml:space="preserve"> During the third quarter, Fortinet identified and made an immaterial correction to the recognition of revenue related to certain service contracts, increasing previously reported amounts. The financial results presented for 2019 and 2020 reflect the effects of the correction.</w:t>
      </w:r>
    </w:p>
    <w:p w14:paraId="29D536F6" w14:textId="77777777" w:rsidR="00D22731" w:rsidRDefault="00D22731">
      <w:pPr>
        <w:spacing w:line="248" w:lineRule="auto"/>
        <w:sectPr w:rsidR="00D22731">
          <w:pgSz w:w="12240" w:h="15840"/>
          <w:pgMar w:top="855" w:right="990" w:bottom="855" w:left="990" w:header="270" w:footer="270" w:gutter="0"/>
          <w:cols w:space="708"/>
        </w:sectPr>
      </w:pPr>
    </w:p>
    <w:p w14:paraId="73AA5727" w14:textId="77777777" w:rsidR="00D22731" w:rsidRDefault="00D22731">
      <w:pPr>
        <w:spacing w:line="248" w:lineRule="auto"/>
        <w:rPr>
          <w:sz w:val="20"/>
        </w:rPr>
      </w:pPr>
      <w:bookmarkStart w:id="2" w:name="Section3"/>
      <w:bookmarkEnd w:id="2"/>
    </w:p>
    <w:p w14:paraId="68DE6090" w14:textId="77777777" w:rsidR="00D22731" w:rsidRDefault="00FF2E54">
      <w:pPr>
        <w:spacing w:line="248" w:lineRule="auto"/>
        <w:jc w:val="center"/>
        <w:outlineLvl w:val="0"/>
        <w:rPr>
          <w:b/>
          <w:sz w:val="20"/>
        </w:rPr>
      </w:pPr>
      <w:r>
        <w:rPr>
          <w:b/>
          <w:sz w:val="20"/>
        </w:rPr>
        <w:t>FORTINET, INC.</w:t>
      </w:r>
    </w:p>
    <w:p w14:paraId="362B55A5" w14:textId="77777777" w:rsidR="00D22731" w:rsidRDefault="00FF2E54">
      <w:pPr>
        <w:spacing w:before="60" w:line="248" w:lineRule="auto"/>
        <w:jc w:val="center"/>
        <w:rPr>
          <w:b/>
          <w:sz w:val="20"/>
        </w:rPr>
      </w:pPr>
      <w:r>
        <w:rPr>
          <w:b/>
          <w:sz w:val="20"/>
        </w:rPr>
        <w:t>CONDENSED CONSOLIDATED STATEMENTS OF INCOME</w:t>
      </w:r>
      <w:r>
        <w:rPr>
          <w:b/>
          <w:sz w:val="20"/>
          <w:vertAlign w:val="superscript"/>
        </w:rPr>
        <w:t>1</w:t>
      </w:r>
    </w:p>
    <w:p w14:paraId="378172E8" w14:textId="77777777" w:rsidR="00D22731" w:rsidRDefault="00FF2E54">
      <w:pPr>
        <w:spacing w:after="100" w:line="248" w:lineRule="auto"/>
        <w:jc w:val="center"/>
        <w:rPr>
          <w:b/>
          <w:sz w:val="20"/>
        </w:rPr>
      </w:pPr>
      <w:r>
        <w:rPr>
          <w:b/>
          <w:sz w:val="20"/>
        </w:rPr>
        <w:t>(Unaudited, in millions, except per share amounts)</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63"/>
        <w:gridCol w:w="1066"/>
        <w:gridCol w:w="102"/>
        <w:gridCol w:w="76"/>
        <w:gridCol w:w="163"/>
        <w:gridCol w:w="1066"/>
        <w:gridCol w:w="102"/>
        <w:gridCol w:w="76"/>
        <w:gridCol w:w="163"/>
        <w:gridCol w:w="1005"/>
        <w:gridCol w:w="102"/>
        <w:gridCol w:w="76"/>
        <w:gridCol w:w="163"/>
        <w:gridCol w:w="1005"/>
        <w:gridCol w:w="102"/>
      </w:tblGrid>
      <w:tr w:rsidR="00D22731" w14:paraId="67EB697F" w14:textId="77777777">
        <w:trPr>
          <w:cantSplit/>
          <w:trHeight w:hRule="exact" w:val="255"/>
          <w:jc w:val="center"/>
        </w:trPr>
        <w:tc>
          <w:tcPr>
            <w:tcW w:w="4935" w:type="dxa"/>
            <w:tcBorders>
              <w:top w:val="nil"/>
              <w:left w:val="nil"/>
              <w:bottom w:val="nil"/>
              <w:right w:val="nil"/>
            </w:tcBorders>
            <w:tcMar>
              <w:top w:w="0" w:type="dxa"/>
              <w:left w:w="53" w:type="dxa"/>
              <w:bottom w:w="0" w:type="dxa"/>
              <w:right w:w="53" w:type="dxa"/>
            </w:tcMar>
            <w:vAlign w:val="bottom"/>
          </w:tcPr>
          <w:p w14:paraId="7C22118F" w14:textId="77777777" w:rsidR="00D22731" w:rsidRDefault="00FF2E54">
            <w:pPr>
              <w:keepNext/>
              <w:spacing w:before="75" w:after="30" w:line="200" w:lineRule="auto"/>
            </w:pPr>
            <w:r>
              <w:rPr>
                <w:color w:val="000000"/>
                <w:sz w:val="18"/>
              </w:rPr>
              <w:t> </w:t>
            </w:r>
          </w:p>
        </w:tc>
        <w:tc>
          <w:tcPr>
            <w:tcW w:w="2685" w:type="dxa"/>
            <w:gridSpan w:val="7"/>
            <w:tcBorders>
              <w:top w:val="nil"/>
              <w:left w:val="nil"/>
              <w:bottom w:val="nil"/>
              <w:right w:val="nil"/>
            </w:tcBorders>
            <w:tcMar>
              <w:top w:w="0" w:type="dxa"/>
              <w:left w:w="53" w:type="dxa"/>
              <w:bottom w:w="0" w:type="dxa"/>
              <w:right w:w="53" w:type="dxa"/>
            </w:tcMar>
            <w:vAlign w:val="bottom"/>
          </w:tcPr>
          <w:p w14:paraId="42088EA4" w14:textId="77777777" w:rsidR="00D22731" w:rsidRDefault="00FF2E54">
            <w:pPr>
              <w:keepNext/>
              <w:spacing w:before="75" w:after="30" w:line="200" w:lineRule="auto"/>
              <w:jc w:val="center"/>
            </w:pPr>
            <w:r>
              <w:rPr>
                <w:b/>
                <w:color w:val="000000"/>
                <w:sz w:val="18"/>
              </w:rPr>
              <w:t>Three Months Ended</w:t>
            </w:r>
          </w:p>
        </w:tc>
        <w:tc>
          <w:tcPr>
            <w:tcW w:w="75" w:type="dxa"/>
            <w:tcBorders>
              <w:top w:val="nil"/>
              <w:left w:val="nil"/>
              <w:bottom w:val="nil"/>
              <w:right w:val="nil"/>
            </w:tcBorders>
            <w:tcMar>
              <w:top w:w="0" w:type="dxa"/>
              <w:left w:w="0" w:type="dxa"/>
              <w:bottom w:w="0" w:type="dxa"/>
              <w:right w:w="0" w:type="dxa"/>
            </w:tcMar>
            <w:vAlign w:val="bottom"/>
          </w:tcPr>
          <w:p w14:paraId="5D54EE70" w14:textId="77777777" w:rsidR="00D22731" w:rsidRDefault="00D22731">
            <w:pPr>
              <w:keepNext/>
            </w:pPr>
          </w:p>
        </w:tc>
        <w:tc>
          <w:tcPr>
            <w:tcW w:w="2565" w:type="dxa"/>
            <w:gridSpan w:val="7"/>
            <w:tcBorders>
              <w:top w:val="nil"/>
              <w:left w:val="nil"/>
              <w:bottom w:val="nil"/>
              <w:right w:val="nil"/>
            </w:tcBorders>
            <w:tcMar>
              <w:top w:w="0" w:type="dxa"/>
              <w:left w:w="53" w:type="dxa"/>
              <w:bottom w:w="0" w:type="dxa"/>
              <w:right w:w="53" w:type="dxa"/>
            </w:tcMar>
            <w:vAlign w:val="bottom"/>
          </w:tcPr>
          <w:p w14:paraId="1E4C15C2" w14:textId="77777777" w:rsidR="00D22731" w:rsidRDefault="00FF2E54">
            <w:pPr>
              <w:keepNext/>
              <w:spacing w:before="75" w:after="30" w:line="200" w:lineRule="auto"/>
              <w:jc w:val="center"/>
            </w:pPr>
            <w:r>
              <w:rPr>
                <w:b/>
                <w:color w:val="000000"/>
                <w:sz w:val="18"/>
              </w:rPr>
              <w:t>Nine Months Ended</w:t>
            </w:r>
          </w:p>
        </w:tc>
      </w:tr>
      <w:tr w:rsidR="00D22731" w14:paraId="51D2EA99" w14:textId="77777777">
        <w:trPr>
          <w:cantSplit/>
          <w:trHeight w:hRule="exact" w:val="645"/>
          <w:jc w:val="center"/>
        </w:trPr>
        <w:tc>
          <w:tcPr>
            <w:tcW w:w="4935" w:type="dxa"/>
            <w:tcBorders>
              <w:top w:val="nil"/>
              <w:left w:val="nil"/>
              <w:bottom w:val="nil"/>
              <w:right w:val="nil"/>
            </w:tcBorders>
            <w:tcMar>
              <w:top w:w="0" w:type="dxa"/>
              <w:left w:w="53" w:type="dxa"/>
              <w:bottom w:w="0" w:type="dxa"/>
              <w:right w:w="53" w:type="dxa"/>
            </w:tcMar>
            <w:vAlign w:val="bottom"/>
          </w:tcPr>
          <w:p w14:paraId="4D3B2BEA" w14:textId="77777777" w:rsidR="00D22731" w:rsidRDefault="00FF2E54">
            <w:pPr>
              <w:keepNext/>
              <w:spacing w:before="75" w:after="30" w:line="200" w:lineRule="auto"/>
              <w:jc w:val="center"/>
            </w:pPr>
            <w:r>
              <w:rPr>
                <w:b/>
                <w:color w:val="000000"/>
                <w:sz w:val="18"/>
              </w:rPr>
              <w:t> </w:t>
            </w: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21096BB" w14:textId="77777777" w:rsidR="00D22731" w:rsidRDefault="00FF2E54">
            <w:pPr>
              <w:keepNext/>
              <w:spacing w:before="55" w:after="30" w:line="200" w:lineRule="auto"/>
              <w:jc w:val="center"/>
            </w:pPr>
            <w:r>
              <w:rPr>
                <w:b/>
                <w:color w:val="000000"/>
                <w:sz w:val="18"/>
              </w:rPr>
              <w:t>September 30,</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1738544" w14:textId="77777777" w:rsidR="00D22731" w:rsidRDefault="00D22731">
            <w:pPr>
              <w:keepNext/>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7CC2299" w14:textId="77777777" w:rsidR="00D22731" w:rsidRDefault="00FF2E54">
            <w:pPr>
              <w:keepNext/>
              <w:spacing w:before="55" w:after="30" w:line="200" w:lineRule="auto"/>
              <w:jc w:val="center"/>
            </w:pPr>
            <w:r>
              <w:rPr>
                <w:b/>
                <w:color w:val="000000"/>
                <w:sz w:val="18"/>
              </w:rPr>
              <w:t>September 30,</w:t>
            </w:r>
            <w:r>
              <w:br/>
            </w:r>
            <w:r>
              <w:rPr>
                <w:b/>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14:paraId="7D581774" w14:textId="77777777" w:rsidR="00D22731" w:rsidRDefault="00D22731">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788BA92" w14:textId="77777777" w:rsidR="00D22731" w:rsidRDefault="00FF2E54">
            <w:pPr>
              <w:keepNext/>
              <w:spacing w:before="55" w:after="30" w:line="200" w:lineRule="auto"/>
              <w:jc w:val="center"/>
            </w:pPr>
            <w:r>
              <w:rPr>
                <w:b/>
                <w:color w:val="000000"/>
                <w:sz w:val="18"/>
              </w:rPr>
              <w:t>September 30,</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36A4F94" w14:textId="77777777" w:rsidR="00D22731" w:rsidRDefault="00D22731">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07BA0C0" w14:textId="77777777" w:rsidR="00D22731" w:rsidRDefault="00FF2E54">
            <w:pPr>
              <w:keepNext/>
              <w:spacing w:before="55" w:after="30" w:line="200" w:lineRule="auto"/>
              <w:jc w:val="center"/>
            </w:pPr>
            <w:r>
              <w:rPr>
                <w:b/>
                <w:color w:val="000000"/>
                <w:sz w:val="18"/>
              </w:rPr>
              <w:t>September 30,</w:t>
            </w:r>
            <w:r>
              <w:br/>
            </w:r>
            <w:r>
              <w:rPr>
                <w:b/>
                <w:color w:val="000000"/>
                <w:sz w:val="18"/>
              </w:rPr>
              <w:t>2019</w:t>
            </w:r>
          </w:p>
        </w:tc>
      </w:tr>
      <w:tr w:rsidR="00D22731" w14:paraId="5202384B"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37ECB5F" w14:textId="77777777" w:rsidR="00D22731" w:rsidRDefault="00FF2E54">
            <w:pPr>
              <w:keepNext/>
              <w:spacing w:before="75" w:after="30" w:line="200" w:lineRule="auto"/>
            </w:pPr>
            <w:r>
              <w:rPr>
                <w:color w:val="000000"/>
                <w:sz w:val="20"/>
              </w:rPr>
              <w:t>REVENUE:</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24CC28B"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D02FD3" w14:textId="77777777" w:rsidR="00D22731" w:rsidRDefault="00D22731">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EC7AFFA"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B71377"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37289A3"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16D7AD"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35D0127" w14:textId="77777777" w:rsidR="00D22731" w:rsidRDefault="00D22731">
            <w:pPr>
              <w:keepNext/>
            </w:pPr>
          </w:p>
        </w:tc>
      </w:tr>
      <w:tr w:rsidR="00D22731" w14:paraId="2809ED69"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A366A4A" w14:textId="77777777" w:rsidR="00D22731" w:rsidRDefault="00FF2E54">
            <w:pPr>
              <w:keepNext/>
              <w:spacing w:before="75" w:after="30" w:line="200" w:lineRule="auto"/>
              <w:ind w:left="360"/>
            </w:pPr>
            <w:r>
              <w:rPr>
                <w:color w:val="000000"/>
                <w:sz w:val="20"/>
              </w:rPr>
              <w:t>Product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49878F1"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78648A24" w14:textId="77777777" w:rsidR="00D22731" w:rsidRDefault="00FF2E54">
            <w:pPr>
              <w:keepNext/>
              <w:spacing w:before="75" w:after="30" w:line="200" w:lineRule="auto"/>
              <w:jc w:val="right"/>
            </w:pPr>
            <w:r>
              <w:rPr>
                <w:color w:val="000000"/>
                <w:sz w:val="20"/>
              </w:rPr>
              <w:t>223.8 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148A0E"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01020B" w14:textId="77777777" w:rsidR="00D22731" w:rsidRDefault="00D2273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8B83A5C" w14:textId="77777777" w:rsidR="00D22731" w:rsidRDefault="00FF2E54">
            <w:pPr>
              <w:keepNext/>
              <w:spacing w:before="75" w:after="30" w:line="200" w:lineRule="auto"/>
            </w:pPr>
            <w:r>
              <w:rPr>
                <w:color w:val="000000"/>
                <w:sz w:val="20"/>
              </w:rPr>
              <w:t>$</w:t>
            </w:r>
          </w:p>
        </w:tc>
        <w:tc>
          <w:tcPr>
            <w:tcW w:w="1045" w:type="dxa"/>
            <w:tcBorders>
              <w:top w:val="nil"/>
              <w:left w:val="nil"/>
              <w:bottom w:val="nil"/>
              <w:right w:val="nil"/>
            </w:tcBorders>
            <w:shd w:val="clear" w:color="auto" w:fill="FFFFFF"/>
            <w:tcMar>
              <w:top w:w="0" w:type="dxa"/>
              <w:left w:w="0" w:type="dxa"/>
              <w:bottom w:w="0" w:type="dxa"/>
              <w:right w:w="0" w:type="dxa"/>
            </w:tcMar>
            <w:vAlign w:val="bottom"/>
          </w:tcPr>
          <w:p w14:paraId="0EA3B783" w14:textId="77777777" w:rsidR="00D22731" w:rsidRDefault="00FF2E54">
            <w:pPr>
              <w:keepNext/>
              <w:spacing w:before="75" w:after="30" w:line="200" w:lineRule="auto"/>
              <w:jc w:val="right"/>
            </w:pPr>
            <w:r>
              <w:rPr>
                <w:color w:val="000000"/>
                <w:sz w:val="20"/>
              </w:rPr>
              <w:t>197.1 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9C3D922"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6DBE33" w14:textId="77777777" w:rsidR="00D22731" w:rsidRDefault="00D2273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22683FD" w14:textId="77777777" w:rsidR="00D22731" w:rsidRDefault="00FF2E54">
            <w:pPr>
              <w:keepNext/>
              <w:spacing w:before="75" w:after="30" w:line="200" w:lineRule="auto"/>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4AA27C77" w14:textId="77777777" w:rsidR="00D22731" w:rsidRDefault="00FF2E54">
            <w:pPr>
              <w:keepNext/>
              <w:spacing w:before="75" w:after="30" w:line="200" w:lineRule="auto"/>
              <w:jc w:val="right"/>
            </w:pPr>
            <w:r>
              <w:rPr>
                <w:color w:val="000000"/>
                <w:sz w:val="20"/>
              </w:rPr>
              <w:t>628.0 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68DCF4D"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56904C" w14:textId="77777777" w:rsidR="00D22731" w:rsidRDefault="00D2273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8EA667D" w14:textId="77777777" w:rsidR="00D22731" w:rsidRDefault="00FF2E54">
            <w:pPr>
              <w:keepNext/>
              <w:spacing w:before="75" w:after="30" w:line="200" w:lineRule="auto"/>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436A89B3" w14:textId="77777777" w:rsidR="00D22731" w:rsidRDefault="00FF2E54">
            <w:pPr>
              <w:keepNext/>
              <w:spacing w:before="75" w:after="30" w:line="200" w:lineRule="auto"/>
              <w:jc w:val="right"/>
            </w:pPr>
            <w:r>
              <w:rPr>
                <w:color w:val="000000"/>
                <w:sz w:val="20"/>
              </w:rPr>
              <w:t>549.7 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9316C05" w14:textId="77777777" w:rsidR="00D22731" w:rsidRDefault="00D22731">
            <w:pPr>
              <w:keepNext/>
              <w:spacing w:before="75" w:after="30" w:line="200" w:lineRule="auto"/>
            </w:pPr>
          </w:p>
        </w:tc>
      </w:tr>
      <w:tr w:rsidR="00D22731" w14:paraId="509228D9"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1FE596B6" w14:textId="77777777" w:rsidR="00D22731" w:rsidRDefault="00FF2E54">
            <w:pPr>
              <w:keepNext/>
              <w:spacing w:before="75" w:after="30" w:line="200" w:lineRule="auto"/>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5D3751F" w14:textId="77777777" w:rsidR="00D22731" w:rsidRDefault="00FF2E54">
            <w:pPr>
              <w:keepNext/>
              <w:spacing w:before="75" w:after="30" w:line="200" w:lineRule="auto"/>
              <w:jc w:val="right"/>
            </w:pPr>
            <w:r>
              <w:rPr>
                <w:color w:val="000000"/>
                <w:sz w:val="20"/>
              </w:rPr>
              <w:t>427.3 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C40F828"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7D04D3"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E2EFAE1" w14:textId="77777777" w:rsidR="00D22731" w:rsidRDefault="00FF2E54">
            <w:pPr>
              <w:keepNext/>
              <w:spacing w:before="75" w:after="30" w:line="200" w:lineRule="auto"/>
              <w:jc w:val="right"/>
            </w:pPr>
            <w:r>
              <w:rPr>
                <w:color w:val="000000"/>
                <w:sz w:val="20"/>
              </w:rPr>
              <w:t>351.0 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B5B569D"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16ACCF"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2F070FE" w14:textId="77777777" w:rsidR="00D22731" w:rsidRDefault="00FF2E54">
            <w:pPr>
              <w:keepNext/>
              <w:spacing w:before="75" w:after="30" w:line="200" w:lineRule="auto"/>
              <w:jc w:val="right"/>
            </w:pPr>
            <w:r>
              <w:rPr>
                <w:color w:val="000000"/>
                <w:sz w:val="20"/>
              </w:rPr>
              <w:t>1,218.4 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D2B9A69"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CF9BB1"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949E34" w14:textId="77777777" w:rsidR="00D22731" w:rsidRDefault="00FF2E54">
            <w:pPr>
              <w:keepNext/>
              <w:spacing w:before="75" w:after="30" w:line="200" w:lineRule="auto"/>
              <w:jc w:val="right"/>
            </w:pPr>
            <w:r>
              <w:rPr>
                <w:color w:val="000000"/>
                <w:sz w:val="20"/>
              </w:rPr>
              <w:t>995.2 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78626FA" w14:textId="77777777" w:rsidR="00D22731" w:rsidRDefault="00D22731">
            <w:pPr>
              <w:keepNext/>
              <w:spacing w:before="75" w:after="30" w:line="200" w:lineRule="auto"/>
            </w:pPr>
          </w:p>
        </w:tc>
      </w:tr>
      <w:tr w:rsidR="00D22731" w14:paraId="05FCA639"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1235F97B" w14:textId="77777777" w:rsidR="00D22731" w:rsidRDefault="00FF2E54">
            <w:pPr>
              <w:keepNext/>
              <w:spacing w:before="75" w:after="30" w:line="200" w:lineRule="auto"/>
              <w:ind w:left="585"/>
            </w:pPr>
            <w:r>
              <w:rPr>
                <w:color w:val="000000"/>
                <w:sz w:val="20"/>
              </w:rPr>
              <w:t>Total revenue</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BB0A5B2" w14:textId="77777777" w:rsidR="00D22731" w:rsidRDefault="00FF2E54">
            <w:pPr>
              <w:keepNext/>
              <w:spacing w:before="55" w:after="30" w:line="200" w:lineRule="auto"/>
              <w:jc w:val="right"/>
            </w:pPr>
            <w:r>
              <w:rPr>
                <w:color w:val="000000"/>
                <w:sz w:val="20"/>
              </w:rPr>
              <w:t>651.1 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2D1787B"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07BFDB" w14:textId="77777777" w:rsidR="00D22731" w:rsidRDefault="00D22731">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957FEBD" w14:textId="77777777" w:rsidR="00D22731" w:rsidRDefault="00FF2E54">
            <w:pPr>
              <w:keepNext/>
              <w:spacing w:before="55" w:after="30" w:line="200" w:lineRule="auto"/>
              <w:jc w:val="right"/>
            </w:pPr>
            <w:r>
              <w:rPr>
                <w:color w:val="000000"/>
                <w:sz w:val="20"/>
              </w:rPr>
              <w:t>548.1 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FD482C2"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A92E1B"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35AB5A6" w14:textId="77777777" w:rsidR="00D22731" w:rsidRDefault="00FF2E54">
            <w:pPr>
              <w:keepNext/>
              <w:spacing w:before="55" w:after="30" w:line="200" w:lineRule="auto"/>
              <w:jc w:val="right"/>
            </w:pPr>
            <w:r>
              <w:rPr>
                <w:color w:val="000000"/>
                <w:sz w:val="20"/>
              </w:rPr>
              <w:t>1,846.4 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9F7741A"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2DD845"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ACEAC34" w14:textId="77777777" w:rsidR="00D22731" w:rsidRDefault="00FF2E54">
            <w:pPr>
              <w:keepNext/>
              <w:spacing w:before="55" w:after="30" w:line="200" w:lineRule="auto"/>
              <w:jc w:val="right"/>
            </w:pPr>
            <w:r>
              <w:rPr>
                <w:color w:val="000000"/>
                <w:sz w:val="20"/>
              </w:rPr>
              <w:t>1,544.9 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5B11843" w14:textId="77777777" w:rsidR="00D22731" w:rsidRDefault="00D22731">
            <w:pPr>
              <w:keepNext/>
              <w:spacing w:before="55" w:after="30" w:line="200" w:lineRule="auto"/>
            </w:pPr>
          </w:p>
        </w:tc>
      </w:tr>
      <w:tr w:rsidR="00D22731" w14:paraId="72B8EED7"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4881910E" w14:textId="77777777" w:rsidR="00D22731" w:rsidRDefault="00FF2E54">
            <w:pPr>
              <w:keepNext/>
              <w:spacing w:before="75" w:after="30" w:line="200" w:lineRule="auto"/>
            </w:pPr>
            <w:r>
              <w:rPr>
                <w:color w:val="000000"/>
                <w:sz w:val="20"/>
              </w:rPr>
              <w:t>COST OF REVENUE:</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DA69057"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FC33AB" w14:textId="77777777" w:rsidR="00D22731" w:rsidRDefault="00D22731">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B570DB4"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B5590E"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9263D70"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0FB2E1"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44E1643" w14:textId="77777777" w:rsidR="00D22731" w:rsidRDefault="00D22731">
            <w:pPr>
              <w:keepNext/>
            </w:pPr>
          </w:p>
        </w:tc>
      </w:tr>
      <w:tr w:rsidR="00D22731" w14:paraId="52E8C95D"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BAF9A87" w14:textId="77777777" w:rsidR="00D22731" w:rsidRDefault="00FF2E54">
            <w:pPr>
              <w:keepNext/>
              <w:spacing w:before="75" w:after="30" w:line="200" w:lineRule="auto"/>
              <w:ind w:left="360"/>
            </w:pPr>
            <w:r>
              <w:rPr>
                <w:color w:val="000000"/>
                <w:sz w:val="20"/>
              </w:rPr>
              <w:t>Product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AC80096" w14:textId="77777777" w:rsidR="00D22731" w:rsidRDefault="00FF2E54">
            <w:pPr>
              <w:keepNext/>
              <w:spacing w:before="75" w:after="30" w:line="200" w:lineRule="auto"/>
              <w:jc w:val="right"/>
            </w:pPr>
            <w:r>
              <w:rPr>
                <w:color w:val="000000"/>
                <w:sz w:val="20"/>
              </w:rPr>
              <w:t>84.3 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5CB68A3"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7A0F81"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0B19CFC" w14:textId="77777777" w:rsidR="00D22731" w:rsidRDefault="00FF2E54">
            <w:pPr>
              <w:keepNext/>
              <w:spacing w:before="75" w:after="30" w:line="200" w:lineRule="auto"/>
              <w:jc w:val="right"/>
            </w:pPr>
            <w:r>
              <w:rPr>
                <w:color w:val="000000"/>
                <w:sz w:val="20"/>
              </w:rPr>
              <w:t>79.0 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E03037"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A65818"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78E4757" w14:textId="77777777" w:rsidR="00D22731" w:rsidRDefault="00FF2E54">
            <w:pPr>
              <w:keepNext/>
              <w:spacing w:before="75" w:after="30" w:line="200" w:lineRule="auto"/>
              <w:jc w:val="right"/>
            </w:pPr>
            <w:r>
              <w:rPr>
                <w:color w:val="000000"/>
                <w:sz w:val="20"/>
              </w:rPr>
              <w:t>245.0 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53BE68"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BC618B"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8F6C918" w14:textId="77777777" w:rsidR="00D22731" w:rsidRDefault="00FF2E54">
            <w:pPr>
              <w:keepNext/>
              <w:spacing w:before="75" w:after="30" w:line="200" w:lineRule="auto"/>
              <w:jc w:val="right"/>
            </w:pPr>
            <w:r>
              <w:rPr>
                <w:color w:val="000000"/>
                <w:sz w:val="20"/>
              </w:rPr>
              <w:t>231.9 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8D6F04" w14:textId="77777777" w:rsidR="00D22731" w:rsidRDefault="00D22731">
            <w:pPr>
              <w:keepNext/>
              <w:spacing w:before="75" w:after="30" w:line="200" w:lineRule="auto"/>
            </w:pPr>
          </w:p>
        </w:tc>
      </w:tr>
      <w:tr w:rsidR="00D22731" w14:paraId="79ED6189"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4781D79E" w14:textId="77777777" w:rsidR="00D22731" w:rsidRDefault="00FF2E54">
            <w:pPr>
              <w:keepNext/>
              <w:spacing w:before="75" w:after="30" w:line="200" w:lineRule="auto"/>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B399247" w14:textId="77777777" w:rsidR="00D22731" w:rsidRDefault="00FF2E54">
            <w:pPr>
              <w:keepNext/>
              <w:spacing w:before="75" w:after="30" w:line="200" w:lineRule="auto"/>
              <w:jc w:val="right"/>
            </w:pPr>
            <w:r>
              <w:rPr>
                <w:color w:val="000000"/>
                <w:sz w:val="20"/>
              </w:rPr>
              <w:t>54.9 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AAD8B61"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C8DD0E"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AD55399" w14:textId="77777777" w:rsidR="00D22731" w:rsidRDefault="00FF2E54">
            <w:pPr>
              <w:keepNext/>
              <w:spacing w:before="75" w:after="30" w:line="200" w:lineRule="auto"/>
              <w:jc w:val="right"/>
            </w:pPr>
            <w:r>
              <w:rPr>
                <w:color w:val="000000"/>
                <w:sz w:val="20"/>
              </w:rPr>
              <w:t>45.1 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F51BF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3F285A"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3FBD910" w14:textId="77777777" w:rsidR="00D22731" w:rsidRDefault="00FF2E54">
            <w:pPr>
              <w:keepNext/>
              <w:spacing w:before="75" w:after="30" w:line="200" w:lineRule="auto"/>
              <w:jc w:val="right"/>
            </w:pPr>
            <w:r>
              <w:rPr>
                <w:color w:val="000000"/>
                <w:sz w:val="20"/>
              </w:rPr>
              <w:t>158.0 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FC328E1"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04396B"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61BBD7A" w14:textId="77777777" w:rsidR="00D22731" w:rsidRDefault="00FF2E54">
            <w:pPr>
              <w:keepNext/>
              <w:spacing w:before="75" w:after="30" w:line="200" w:lineRule="auto"/>
              <w:jc w:val="right"/>
            </w:pPr>
            <w:r>
              <w:rPr>
                <w:color w:val="000000"/>
                <w:sz w:val="20"/>
              </w:rPr>
              <w:t>133.5 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40B1B0" w14:textId="77777777" w:rsidR="00D22731" w:rsidRDefault="00D22731">
            <w:pPr>
              <w:keepNext/>
              <w:spacing w:before="75" w:after="30" w:line="200" w:lineRule="auto"/>
            </w:pPr>
          </w:p>
        </w:tc>
      </w:tr>
      <w:tr w:rsidR="00D22731" w14:paraId="01311246"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22C3B23E" w14:textId="77777777" w:rsidR="00D22731" w:rsidRDefault="00FF2E54">
            <w:pPr>
              <w:keepNext/>
              <w:spacing w:before="75" w:after="30" w:line="200" w:lineRule="auto"/>
              <w:ind w:left="585"/>
            </w:pPr>
            <w:r>
              <w:rPr>
                <w:color w:val="000000"/>
                <w:sz w:val="20"/>
              </w:rPr>
              <w:t>Total cost of revenue</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899B689" w14:textId="77777777" w:rsidR="00D22731" w:rsidRDefault="00FF2E54">
            <w:pPr>
              <w:keepNext/>
              <w:spacing w:before="55" w:after="30" w:line="200" w:lineRule="auto"/>
              <w:jc w:val="right"/>
            </w:pPr>
            <w:r>
              <w:rPr>
                <w:color w:val="000000"/>
                <w:sz w:val="20"/>
              </w:rPr>
              <w:t>139.2 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BFC8095"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DDB3AA" w14:textId="77777777" w:rsidR="00D22731" w:rsidRDefault="00D22731">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4424AF0" w14:textId="77777777" w:rsidR="00D22731" w:rsidRDefault="00FF2E54">
            <w:pPr>
              <w:keepNext/>
              <w:spacing w:before="55" w:after="30" w:line="200" w:lineRule="auto"/>
              <w:jc w:val="right"/>
            </w:pPr>
            <w:r>
              <w:rPr>
                <w:color w:val="000000"/>
                <w:sz w:val="20"/>
              </w:rPr>
              <w:t>124.1 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E41AC49"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7B30DA"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90E0E36" w14:textId="77777777" w:rsidR="00D22731" w:rsidRDefault="00FF2E54">
            <w:pPr>
              <w:keepNext/>
              <w:spacing w:before="55" w:after="30" w:line="200" w:lineRule="auto"/>
              <w:jc w:val="right"/>
            </w:pPr>
            <w:r>
              <w:rPr>
                <w:color w:val="000000"/>
                <w:sz w:val="20"/>
              </w:rPr>
              <w:t>403.0 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B440091"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D67114"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FBCBACC" w14:textId="77777777" w:rsidR="00D22731" w:rsidRDefault="00FF2E54">
            <w:pPr>
              <w:keepNext/>
              <w:spacing w:before="55" w:after="30" w:line="200" w:lineRule="auto"/>
              <w:jc w:val="right"/>
            </w:pPr>
            <w:r>
              <w:rPr>
                <w:color w:val="000000"/>
                <w:sz w:val="20"/>
              </w:rPr>
              <w:t>365.4 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656F63A" w14:textId="77777777" w:rsidR="00D22731" w:rsidRDefault="00D22731">
            <w:pPr>
              <w:keepNext/>
              <w:spacing w:before="55" w:after="30" w:line="200" w:lineRule="auto"/>
            </w:pPr>
          </w:p>
        </w:tc>
      </w:tr>
      <w:tr w:rsidR="00D22731" w14:paraId="1C82DFC1"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5296BD01" w14:textId="77777777" w:rsidR="00D22731" w:rsidRDefault="00FF2E54">
            <w:pPr>
              <w:keepNext/>
              <w:spacing w:before="75" w:after="30" w:line="200" w:lineRule="auto"/>
            </w:pPr>
            <w:r>
              <w:rPr>
                <w:color w:val="000000"/>
                <w:sz w:val="20"/>
              </w:rPr>
              <w:t>GROSS PROFIT:</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BDDA454"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F63570" w14:textId="77777777" w:rsidR="00D22731" w:rsidRDefault="00D22731">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06CB42D"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48D573"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6317D79"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A74A46"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63D92590" w14:textId="77777777" w:rsidR="00D22731" w:rsidRDefault="00D22731">
            <w:pPr>
              <w:keepNext/>
            </w:pPr>
          </w:p>
        </w:tc>
      </w:tr>
      <w:tr w:rsidR="00D22731" w14:paraId="5C2C6317"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3CEABCE" w14:textId="77777777" w:rsidR="00D22731" w:rsidRDefault="00FF2E54">
            <w:pPr>
              <w:keepNext/>
              <w:spacing w:before="75" w:after="30" w:line="200" w:lineRule="auto"/>
              <w:ind w:left="360"/>
            </w:pPr>
            <w:r>
              <w:rPr>
                <w:color w:val="000000"/>
                <w:sz w:val="20"/>
              </w:rPr>
              <w:t>Product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0AA1DCA0" w14:textId="77777777" w:rsidR="00D22731" w:rsidRDefault="00FF2E54">
            <w:pPr>
              <w:keepNext/>
              <w:spacing w:before="75" w:after="30" w:line="200" w:lineRule="auto"/>
              <w:jc w:val="right"/>
            </w:pPr>
            <w:r>
              <w:rPr>
                <w:color w:val="000000"/>
                <w:sz w:val="20"/>
              </w:rPr>
              <w:t>139.5 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E9990FB"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5BE97D"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35194770" w14:textId="77777777" w:rsidR="00D22731" w:rsidRDefault="00FF2E54">
            <w:pPr>
              <w:keepNext/>
              <w:spacing w:before="75" w:after="30" w:line="200" w:lineRule="auto"/>
              <w:jc w:val="right"/>
            </w:pPr>
            <w:r>
              <w:rPr>
                <w:color w:val="000000"/>
                <w:sz w:val="20"/>
              </w:rPr>
              <w:t>118.1 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5D6642A"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CD55E2"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C648289" w14:textId="77777777" w:rsidR="00D22731" w:rsidRDefault="00FF2E54">
            <w:pPr>
              <w:keepNext/>
              <w:spacing w:before="75" w:after="30" w:line="200" w:lineRule="auto"/>
              <w:jc w:val="right"/>
            </w:pPr>
            <w:r>
              <w:rPr>
                <w:color w:val="000000"/>
                <w:sz w:val="20"/>
              </w:rPr>
              <w:t>383.0 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6F0ADE5"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4BE1CA"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C21D3AE" w14:textId="77777777" w:rsidR="00D22731" w:rsidRDefault="00FF2E54">
            <w:pPr>
              <w:keepNext/>
              <w:spacing w:before="75" w:after="30" w:line="200" w:lineRule="auto"/>
              <w:jc w:val="right"/>
            </w:pPr>
            <w:r>
              <w:rPr>
                <w:color w:val="000000"/>
                <w:sz w:val="20"/>
              </w:rPr>
              <w:t>317.8 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C2971E" w14:textId="77777777" w:rsidR="00D22731" w:rsidRDefault="00D22731">
            <w:pPr>
              <w:keepNext/>
              <w:spacing w:before="75" w:after="30" w:line="200" w:lineRule="auto"/>
            </w:pPr>
          </w:p>
        </w:tc>
      </w:tr>
      <w:tr w:rsidR="00D22731" w14:paraId="39E05BDE"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DE259AD" w14:textId="77777777" w:rsidR="00D22731" w:rsidRDefault="00FF2E54">
            <w:pPr>
              <w:keepNext/>
              <w:spacing w:before="75" w:after="30" w:line="200" w:lineRule="auto"/>
              <w:ind w:left="360"/>
            </w:pPr>
            <w:r>
              <w:rPr>
                <w:color w:val="000000"/>
                <w:sz w:val="20"/>
              </w:rPr>
              <w:t>Service</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F970009" w14:textId="77777777" w:rsidR="00D22731" w:rsidRDefault="00FF2E54">
            <w:pPr>
              <w:keepNext/>
              <w:spacing w:before="75" w:after="30" w:line="200" w:lineRule="auto"/>
              <w:jc w:val="right"/>
            </w:pPr>
            <w:r>
              <w:rPr>
                <w:color w:val="000000"/>
                <w:sz w:val="20"/>
              </w:rPr>
              <w:t>372.4 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EE95055"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BB9869"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2D2AB38" w14:textId="77777777" w:rsidR="00D22731" w:rsidRDefault="00FF2E54">
            <w:pPr>
              <w:keepNext/>
              <w:spacing w:before="75" w:after="30" w:line="200" w:lineRule="auto"/>
              <w:jc w:val="right"/>
            </w:pPr>
            <w:r>
              <w:rPr>
                <w:color w:val="000000"/>
                <w:sz w:val="20"/>
              </w:rPr>
              <w:t>305.9 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6FF4A3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CF6676"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19AC371" w14:textId="77777777" w:rsidR="00D22731" w:rsidRDefault="00FF2E54">
            <w:pPr>
              <w:keepNext/>
              <w:spacing w:before="75" w:after="30" w:line="200" w:lineRule="auto"/>
              <w:jc w:val="right"/>
            </w:pPr>
            <w:r>
              <w:rPr>
                <w:color w:val="000000"/>
                <w:sz w:val="20"/>
              </w:rPr>
              <w:t>1,060.4 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488238"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B872B6"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815A9B1" w14:textId="77777777" w:rsidR="00D22731" w:rsidRDefault="00FF2E54">
            <w:pPr>
              <w:keepNext/>
              <w:spacing w:before="75" w:after="30" w:line="200" w:lineRule="auto"/>
              <w:jc w:val="right"/>
            </w:pPr>
            <w:r>
              <w:rPr>
                <w:color w:val="000000"/>
                <w:sz w:val="20"/>
              </w:rPr>
              <w:t>861.7 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21BA6F2" w14:textId="77777777" w:rsidR="00D22731" w:rsidRDefault="00D22731">
            <w:pPr>
              <w:keepNext/>
              <w:spacing w:before="75" w:after="30" w:line="200" w:lineRule="auto"/>
            </w:pPr>
          </w:p>
        </w:tc>
      </w:tr>
      <w:tr w:rsidR="00D22731" w14:paraId="2DE411FA"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F313833" w14:textId="77777777" w:rsidR="00D22731" w:rsidRDefault="00FF2E54">
            <w:pPr>
              <w:keepNext/>
              <w:spacing w:before="75" w:after="30" w:line="200" w:lineRule="auto"/>
              <w:ind w:left="585"/>
            </w:pPr>
            <w:r>
              <w:rPr>
                <w:color w:val="000000"/>
                <w:sz w:val="20"/>
              </w:rPr>
              <w:t>Total gross profit</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E45F396" w14:textId="77777777" w:rsidR="00D22731" w:rsidRDefault="00FF2E54">
            <w:pPr>
              <w:keepNext/>
              <w:spacing w:before="55" w:after="30" w:line="200" w:lineRule="auto"/>
              <w:jc w:val="right"/>
            </w:pPr>
            <w:r>
              <w:rPr>
                <w:color w:val="000000"/>
                <w:sz w:val="20"/>
              </w:rPr>
              <w:t>511.9 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C9EB375"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5773E9" w14:textId="77777777" w:rsidR="00D22731" w:rsidRDefault="00D22731">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9067467" w14:textId="77777777" w:rsidR="00D22731" w:rsidRDefault="00FF2E54">
            <w:pPr>
              <w:keepNext/>
              <w:spacing w:before="55" w:after="30" w:line="200" w:lineRule="auto"/>
              <w:jc w:val="right"/>
            </w:pPr>
            <w:r>
              <w:rPr>
                <w:color w:val="000000"/>
                <w:sz w:val="20"/>
              </w:rPr>
              <w:t>424.0 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7AC8D8E"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BF3710"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1FB01650" w14:textId="77777777" w:rsidR="00D22731" w:rsidRDefault="00FF2E54">
            <w:pPr>
              <w:keepNext/>
              <w:spacing w:before="55" w:after="30" w:line="200" w:lineRule="auto"/>
              <w:jc w:val="right"/>
            </w:pPr>
            <w:r>
              <w:rPr>
                <w:color w:val="000000"/>
                <w:sz w:val="20"/>
              </w:rPr>
              <w:t>1,443.4 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154C911"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B25F06"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11F45ED2" w14:textId="77777777" w:rsidR="00D22731" w:rsidRDefault="00FF2E54">
            <w:pPr>
              <w:keepNext/>
              <w:spacing w:before="55" w:after="30" w:line="200" w:lineRule="auto"/>
              <w:jc w:val="right"/>
            </w:pPr>
            <w:r>
              <w:rPr>
                <w:color w:val="000000"/>
                <w:sz w:val="20"/>
              </w:rPr>
              <w:t>1,179.5 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6E658A8" w14:textId="77777777" w:rsidR="00D22731" w:rsidRDefault="00D22731">
            <w:pPr>
              <w:keepNext/>
              <w:spacing w:before="55" w:after="30" w:line="200" w:lineRule="auto"/>
            </w:pPr>
          </w:p>
        </w:tc>
      </w:tr>
      <w:tr w:rsidR="00D22731" w14:paraId="6F8BDCCA"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19281B5" w14:textId="77777777" w:rsidR="00D22731" w:rsidRDefault="00FF2E54">
            <w:pPr>
              <w:keepNext/>
              <w:spacing w:before="75" w:after="30" w:line="200" w:lineRule="auto"/>
            </w:pPr>
            <w:r>
              <w:rPr>
                <w:color w:val="000000"/>
                <w:sz w:val="20"/>
              </w:rPr>
              <w:t>OPERATING EXPENSES:</w:t>
            </w: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C86C716"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9051AA" w14:textId="77777777" w:rsidR="00D22731" w:rsidRDefault="00D22731">
            <w:pPr>
              <w:keepNext/>
            </w:pPr>
          </w:p>
        </w:tc>
        <w:tc>
          <w:tcPr>
            <w:tcW w:w="13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099A2DA"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095299"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DB28369"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682617"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A8A1D1F" w14:textId="77777777" w:rsidR="00D22731" w:rsidRDefault="00D22731">
            <w:pPr>
              <w:keepNext/>
            </w:pPr>
          </w:p>
        </w:tc>
      </w:tr>
      <w:tr w:rsidR="00D22731" w14:paraId="0C33375A"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3A229DE" w14:textId="77777777" w:rsidR="00D22731" w:rsidRDefault="00FF2E54">
            <w:pPr>
              <w:keepNext/>
              <w:spacing w:before="75" w:after="30" w:line="200" w:lineRule="auto"/>
              <w:ind w:left="360"/>
            </w:pPr>
            <w:r>
              <w:rPr>
                <w:color w:val="000000"/>
                <w:sz w:val="20"/>
              </w:rPr>
              <w:t>Research and development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F2D067C" w14:textId="77777777" w:rsidR="00D22731" w:rsidRDefault="00FF2E54">
            <w:pPr>
              <w:keepNext/>
              <w:spacing w:before="75" w:after="30" w:line="200" w:lineRule="auto"/>
              <w:jc w:val="right"/>
            </w:pPr>
            <w:r>
              <w:rPr>
                <w:color w:val="000000"/>
                <w:sz w:val="20"/>
              </w:rPr>
              <w:t>90.0 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5E9EE8"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031EA6"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CBB7D28" w14:textId="77777777" w:rsidR="00D22731" w:rsidRDefault="00FF2E54">
            <w:pPr>
              <w:keepNext/>
              <w:spacing w:before="75" w:after="30" w:line="200" w:lineRule="auto"/>
              <w:jc w:val="right"/>
            </w:pPr>
            <w:r>
              <w:rPr>
                <w:color w:val="000000"/>
                <w:sz w:val="20"/>
              </w:rPr>
              <w:t>69.9 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BD1982"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886FFB"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13CF5A2" w14:textId="77777777" w:rsidR="00D22731" w:rsidRDefault="00FF2E54">
            <w:pPr>
              <w:keepNext/>
              <w:spacing w:before="75" w:after="30" w:line="200" w:lineRule="auto"/>
              <w:jc w:val="right"/>
            </w:pPr>
            <w:r>
              <w:rPr>
                <w:color w:val="000000"/>
                <w:sz w:val="20"/>
              </w:rPr>
              <w:t>252.4 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A80EAA"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4735D2"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2E89D9F" w14:textId="77777777" w:rsidR="00D22731" w:rsidRDefault="00FF2E54">
            <w:pPr>
              <w:keepNext/>
              <w:spacing w:before="75" w:after="30" w:line="200" w:lineRule="auto"/>
              <w:jc w:val="right"/>
            </w:pPr>
            <w:r>
              <w:rPr>
                <w:color w:val="000000"/>
                <w:sz w:val="20"/>
              </w:rPr>
              <w:t>205.9 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F398A1" w14:textId="77777777" w:rsidR="00D22731" w:rsidRDefault="00D22731">
            <w:pPr>
              <w:keepNext/>
              <w:spacing w:before="75" w:after="30" w:line="200" w:lineRule="auto"/>
            </w:pPr>
          </w:p>
        </w:tc>
      </w:tr>
      <w:tr w:rsidR="00D22731" w14:paraId="465B51AD"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3DF4087" w14:textId="77777777" w:rsidR="00D22731" w:rsidRDefault="00FF2E54">
            <w:pPr>
              <w:keepNext/>
              <w:spacing w:before="75" w:after="30" w:line="200" w:lineRule="auto"/>
              <w:ind w:left="360"/>
            </w:pPr>
            <w:r>
              <w:rPr>
                <w:color w:val="000000"/>
                <w:sz w:val="20"/>
              </w:rPr>
              <w:t>Sales and marketing</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46BB43CC" w14:textId="77777777" w:rsidR="00D22731" w:rsidRDefault="00FF2E54">
            <w:pPr>
              <w:keepNext/>
              <w:spacing w:before="75" w:after="30" w:line="200" w:lineRule="auto"/>
              <w:jc w:val="right"/>
            </w:pPr>
            <w:r>
              <w:rPr>
                <w:color w:val="000000"/>
                <w:sz w:val="20"/>
              </w:rPr>
              <w:t>266.7 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24D143"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7CBD40" w14:textId="77777777" w:rsidR="00D22731" w:rsidRDefault="00D22731">
            <w:pPr>
              <w:keepNex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14:paraId="307505C9" w14:textId="77777777" w:rsidR="00D22731" w:rsidRDefault="00FF2E54">
            <w:pPr>
              <w:keepNext/>
              <w:spacing w:before="75" w:after="30" w:line="200" w:lineRule="auto"/>
              <w:jc w:val="right"/>
            </w:pPr>
            <w:r>
              <w:rPr>
                <w:color w:val="000000"/>
                <w:sz w:val="20"/>
              </w:rPr>
              <w:t>227.4 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46BB914"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A7EB91"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5C04CF19" w14:textId="77777777" w:rsidR="00D22731" w:rsidRDefault="00FF2E54">
            <w:pPr>
              <w:keepNext/>
              <w:spacing w:before="75" w:after="30" w:line="200" w:lineRule="auto"/>
              <w:jc w:val="right"/>
            </w:pPr>
            <w:r>
              <w:rPr>
                <w:color w:val="000000"/>
                <w:sz w:val="20"/>
              </w:rPr>
              <w:t>780.5 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F89DF7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4F2CA7"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370DAA3" w14:textId="77777777" w:rsidR="00D22731" w:rsidRDefault="00FF2E54">
            <w:pPr>
              <w:keepNext/>
              <w:spacing w:before="75" w:after="30" w:line="200" w:lineRule="auto"/>
              <w:jc w:val="right"/>
            </w:pPr>
            <w:r>
              <w:rPr>
                <w:color w:val="000000"/>
                <w:sz w:val="20"/>
              </w:rPr>
              <w:t>669.8 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805C22" w14:textId="77777777" w:rsidR="00D22731" w:rsidRDefault="00D22731">
            <w:pPr>
              <w:keepNext/>
              <w:spacing w:before="75" w:after="30" w:line="200" w:lineRule="auto"/>
            </w:pPr>
          </w:p>
        </w:tc>
      </w:tr>
      <w:tr w:rsidR="00D22731" w14:paraId="58095422"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8594512" w14:textId="77777777" w:rsidR="00D22731" w:rsidRDefault="00FF2E54">
            <w:pPr>
              <w:keepNext/>
              <w:spacing w:before="75" w:after="30" w:line="200" w:lineRule="auto"/>
              <w:ind w:left="360"/>
            </w:pPr>
            <w:r>
              <w:rPr>
                <w:color w:val="000000"/>
                <w:sz w:val="20"/>
              </w:rPr>
              <w:t>General and administrative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3BB9A9B" w14:textId="77777777" w:rsidR="00D22731" w:rsidRDefault="00FF2E54">
            <w:pPr>
              <w:keepNext/>
              <w:spacing w:before="75" w:after="30" w:line="200" w:lineRule="auto"/>
              <w:jc w:val="right"/>
            </w:pPr>
            <w:r>
              <w:rPr>
                <w:color w:val="000000"/>
                <w:sz w:val="20"/>
              </w:rPr>
              <w:t>29.4 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2708B2"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856D14"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54B67EFE" w14:textId="77777777" w:rsidR="00D22731" w:rsidRDefault="00FF2E54">
            <w:pPr>
              <w:keepNext/>
              <w:spacing w:before="75" w:after="30" w:line="200" w:lineRule="auto"/>
              <w:jc w:val="right"/>
            </w:pPr>
            <w:r>
              <w:rPr>
                <w:color w:val="000000"/>
                <w:sz w:val="20"/>
              </w:rPr>
              <w:t>26.1 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32B14F"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C91823"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CAFDB0A" w14:textId="77777777" w:rsidR="00D22731" w:rsidRDefault="00FF2E54">
            <w:pPr>
              <w:keepNext/>
              <w:spacing w:before="75" w:after="30" w:line="200" w:lineRule="auto"/>
              <w:jc w:val="right"/>
            </w:pPr>
            <w:r>
              <w:rPr>
                <w:color w:val="000000"/>
                <w:sz w:val="20"/>
              </w:rPr>
              <w:t>87.1 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1731728"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4C0B36"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B56DA80" w14:textId="77777777" w:rsidR="00D22731" w:rsidRDefault="00FF2E54">
            <w:pPr>
              <w:keepNext/>
              <w:spacing w:before="75" w:after="30" w:line="200" w:lineRule="auto"/>
              <w:jc w:val="right"/>
            </w:pPr>
            <w:r>
              <w:rPr>
                <w:color w:val="000000"/>
                <w:sz w:val="20"/>
              </w:rPr>
              <w:t>74.9 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095B88" w14:textId="77777777" w:rsidR="00D22731" w:rsidRDefault="00D22731">
            <w:pPr>
              <w:keepNext/>
              <w:spacing w:before="75" w:after="30" w:line="200" w:lineRule="auto"/>
            </w:pPr>
          </w:p>
        </w:tc>
      </w:tr>
      <w:tr w:rsidR="00D22731" w14:paraId="33A62D2E"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78ED937C" w14:textId="77777777" w:rsidR="00D22731" w:rsidRDefault="00FF2E54">
            <w:pPr>
              <w:keepNext/>
              <w:spacing w:before="75" w:after="30" w:line="200" w:lineRule="auto"/>
              <w:ind w:left="360"/>
            </w:pPr>
            <w:r>
              <w:rPr>
                <w:color w:val="000000"/>
                <w:sz w:val="20"/>
              </w:rPr>
              <w:t>Gain on intellectual property matter</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D3FF4E8" w14:textId="77777777" w:rsidR="00D22731" w:rsidRDefault="00FF2E54">
            <w:pPr>
              <w:keepNext/>
              <w:spacing w:before="75" w:after="30" w:line="200" w:lineRule="auto"/>
              <w:jc w:val="right"/>
            </w:pPr>
            <w:r>
              <w:rPr>
                <w:color w:val="000000"/>
                <w:sz w:val="20"/>
              </w:rPr>
              <w:t>(1.1)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A341AC"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1B31B5"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94EDEDE" w14:textId="77777777" w:rsidR="00D22731" w:rsidRDefault="00FF2E54">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C8DD11"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D596A9"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A01C828" w14:textId="77777777" w:rsidR="00D22731" w:rsidRDefault="00FF2E54">
            <w:pPr>
              <w:keepNext/>
              <w:spacing w:before="75" w:after="30" w:line="200" w:lineRule="auto"/>
              <w:jc w:val="right"/>
            </w:pPr>
            <w:r>
              <w:rPr>
                <w:color w:val="000000"/>
                <w:sz w:val="20"/>
              </w:rPr>
              <w:t>(39.0)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687C8D"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7EF4C7"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181620A" w14:textId="77777777" w:rsidR="00D22731" w:rsidRDefault="00FF2E54">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B9AFB43" w14:textId="77777777" w:rsidR="00D22731" w:rsidRDefault="00D22731">
            <w:pPr>
              <w:keepNext/>
              <w:spacing w:before="75" w:after="30" w:line="200" w:lineRule="auto"/>
            </w:pPr>
          </w:p>
        </w:tc>
      </w:tr>
      <w:tr w:rsidR="00D22731" w14:paraId="67D52665"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092010A9" w14:textId="77777777" w:rsidR="00D22731" w:rsidRDefault="00FF2E54">
            <w:pPr>
              <w:keepNext/>
              <w:spacing w:before="75" w:after="30" w:line="200" w:lineRule="auto"/>
              <w:ind w:left="585"/>
            </w:pPr>
            <w:r>
              <w:rPr>
                <w:color w:val="000000"/>
                <w:sz w:val="20"/>
              </w:rPr>
              <w:t>Total operating expenses</w:t>
            </w: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E2BD9CB" w14:textId="77777777" w:rsidR="00D22731" w:rsidRDefault="00FF2E54">
            <w:pPr>
              <w:keepNext/>
              <w:spacing w:before="55" w:after="30" w:line="200" w:lineRule="auto"/>
              <w:jc w:val="right"/>
            </w:pPr>
            <w:r>
              <w:rPr>
                <w:color w:val="000000"/>
                <w:sz w:val="20"/>
              </w:rPr>
              <w:t>385.0 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34F15A3"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FE06B2" w14:textId="77777777" w:rsidR="00D22731" w:rsidRDefault="00D22731">
            <w:pPr>
              <w:keepNext/>
            </w:pPr>
          </w:p>
        </w:tc>
        <w:tc>
          <w:tcPr>
            <w:tcW w:w="12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B53DDDE" w14:textId="77777777" w:rsidR="00D22731" w:rsidRDefault="00FF2E54">
            <w:pPr>
              <w:keepNext/>
              <w:spacing w:before="55" w:after="30" w:line="200" w:lineRule="auto"/>
              <w:jc w:val="right"/>
            </w:pPr>
            <w:r>
              <w:rPr>
                <w:color w:val="000000"/>
                <w:sz w:val="20"/>
              </w:rPr>
              <w:t>323.4 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B734339"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E6B6AC"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0FAE3F0" w14:textId="77777777" w:rsidR="00D22731" w:rsidRDefault="00FF2E54">
            <w:pPr>
              <w:keepNext/>
              <w:spacing w:before="55" w:after="30" w:line="200" w:lineRule="auto"/>
              <w:jc w:val="right"/>
            </w:pPr>
            <w:r>
              <w:rPr>
                <w:color w:val="000000"/>
                <w:sz w:val="20"/>
              </w:rPr>
              <w:t>1,081.0 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40746FA"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3AC806"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8187AE6" w14:textId="77777777" w:rsidR="00D22731" w:rsidRDefault="00FF2E54">
            <w:pPr>
              <w:keepNext/>
              <w:spacing w:before="55" w:after="30" w:line="200" w:lineRule="auto"/>
              <w:jc w:val="right"/>
            </w:pPr>
            <w:r>
              <w:rPr>
                <w:color w:val="000000"/>
                <w:sz w:val="20"/>
              </w:rPr>
              <w:t>950.6 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E2FB8E6" w14:textId="77777777" w:rsidR="00D22731" w:rsidRDefault="00D22731">
            <w:pPr>
              <w:keepNext/>
              <w:spacing w:before="55" w:after="30" w:line="200" w:lineRule="auto"/>
            </w:pPr>
          </w:p>
        </w:tc>
      </w:tr>
      <w:tr w:rsidR="00D22731" w14:paraId="79CB6773"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772EDE89" w14:textId="77777777" w:rsidR="00D22731" w:rsidRDefault="00FF2E54">
            <w:pPr>
              <w:keepNext/>
              <w:spacing w:before="75" w:after="30" w:line="200" w:lineRule="auto"/>
            </w:pPr>
            <w:r>
              <w:rPr>
                <w:color w:val="000000"/>
                <w:sz w:val="20"/>
              </w:rPr>
              <w:t xml:space="preserve">OPERATING INCOME </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5C1C128C" w14:textId="77777777" w:rsidR="00D22731" w:rsidRDefault="00FF2E54">
            <w:pPr>
              <w:keepNext/>
              <w:spacing w:before="55" w:after="30" w:line="200" w:lineRule="auto"/>
              <w:jc w:val="right"/>
            </w:pPr>
            <w:r>
              <w:rPr>
                <w:color w:val="000000"/>
                <w:sz w:val="20"/>
              </w:rPr>
              <w:t>126.9 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C006A8A"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03F643" w14:textId="77777777" w:rsidR="00D22731" w:rsidRDefault="00D22731">
            <w:pPr>
              <w:keepNext/>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E0B6924" w14:textId="77777777" w:rsidR="00D22731" w:rsidRDefault="00FF2E54">
            <w:pPr>
              <w:keepNext/>
              <w:spacing w:before="55" w:after="30" w:line="200" w:lineRule="auto"/>
              <w:jc w:val="right"/>
            </w:pPr>
            <w:r>
              <w:rPr>
                <w:color w:val="000000"/>
                <w:sz w:val="20"/>
              </w:rPr>
              <w:t>100.6 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CD6D35"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E37015" w14:textId="77777777" w:rsidR="00D22731" w:rsidRDefault="00D22731">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D4FA9B3" w14:textId="77777777" w:rsidR="00D22731" w:rsidRDefault="00FF2E54">
            <w:pPr>
              <w:keepNext/>
              <w:spacing w:before="55" w:after="30" w:line="200" w:lineRule="auto"/>
              <w:jc w:val="right"/>
            </w:pPr>
            <w:r>
              <w:rPr>
                <w:color w:val="000000"/>
                <w:sz w:val="20"/>
              </w:rPr>
              <w:t>362.4 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42E0A3A"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4B1083" w14:textId="77777777" w:rsidR="00D22731" w:rsidRDefault="00D22731">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BC54954" w14:textId="77777777" w:rsidR="00D22731" w:rsidRDefault="00FF2E54">
            <w:pPr>
              <w:keepNext/>
              <w:spacing w:before="55" w:after="30" w:line="200" w:lineRule="auto"/>
              <w:jc w:val="right"/>
            </w:pPr>
            <w:r>
              <w:rPr>
                <w:color w:val="000000"/>
                <w:sz w:val="20"/>
              </w:rPr>
              <w:t>228.9 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A9B1042" w14:textId="77777777" w:rsidR="00D22731" w:rsidRDefault="00D22731">
            <w:pPr>
              <w:keepNext/>
              <w:spacing w:before="55" w:after="30" w:line="200" w:lineRule="auto"/>
            </w:pPr>
          </w:p>
        </w:tc>
      </w:tr>
      <w:tr w:rsidR="00D22731" w14:paraId="44810035"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0B4C9ED1" w14:textId="77777777" w:rsidR="00D22731" w:rsidRDefault="00FF2E54">
            <w:pPr>
              <w:keepNext/>
              <w:spacing w:before="75" w:after="30" w:line="200" w:lineRule="auto"/>
            </w:pPr>
            <w:r>
              <w:rPr>
                <w:color w:val="000000"/>
                <w:sz w:val="20"/>
              </w:rPr>
              <w:t>INTEREST INCOME—NET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15756B1B" w14:textId="77777777" w:rsidR="00D22731" w:rsidRDefault="00FF2E54">
            <w:pPr>
              <w:keepNext/>
              <w:spacing w:before="75" w:after="30" w:line="200" w:lineRule="auto"/>
              <w:jc w:val="right"/>
            </w:pPr>
            <w:r>
              <w:rPr>
                <w:color w:val="000000"/>
                <w:sz w:val="20"/>
              </w:rPr>
              <w:t>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9AA09B"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10442F" w14:textId="77777777" w:rsidR="00D22731" w:rsidRDefault="00D22731">
            <w:pPr>
              <w:keepNex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14:paraId="4A148BCD" w14:textId="77777777" w:rsidR="00D22731" w:rsidRDefault="00FF2E54">
            <w:pPr>
              <w:keepNext/>
              <w:spacing w:before="75" w:after="30" w:line="200" w:lineRule="auto"/>
              <w:jc w:val="right"/>
            </w:pPr>
            <w:r>
              <w:rPr>
                <w:color w:val="000000"/>
                <w:sz w:val="20"/>
              </w:rPr>
              <w:t>11.4 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1441151"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58FBBB"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1FBE34B0" w14:textId="77777777" w:rsidR="00D22731" w:rsidRDefault="00FF2E54">
            <w:pPr>
              <w:keepNext/>
              <w:spacing w:before="75" w:after="30" w:line="200" w:lineRule="auto"/>
              <w:jc w:val="right"/>
            </w:pPr>
            <w:r>
              <w:rPr>
                <w:color w:val="000000"/>
                <w:sz w:val="20"/>
              </w:rPr>
              <w:t>15.7 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EF8123C"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E080E1"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8BD25F5" w14:textId="77777777" w:rsidR="00D22731" w:rsidRDefault="00FF2E54">
            <w:pPr>
              <w:keepNext/>
              <w:spacing w:before="75" w:after="30" w:line="200" w:lineRule="auto"/>
              <w:jc w:val="right"/>
            </w:pPr>
            <w:r>
              <w:rPr>
                <w:color w:val="000000"/>
                <w:sz w:val="20"/>
              </w:rPr>
              <w:t>32.6 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B660955" w14:textId="77777777" w:rsidR="00D22731" w:rsidRDefault="00D22731">
            <w:pPr>
              <w:keepNext/>
              <w:spacing w:before="75" w:after="30" w:line="200" w:lineRule="auto"/>
            </w:pPr>
          </w:p>
        </w:tc>
      </w:tr>
      <w:tr w:rsidR="00D22731" w14:paraId="0F673CB4"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23F1D4B0" w14:textId="77777777" w:rsidR="00D22731" w:rsidRDefault="00FF2E54">
            <w:pPr>
              <w:keepNext/>
              <w:spacing w:before="75" w:after="30" w:line="200" w:lineRule="auto"/>
            </w:pPr>
            <w:r>
              <w:rPr>
                <w:color w:val="000000"/>
                <w:sz w:val="20"/>
              </w:rPr>
              <w:t>OTHER EXPENSE—NET</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F7918D7" w14:textId="77777777" w:rsidR="00D22731" w:rsidRDefault="00FF2E54">
            <w:pPr>
              <w:keepNext/>
              <w:spacing w:before="75" w:after="30" w:line="200" w:lineRule="auto"/>
              <w:jc w:val="right"/>
            </w:pPr>
            <w:r>
              <w:rPr>
                <w:color w:val="000000"/>
                <w:sz w:val="20"/>
              </w:rPr>
              <w:t>(1.0)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3BAACB9"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810D07"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0DD7486" w14:textId="77777777" w:rsidR="00D22731" w:rsidRDefault="00FF2E54">
            <w:pPr>
              <w:keepNext/>
              <w:spacing w:before="75" w:after="30" w:line="200" w:lineRule="auto"/>
              <w:jc w:val="right"/>
            </w:pPr>
            <w:r>
              <w:rPr>
                <w:color w:val="000000"/>
                <w:sz w:val="20"/>
              </w:rPr>
              <w:t>(6.0)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ACC0E40"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4B715C"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648B488" w14:textId="77777777" w:rsidR="00D22731" w:rsidRDefault="00FF2E54">
            <w:pPr>
              <w:keepNext/>
              <w:spacing w:before="75" w:after="30" w:line="200" w:lineRule="auto"/>
              <w:jc w:val="right"/>
            </w:pPr>
            <w:r>
              <w:rPr>
                <w:color w:val="000000"/>
                <w:sz w:val="20"/>
              </w:rPr>
              <w:t>(8.1)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E42A4A4"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B2FC40"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683E077" w14:textId="77777777" w:rsidR="00D22731" w:rsidRDefault="00FF2E54">
            <w:pPr>
              <w:keepNext/>
              <w:spacing w:before="75" w:after="30" w:line="200" w:lineRule="auto"/>
              <w:jc w:val="right"/>
            </w:pPr>
            <w:r>
              <w:rPr>
                <w:color w:val="000000"/>
                <w:sz w:val="20"/>
              </w:rPr>
              <w:t>(6.9)</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C471E6E" w14:textId="77777777" w:rsidR="00D22731" w:rsidRDefault="00D22731">
            <w:pPr>
              <w:keepNext/>
              <w:spacing w:before="75" w:after="30" w:line="200" w:lineRule="auto"/>
            </w:pPr>
          </w:p>
        </w:tc>
      </w:tr>
      <w:tr w:rsidR="00D22731" w14:paraId="15540411"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06907799" w14:textId="77777777" w:rsidR="00D22731" w:rsidRDefault="00FF2E54">
            <w:pPr>
              <w:keepNext/>
              <w:spacing w:before="75" w:after="30" w:line="200" w:lineRule="auto"/>
            </w:pPr>
            <w:r>
              <w:rPr>
                <w:color w:val="000000"/>
                <w:sz w:val="20"/>
              </w:rPr>
              <w:t>INCOME BEFORE INCOME TAXES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F48D084" w14:textId="77777777" w:rsidR="00D22731" w:rsidRDefault="00FF2E54">
            <w:pPr>
              <w:keepNext/>
              <w:spacing w:before="55" w:after="30" w:line="200" w:lineRule="auto"/>
              <w:jc w:val="right"/>
            </w:pPr>
            <w:r>
              <w:rPr>
                <w:color w:val="000000"/>
                <w:sz w:val="20"/>
              </w:rPr>
              <w:t>128.4 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7745109"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55B47E" w14:textId="77777777" w:rsidR="00D22731" w:rsidRDefault="00D22731">
            <w:pPr>
              <w:keepNext/>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6FA00AC" w14:textId="77777777" w:rsidR="00D22731" w:rsidRDefault="00FF2E54">
            <w:pPr>
              <w:keepNext/>
              <w:spacing w:before="55" w:after="30" w:line="200" w:lineRule="auto"/>
              <w:jc w:val="right"/>
            </w:pPr>
            <w:r>
              <w:rPr>
                <w:color w:val="000000"/>
                <w:sz w:val="20"/>
              </w:rPr>
              <w:t>106.0 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FF8711E"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18734D" w14:textId="77777777" w:rsidR="00D22731" w:rsidRDefault="00D22731">
            <w:pPr>
              <w:keepNext/>
            </w:pP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A0C1DEC" w14:textId="77777777" w:rsidR="00D22731" w:rsidRDefault="00FF2E54">
            <w:pPr>
              <w:keepNext/>
              <w:spacing w:before="55" w:after="30" w:line="200" w:lineRule="auto"/>
              <w:jc w:val="right"/>
            </w:pPr>
            <w:r>
              <w:rPr>
                <w:color w:val="000000"/>
                <w:sz w:val="20"/>
              </w:rPr>
              <w:t>370.0 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DE4D57B"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DE9525" w14:textId="77777777" w:rsidR="00D22731" w:rsidRDefault="00D22731">
            <w:pPr>
              <w:keepNext/>
            </w:pPr>
          </w:p>
        </w:tc>
        <w:tc>
          <w:tcPr>
            <w:tcW w:w="11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C0C6E88" w14:textId="77777777" w:rsidR="00D22731" w:rsidRDefault="00FF2E54">
            <w:pPr>
              <w:keepNext/>
              <w:spacing w:before="55" w:after="30" w:line="200" w:lineRule="auto"/>
              <w:jc w:val="right"/>
            </w:pPr>
            <w:r>
              <w:rPr>
                <w:color w:val="000000"/>
                <w:sz w:val="20"/>
              </w:rPr>
              <w:t>254.6 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3F912D3" w14:textId="77777777" w:rsidR="00D22731" w:rsidRDefault="00D22731">
            <w:pPr>
              <w:keepNext/>
              <w:spacing w:before="55" w:after="30" w:line="200" w:lineRule="auto"/>
            </w:pPr>
          </w:p>
        </w:tc>
      </w:tr>
      <w:tr w:rsidR="00D22731" w14:paraId="31A56F48"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532CCABB" w14:textId="77777777" w:rsidR="00D22731" w:rsidRDefault="00FF2E54">
            <w:pPr>
              <w:keepNext/>
              <w:spacing w:before="75" w:after="30" w:line="200" w:lineRule="auto"/>
            </w:pPr>
            <w:r>
              <w:rPr>
                <w:color w:val="000000"/>
                <w:sz w:val="20"/>
              </w:rPr>
              <w:t>PROVISION FOR INCOME TAXES</w:t>
            </w: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86A3781" w14:textId="77777777" w:rsidR="00D22731" w:rsidRDefault="00FF2E54">
            <w:pPr>
              <w:keepNext/>
              <w:spacing w:before="75" w:after="30" w:line="200" w:lineRule="auto"/>
              <w:jc w:val="right"/>
            </w:pPr>
            <w:r>
              <w:rPr>
                <w:color w:val="000000"/>
                <w:sz w:val="20"/>
              </w:rPr>
              <w:t>5.0 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E04C52"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DCB464" w14:textId="77777777" w:rsidR="00D22731" w:rsidRDefault="00D22731">
            <w:pPr>
              <w:keepNext/>
            </w:pPr>
          </w:p>
        </w:tc>
        <w:tc>
          <w:tcPr>
            <w:tcW w:w="12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E01288E" w14:textId="77777777" w:rsidR="00D22731" w:rsidRDefault="00FF2E54">
            <w:pPr>
              <w:keepNext/>
              <w:spacing w:before="75" w:after="30" w:line="200" w:lineRule="auto"/>
              <w:jc w:val="right"/>
            </w:pPr>
            <w:r>
              <w:rPr>
                <w:color w:val="000000"/>
                <w:sz w:val="20"/>
              </w:rPr>
              <w:t>25.8 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D7DD3AF"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2EC368"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00B36A9" w14:textId="77777777" w:rsidR="00D22731" w:rsidRDefault="00FF2E54">
            <w:pPr>
              <w:keepNext/>
              <w:spacing w:before="75" w:after="30" w:line="200" w:lineRule="auto"/>
              <w:jc w:val="right"/>
            </w:pPr>
            <w:r>
              <w:rPr>
                <w:color w:val="000000"/>
                <w:sz w:val="20"/>
              </w:rPr>
              <w:t>28.2 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3CCEFB"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DD4801"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0201984" w14:textId="77777777" w:rsidR="00D22731" w:rsidRDefault="00FF2E54">
            <w:pPr>
              <w:keepNext/>
              <w:spacing w:before="75" w:after="30" w:line="200" w:lineRule="auto"/>
              <w:jc w:val="right"/>
            </w:pPr>
            <w:r>
              <w:rPr>
                <w:color w:val="000000"/>
                <w:sz w:val="20"/>
              </w:rPr>
              <w:t>41.1 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A7FBDEA" w14:textId="77777777" w:rsidR="00D22731" w:rsidRDefault="00D22731">
            <w:pPr>
              <w:keepNext/>
              <w:spacing w:before="75" w:after="30" w:line="200" w:lineRule="auto"/>
            </w:pPr>
          </w:p>
        </w:tc>
      </w:tr>
      <w:tr w:rsidR="00D22731" w14:paraId="747CDDDA"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2AAFC9E" w14:textId="77777777" w:rsidR="00D22731" w:rsidRDefault="00FF2E54">
            <w:pPr>
              <w:keepNext/>
              <w:spacing w:before="75" w:after="30" w:line="200" w:lineRule="auto"/>
            </w:pPr>
            <w:r>
              <w:rPr>
                <w:color w:val="000000"/>
                <w:sz w:val="20"/>
              </w:rPr>
              <w:t>NET INCOME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4A9FC9B" w14:textId="77777777" w:rsidR="00D22731" w:rsidRDefault="00FF2E54">
            <w:pPr>
              <w:keepNext/>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84CC3E3" w14:textId="77777777" w:rsidR="00D22731" w:rsidRDefault="00FF2E54">
            <w:pPr>
              <w:keepNext/>
              <w:spacing w:before="55" w:after="30" w:line="200" w:lineRule="auto"/>
              <w:jc w:val="right"/>
            </w:pPr>
            <w:r>
              <w:rPr>
                <w:color w:val="000000"/>
                <w:sz w:val="20"/>
              </w:rPr>
              <w:t>123.4 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403C5C9"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C7A68D"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94D7D10" w14:textId="77777777" w:rsidR="00D22731" w:rsidRDefault="00FF2E54">
            <w:pPr>
              <w:keepNext/>
              <w:spacing w:before="55" w:after="30" w:line="200" w:lineRule="auto"/>
            </w:pPr>
            <w:r>
              <w:rPr>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CC3A2CF" w14:textId="77777777" w:rsidR="00D22731" w:rsidRDefault="00FF2E54">
            <w:pPr>
              <w:keepNext/>
              <w:spacing w:before="55" w:after="30" w:line="200" w:lineRule="auto"/>
              <w:jc w:val="right"/>
            </w:pPr>
            <w:r>
              <w:rPr>
                <w:color w:val="000000"/>
                <w:sz w:val="20"/>
              </w:rPr>
              <w:t>80.2 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849AA6E"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1BFF86"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6268F0D" w14:textId="77777777" w:rsidR="00D22731" w:rsidRDefault="00FF2E54">
            <w:pPr>
              <w:keepNext/>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04A9141" w14:textId="77777777" w:rsidR="00D22731" w:rsidRDefault="00FF2E54">
            <w:pPr>
              <w:keepNext/>
              <w:spacing w:before="55" w:after="30" w:line="200" w:lineRule="auto"/>
              <w:jc w:val="right"/>
            </w:pPr>
            <w:r>
              <w:rPr>
                <w:color w:val="000000"/>
                <w:sz w:val="20"/>
              </w:rPr>
              <w:t>341.8 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7B358E9"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66A482"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AC1DC1A" w14:textId="77777777" w:rsidR="00D22731" w:rsidRDefault="00FF2E54">
            <w:pPr>
              <w:keepNext/>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A25B939" w14:textId="77777777" w:rsidR="00D22731" w:rsidRDefault="00FF2E54">
            <w:pPr>
              <w:keepNext/>
              <w:spacing w:before="55" w:after="30" w:line="200" w:lineRule="auto"/>
              <w:jc w:val="right"/>
            </w:pPr>
            <w:r>
              <w:rPr>
                <w:color w:val="000000"/>
                <w:sz w:val="20"/>
              </w:rPr>
              <w:t>213.5 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43F8923" w14:textId="77777777" w:rsidR="00D22731" w:rsidRDefault="00D22731">
            <w:pPr>
              <w:keepNext/>
              <w:spacing w:before="55" w:after="30" w:line="200" w:lineRule="auto"/>
            </w:pPr>
          </w:p>
        </w:tc>
      </w:tr>
      <w:tr w:rsidR="00D22731" w14:paraId="2E21CDA7"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7557E1BD" w14:textId="77777777" w:rsidR="00D22731" w:rsidRDefault="00FF2E54">
            <w:pPr>
              <w:keepNext/>
              <w:spacing w:before="75" w:after="30" w:line="200" w:lineRule="auto"/>
            </w:pPr>
            <w:r>
              <w:rPr>
                <w:color w:val="000000"/>
                <w:sz w:val="20"/>
              </w:rPr>
              <w:t>Net income per share:</w:t>
            </w: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77BFF14"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F57FFF" w14:textId="77777777" w:rsidR="00D22731" w:rsidRDefault="00D22731">
            <w:pPr>
              <w:keepNext/>
            </w:pPr>
          </w:p>
        </w:tc>
        <w:tc>
          <w:tcPr>
            <w:tcW w:w="13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373C62C2"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A56F8A" w14:textId="77777777" w:rsidR="00D22731" w:rsidRDefault="00D22731">
            <w:pPr>
              <w:keepNext/>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3FB4CA6A"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C610B6" w14:textId="77777777" w:rsidR="00D22731" w:rsidRDefault="00D22731">
            <w:pPr>
              <w:keepNext/>
            </w:pPr>
          </w:p>
        </w:tc>
        <w:tc>
          <w:tcPr>
            <w:tcW w:w="124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6A7BE58A" w14:textId="77777777" w:rsidR="00D22731" w:rsidRDefault="00D22731">
            <w:pPr>
              <w:keepNext/>
            </w:pPr>
          </w:p>
        </w:tc>
      </w:tr>
      <w:tr w:rsidR="00D22731" w14:paraId="4EE4D9E2" w14:textId="77777777">
        <w:trPr>
          <w:cantSplit/>
          <w:trHeight w:hRule="exact" w:val="300"/>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61DB566F" w14:textId="77777777" w:rsidR="00D22731" w:rsidRDefault="00FF2E54">
            <w:pPr>
              <w:keepNext/>
              <w:spacing w:before="75" w:after="30" w:line="200" w:lineRule="auto"/>
              <w:ind w:left="360"/>
            </w:pPr>
            <w:r>
              <w:rPr>
                <w:color w:val="000000"/>
                <w:sz w:val="20"/>
              </w:rPr>
              <w:t>Basic</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368FC734" w14:textId="77777777" w:rsidR="00D22731" w:rsidRDefault="00FF2E54">
            <w:pPr>
              <w:keepNext/>
              <w:spacing w:before="75" w:after="30" w:line="200" w:lineRule="auto"/>
            </w:pPr>
            <w:r>
              <w:rPr>
                <w:color w:val="000000"/>
                <w:sz w:val="20"/>
              </w:rPr>
              <w:t>$</w:t>
            </w:r>
          </w:p>
        </w:tc>
        <w:tc>
          <w:tcPr>
            <w:tcW w:w="10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4D9D86D" w14:textId="77777777" w:rsidR="00D22731" w:rsidRDefault="00FF2E54">
            <w:pPr>
              <w:keepNext/>
              <w:spacing w:before="75" w:after="30" w:line="200" w:lineRule="auto"/>
              <w:jc w:val="right"/>
            </w:pPr>
            <w:r>
              <w:rPr>
                <w:color w:val="000000"/>
                <w:sz w:val="20"/>
              </w:rPr>
              <w:t>0.76 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450B2D3"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E931B3" w14:textId="77777777" w:rsidR="00D22731" w:rsidRDefault="00D22731">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4B249357" w14:textId="77777777" w:rsidR="00D22731" w:rsidRDefault="00FF2E54">
            <w:pPr>
              <w:keepNext/>
              <w:spacing w:before="75" w:after="30" w:line="200" w:lineRule="auto"/>
            </w:pPr>
            <w:r>
              <w:rPr>
                <w:color w:val="000000"/>
                <w:sz w:val="20"/>
              </w:rPr>
              <w:t>$</w:t>
            </w:r>
          </w:p>
        </w:tc>
        <w:tc>
          <w:tcPr>
            <w:tcW w:w="10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55355F59" w14:textId="77777777" w:rsidR="00D22731" w:rsidRDefault="00FF2E54">
            <w:pPr>
              <w:keepNext/>
              <w:spacing w:before="75" w:after="30" w:line="200" w:lineRule="auto"/>
              <w:jc w:val="right"/>
            </w:pPr>
            <w:r>
              <w:rPr>
                <w:color w:val="000000"/>
                <w:sz w:val="20"/>
              </w:rPr>
              <w:t>0.47 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B97C500"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6D91E1" w14:textId="77777777" w:rsidR="00D22731" w:rsidRDefault="00D22731">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6E822865" w14:textId="77777777" w:rsidR="00D22731" w:rsidRDefault="00FF2E54">
            <w:pPr>
              <w:keepNext/>
              <w:spacing w:before="75" w:after="30" w:line="200" w:lineRule="auto"/>
            </w:pPr>
            <w:r>
              <w:rPr>
                <w:color w:val="000000"/>
                <w:sz w:val="20"/>
              </w:rPr>
              <w:t>$</w:t>
            </w:r>
          </w:p>
        </w:tc>
        <w:tc>
          <w:tcPr>
            <w:tcW w:w="98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1254ABB9" w14:textId="77777777" w:rsidR="00D22731" w:rsidRDefault="00FF2E54">
            <w:pPr>
              <w:keepNext/>
              <w:spacing w:before="75" w:after="30" w:line="200" w:lineRule="auto"/>
              <w:jc w:val="right"/>
            </w:pPr>
            <w:r>
              <w:rPr>
                <w:color w:val="000000"/>
                <w:sz w:val="20"/>
              </w:rPr>
              <w:t>2.07 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54C8397"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611836" w14:textId="77777777" w:rsidR="00D22731" w:rsidRDefault="00D22731">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6EEAC015" w14:textId="77777777" w:rsidR="00D22731" w:rsidRDefault="00FF2E54">
            <w:pPr>
              <w:keepNext/>
              <w:spacing w:before="75" w:after="30" w:line="200" w:lineRule="auto"/>
            </w:pPr>
            <w:r>
              <w:rPr>
                <w:color w:val="000000"/>
                <w:sz w:val="20"/>
              </w:rPr>
              <w:t>$</w:t>
            </w:r>
          </w:p>
        </w:tc>
        <w:tc>
          <w:tcPr>
            <w:tcW w:w="98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ED7D832" w14:textId="77777777" w:rsidR="00D22731" w:rsidRDefault="00FF2E54">
            <w:pPr>
              <w:keepNext/>
              <w:spacing w:before="75" w:after="30" w:line="200" w:lineRule="auto"/>
              <w:jc w:val="right"/>
            </w:pPr>
            <w:r>
              <w:rPr>
                <w:color w:val="000000"/>
                <w:sz w:val="20"/>
              </w:rPr>
              <w:t>1.25 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798DC5A9" w14:textId="77777777" w:rsidR="00D22731" w:rsidRDefault="00D22731">
            <w:pPr>
              <w:keepNext/>
              <w:spacing w:before="75" w:after="30" w:line="200" w:lineRule="auto"/>
            </w:pPr>
          </w:p>
        </w:tc>
      </w:tr>
      <w:tr w:rsidR="00D22731" w14:paraId="2AA2A032" w14:textId="77777777">
        <w:trPr>
          <w:cantSplit/>
          <w:trHeight w:hRule="exact" w:val="285"/>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3C8785BF" w14:textId="77777777" w:rsidR="00D22731" w:rsidRDefault="00FF2E54">
            <w:pPr>
              <w:keepNext/>
              <w:spacing w:before="75" w:after="30" w:line="200" w:lineRule="auto"/>
              <w:ind w:left="360"/>
            </w:pPr>
            <w:r>
              <w:rPr>
                <w:color w:val="000000"/>
                <w:sz w:val="20"/>
              </w:rPr>
              <w:t>Diluted</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622D7A4" w14:textId="77777777" w:rsidR="00D22731" w:rsidRDefault="00FF2E54">
            <w:pPr>
              <w:keepNext/>
              <w:spacing w:before="55" w:after="30" w:line="200" w:lineRule="auto"/>
            </w:pPr>
            <w:r>
              <w:rPr>
                <w:color w:val="000000"/>
                <w:sz w:val="20"/>
              </w:rPr>
              <w:t>$</w:t>
            </w:r>
          </w:p>
        </w:tc>
        <w:tc>
          <w:tcPr>
            <w:tcW w:w="104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1B76D97" w14:textId="77777777" w:rsidR="00D22731" w:rsidRDefault="00FF2E54">
            <w:pPr>
              <w:keepNext/>
              <w:spacing w:before="55" w:after="30" w:line="200" w:lineRule="auto"/>
              <w:jc w:val="right"/>
            </w:pPr>
            <w:r>
              <w:rPr>
                <w:color w:val="000000"/>
                <w:sz w:val="20"/>
              </w:rPr>
              <w:t>0.75 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F430D8"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029307"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8CF5519" w14:textId="77777777" w:rsidR="00D22731" w:rsidRDefault="00FF2E54">
            <w:pPr>
              <w:keepNext/>
              <w:spacing w:before="55" w:after="30" w:line="200" w:lineRule="auto"/>
            </w:pPr>
            <w:r>
              <w:rPr>
                <w:color w:val="000000"/>
                <w:sz w:val="20"/>
              </w:rPr>
              <w:t>$</w:t>
            </w:r>
          </w:p>
        </w:tc>
        <w:tc>
          <w:tcPr>
            <w:tcW w:w="104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5008CF4" w14:textId="77777777" w:rsidR="00D22731" w:rsidRDefault="00FF2E54">
            <w:pPr>
              <w:keepNext/>
              <w:spacing w:before="55" w:after="30" w:line="200" w:lineRule="auto"/>
              <w:jc w:val="right"/>
            </w:pPr>
            <w:r>
              <w:rPr>
                <w:color w:val="000000"/>
                <w:sz w:val="20"/>
              </w:rPr>
              <w:t>0.46 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12C4390"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289366"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1AB90B7" w14:textId="77777777" w:rsidR="00D22731" w:rsidRDefault="00FF2E54">
            <w:pPr>
              <w:keepNext/>
              <w:spacing w:before="55" w:after="30" w:line="200" w:lineRule="auto"/>
            </w:pPr>
            <w:r>
              <w:rPr>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DDB7C19" w14:textId="77777777" w:rsidR="00D22731" w:rsidRDefault="00FF2E54">
            <w:pPr>
              <w:keepNext/>
              <w:spacing w:before="55" w:after="30" w:line="200" w:lineRule="auto"/>
              <w:jc w:val="right"/>
            </w:pPr>
            <w:r>
              <w:rPr>
                <w:color w:val="000000"/>
                <w:sz w:val="20"/>
              </w:rPr>
              <w:t>2.03 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83486BB"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215786"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427943C" w14:textId="77777777" w:rsidR="00D22731" w:rsidRDefault="00FF2E54">
            <w:pPr>
              <w:keepNext/>
              <w:spacing w:before="55" w:after="30" w:line="200" w:lineRule="auto"/>
            </w:pPr>
            <w:r>
              <w:rPr>
                <w:color w:val="000000"/>
                <w:sz w:val="20"/>
              </w:rPr>
              <w:t>$</w:t>
            </w:r>
          </w:p>
        </w:tc>
        <w:tc>
          <w:tcPr>
            <w:tcW w:w="98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D6E927E" w14:textId="77777777" w:rsidR="00D22731" w:rsidRDefault="00FF2E54">
            <w:pPr>
              <w:keepNext/>
              <w:spacing w:before="55" w:after="30" w:line="200" w:lineRule="auto"/>
              <w:jc w:val="right"/>
            </w:pPr>
            <w:r>
              <w:rPr>
                <w:color w:val="000000"/>
                <w:sz w:val="20"/>
              </w:rPr>
              <w:t>1.22 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F6DDAA" w14:textId="77777777" w:rsidR="00D22731" w:rsidRDefault="00D22731">
            <w:pPr>
              <w:keepNext/>
              <w:spacing w:before="55" w:after="30" w:line="200" w:lineRule="auto"/>
            </w:pPr>
          </w:p>
        </w:tc>
      </w:tr>
      <w:tr w:rsidR="00D22731" w14:paraId="0408FA35" w14:textId="77777777">
        <w:trPr>
          <w:cantSplit/>
          <w:trHeight w:hRule="exact" w:val="285"/>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BE8650C" w14:textId="77777777" w:rsidR="00D22731" w:rsidRDefault="00FF2E54">
            <w:pPr>
              <w:keepNext/>
              <w:spacing w:before="75" w:after="30" w:line="200" w:lineRule="auto"/>
            </w:pPr>
            <w:r>
              <w:rPr>
                <w:color w:val="000000"/>
                <w:sz w:val="20"/>
              </w:rPr>
              <w:t>Weighted-average shares outstanding:</w:t>
            </w: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D7950C1"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1BDC53" w14:textId="77777777" w:rsidR="00D22731" w:rsidRDefault="00D22731">
            <w:pPr>
              <w:keepNext/>
            </w:pPr>
          </w:p>
        </w:tc>
        <w:tc>
          <w:tcPr>
            <w:tcW w:w="130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1E01852"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11D629" w14:textId="77777777" w:rsidR="00D22731" w:rsidRDefault="00D22731">
            <w:pPr>
              <w:keepNext/>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051AA9A"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0AA943" w14:textId="77777777" w:rsidR="00D22731" w:rsidRDefault="00D22731">
            <w:pPr>
              <w:keepNext/>
            </w:pPr>
          </w:p>
        </w:tc>
        <w:tc>
          <w:tcPr>
            <w:tcW w:w="124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C0C6EF0" w14:textId="77777777" w:rsidR="00D22731" w:rsidRDefault="00D22731">
            <w:pPr>
              <w:keepNext/>
            </w:pPr>
          </w:p>
        </w:tc>
      </w:tr>
      <w:tr w:rsidR="00D22731" w14:paraId="3D929FD2" w14:textId="77777777">
        <w:trPr>
          <w:cantSplit/>
          <w:trHeight w:hRule="exact" w:val="300"/>
          <w:jc w:val="center"/>
        </w:trPr>
        <w:tc>
          <w:tcPr>
            <w:tcW w:w="4935" w:type="dxa"/>
            <w:tcBorders>
              <w:top w:val="nil"/>
              <w:left w:val="nil"/>
              <w:bottom w:val="nil"/>
              <w:right w:val="nil"/>
            </w:tcBorders>
            <w:shd w:val="clear" w:color="auto" w:fill="CCEEFF"/>
            <w:tcMar>
              <w:top w:w="0" w:type="dxa"/>
              <w:left w:w="53" w:type="dxa"/>
              <w:bottom w:w="0" w:type="dxa"/>
              <w:right w:w="53" w:type="dxa"/>
            </w:tcMar>
            <w:vAlign w:val="bottom"/>
          </w:tcPr>
          <w:p w14:paraId="67737108" w14:textId="77777777" w:rsidR="00D22731" w:rsidRDefault="00FF2E54">
            <w:pPr>
              <w:keepNext/>
              <w:spacing w:before="75" w:after="30" w:line="200" w:lineRule="auto"/>
              <w:ind w:left="360"/>
            </w:pPr>
            <w:r>
              <w:rPr>
                <w:color w:val="000000"/>
                <w:sz w:val="20"/>
              </w:rPr>
              <w:t>Basic</w:t>
            </w:r>
          </w:p>
        </w:tc>
        <w:tc>
          <w:tcPr>
            <w:tcW w:w="120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52C43F6F" w14:textId="77777777" w:rsidR="00D22731" w:rsidRDefault="00FF2E54">
            <w:pPr>
              <w:keepNext/>
              <w:spacing w:before="75" w:after="30" w:line="200" w:lineRule="auto"/>
              <w:jc w:val="right"/>
            </w:pPr>
            <w:r>
              <w:rPr>
                <w:color w:val="000000"/>
                <w:sz w:val="20"/>
              </w:rPr>
              <w:t>162.1 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DC26502"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A9D5D8" w14:textId="77777777" w:rsidR="00D22731" w:rsidRDefault="00D22731">
            <w:pPr>
              <w:keepNext/>
            </w:pPr>
          </w:p>
        </w:tc>
        <w:tc>
          <w:tcPr>
            <w:tcW w:w="120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4F7D8A52" w14:textId="77777777" w:rsidR="00D22731" w:rsidRDefault="00FF2E54">
            <w:pPr>
              <w:keepNext/>
              <w:spacing w:before="75" w:after="30" w:line="200" w:lineRule="auto"/>
              <w:jc w:val="right"/>
            </w:pPr>
            <w:r>
              <w:rPr>
                <w:color w:val="000000"/>
                <w:sz w:val="20"/>
              </w:rPr>
              <w:t>171.3 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E30573D"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8F84C5" w14:textId="77777777" w:rsidR="00D22731" w:rsidRDefault="00D22731">
            <w:pPr>
              <w:keepNext/>
            </w:pPr>
          </w:p>
        </w:tc>
        <w:tc>
          <w:tcPr>
            <w:tcW w:w="114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7FE54996" w14:textId="77777777" w:rsidR="00D22731" w:rsidRDefault="00FF2E54">
            <w:pPr>
              <w:keepNext/>
              <w:spacing w:before="75" w:after="30" w:line="200" w:lineRule="auto"/>
              <w:jc w:val="right"/>
            </w:pPr>
            <w:r>
              <w:rPr>
                <w:color w:val="000000"/>
                <w:sz w:val="20"/>
              </w:rPr>
              <w:t>164.8 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A44FF66"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06A1ED" w14:textId="77777777" w:rsidR="00D22731" w:rsidRDefault="00D22731">
            <w:pPr>
              <w:keepNext/>
            </w:pPr>
          </w:p>
        </w:tc>
        <w:tc>
          <w:tcPr>
            <w:tcW w:w="1145" w:type="dxa"/>
            <w:gridSpan w:val="2"/>
            <w:tcBorders>
              <w:top w:val="nil"/>
              <w:left w:val="nil"/>
              <w:bottom w:val="double" w:sz="8" w:space="0" w:color="000000"/>
              <w:right w:val="nil"/>
            </w:tcBorders>
            <w:shd w:val="clear" w:color="auto" w:fill="CCEEFF"/>
            <w:tcMar>
              <w:top w:w="0" w:type="dxa"/>
              <w:left w:w="53" w:type="dxa"/>
              <w:bottom w:w="0" w:type="dxa"/>
              <w:right w:w="0" w:type="dxa"/>
            </w:tcMar>
            <w:vAlign w:val="bottom"/>
          </w:tcPr>
          <w:p w14:paraId="6D7EF1F0" w14:textId="77777777" w:rsidR="00D22731" w:rsidRDefault="00FF2E54">
            <w:pPr>
              <w:keepNext/>
              <w:spacing w:before="75" w:after="30" w:line="200" w:lineRule="auto"/>
              <w:jc w:val="right"/>
            </w:pPr>
            <w:r>
              <w:rPr>
                <w:color w:val="000000"/>
                <w:sz w:val="20"/>
              </w:rPr>
              <w:t>170.9 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A147328" w14:textId="77777777" w:rsidR="00D22731" w:rsidRDefault="00D22731">
            <w:pPr>
              <w:keepNext/>
              <w:spacing w:before="75" w:after="30" w:line="200" w:lineRule="auto"/>
            </w:pPr>
          </w:p>
        </w:tc>
      </w:tr>
      <w:tr w:rsidR="00D22731" w14:paraId="16B5B01F" w14:textId="77777777">
        <w:trPr>
          <w:cantSplit/>
          <w:trHeight w:hRule="exact" w:val="300"/>
          <w:jc w:val="center"/>
        </w:trPr>
        <w:tc>
          <w:tcPr>
            <w:tcW w:w="4935" w:type="dxa"/>
            <w:tcBorders>
              <w:top w:val="nil"/>
              <w:left w:val="nil"/>
              <w:bottom w:val="nil"/>
              <w:right w:val="nil"/>
            </w:tcBorders>
            <w:shd w:val="clear" w:color="auto" w:fill="FFFFFF"/>
            <w:tcMar>
              <w:top w:w="0" w:type="dxa"/>
              <w:left w:w="53" w:type="dxa"/>
              <w:bottom w:w="0" w:type="dxa"/>
              <w:right w:w="53" w:type="dxa"/>
            </w:tcMar>
            <w:vAlign w:val="bottom"/>
          </w:tcPr>
          <w:p w14:paraId="3D0A1068" w14:textId="77777777" w:rsidR="00D22731" w:rsidRDefault="00FF2E54">
            <w:pPr>
              <w:spacing w:before="75" w:after="30" w:line="200" w:lineRule="auto"/>
              <w:ind w:left="360"/>
            </w:pPr>
            <w:r>
              <w:rPr>
                <w:color w:val="000000"/>
                <w:sz w:val="20"/>
              </w:rPr>
              <w:t>Diluted</w:t>
            </w:r>
          </w:p>
        </w:tc>
        <w:tc>
          <w:tcPr>
            <w:tcW w:w="120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6244CCF" w14:textId="77777777" w:rsidR="00D22731" w:rsidRDefault="00FF2E54">
            <w:pPr>
              <w:spacing w:before="55" w:after="30" w:line="200" w:lineRule="auto"/>
              <w:jc w:val="right"/>
            </w:pPr>
            <w:r>
              <w:rPr>
                <w:color w:val="000000"/>
                <w:sz w:val="20"/>
              </w:rPr>
              <w:t>165.6 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A371AB" w14:textId="77777777" w:rsidR="00D22731" w:rsidRDefault="00D2273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4CB079" w14:textId="77777777" w:rsidR="00D22731" w:rsidRDefault="00D22731"/>
        </w:tc>
        <w:tc>
          <w:tcPr>
            <w:tcW w:w="120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F1AD578" w14:textId="77777777" w:rsidR="00D22731" w:rsidRDefault="00FF2E54">
            <w:pPr>
              <w:spacing w:before="55" w:after="30" w:line="200" w:lineRule="auto"/>
              <w:jc w:val="right"/>
            </w:pPr>
            <w:r>
              <w:rPr>
                <w:color w:val="000000"/>
                <w:sz w:val="20"/>
              </w:rPr>
              <w:t>174.8 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37C2952" w14:textId="77777777" w:rsidR="00D22731" w:rsidRDefault="00D2273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4A08A1" w14:textId="77777777" w:rsidR="00D22731" w:rsidRDefault="00D22731"/>
        </w:tc>
        <w:tc>
          <w:tcPr>
            <w:tcW w:w="114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C39DA29" w14:textId="77777777" w:rsidR="00D22731" w:rsidRDefault="00FF2E54">
            <w:pPr>
              <w:spacing w:before="55" w:after="30" w:line="200" w:lineRule="auto"/>
              <w:jc w:val="right"/>
            </w:pPr>
            <w:r>
              <w:rPr>
                <w:color w:val="000000"/>
                <w:sz w:val="20"/>
              </w:rPr>
              <w:t>168.4 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2733049" w14:textId="77777777" w:rsidR="00D22731" w:rsidRDefault="00D2273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102EC0" w14:textId="77777777" w:rsidR="00D22731" w:rsidRDefault="00D22731"/>
        </w:tc>
        <w:tc>
          <w:tcPr>
            <w:tcW w:w="1145"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FDE2123" w14:textId="77777777" w:rsidR="00D22731" w:rsidRDefault="00FF2E54">
            <w:pPr>
              <w:spacing w:before="55" w:after="30" w:line="200" w:lineRule="auto"/>
              <w:jc w:val="right"/>
            </w:pPr>
            <w:r>
              <w:rPr>
                <w:color w:val="000000"/>
                <w:sz w:val="20"/>
              </w:rPr>
              <w:t>174.9 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AA2E0E" w14:textId="77777777" w:rsidR="00D22731" w:rsidRDefault="00D22731">
            <w:pPr>
              <w:spacing w:before="55" w:after="30" w:line="200" w:lineRule="auto"/>
            </w:pPr>
          </w:p>
        </w:tc>
      </w:tr>
    </w:tbl>
    <w:p w14:paraId="5332515A" w14:textId="77777777" w:rsidR="00D22731" w:rsidRDefault="00D22731">
      <w:pPr>
        <w:spacing w:before="100" w:line="248" w:lineRule="auto"/>
        <w:jc w:val="center"/>
        <w:rPr>
          <w:sz w:val="20"/>
        </w:rPr>
      </w:pPr>
    </w:p>
    <w:p w14:paraId="4C67DD76" w14:textId="77777777" w:rsidR="00D22731" w:rsidRDefault="00D22731">
      <w:pPr>
        <w:spacing w:line="248" w:lineRule="auto"/>
        <w:jc w:val="center"/>
        <w:rPr>
          <w:sz w:val="20"/>
        </w:rPr>
      </w:pPr>
    </w:p>
    <w:p w14:paraId="47A7C3B2" w14:textId="77777777" w:rsidR="00D22731" w:rsidRDefault="00D22731">
      <w:pPr>
        <w:spacing w:line="248" w:lineRule="auto"/>
        <w:jc w:val="center"/>
        <w:rPr>
          <w:sz w:val="20"/>
        </w:rPr>
      </w:pPr>
    </w:p>
    <w:p w14:paraId="0A0B569D" w14:textId="77777777" w:rsidR="00D22731" w:rsidRDefault="00D22731">
      <w:pPr>
        <w:spacing w:line="248" w:lineRule="auto"/>
        <w:jc w:val="center"/>
        <w:rPr>
          <w:sz w:val="20"/>
        </w:rPr>
      </w:pPr>
    </w:p>
    <w:p w14:paraId="70067B6E" w14:textId="77777777" w:rsidR="00D22731" w:rsidRDefault="00D22731">
      <w:pPr>
        <w:spacing w:line="248" w:lineRule="auto"/>
        <w:jc w:val="center"/>
        <w:rPr>
          <w:sz w:val="20"/>
        </w:rPr>
      </w:pPr>
    </w:p>
    <w:p w14:paraId="43BA2638" w14:textId="77777777" w:rsidR="00D22731" w:rsidRDefault="00D22731">
      <w:pPr>
        <w:spacing w:line="248" w:lineRule="auto"/>
        <w:jc w:val="center"/>
        <w:rPr>
          <w:sz w:val="20"/>
        </w:rPr>
      </w:pPr>
    </w:p>
    <w:p w14:paraId="5759048A" w14:textId="77777777" w:rsidR="00D22731" w:rsidRDefault="00D22731">
      <w:pPr>
        <w:spacing w:line="248" w:lineRule="auto"/>
        <w:jc w:val="center"/>
        <w:rPr>
          <w:sz w:val="20"/>
        </w:rPr>
      </w:pPr>
    </w:p>
    <w:p w14:paraId="0D1005F1" w14:textId="77777777" w:rsidR="00D22731" w:rsidRDefault="00D22731">
      <w:pPr>
        <w:spacing w:line="248" w:lineRule="auto"/>
        <w:jc w:val="center"/>
        <w:rPr>
          <w:sz w:val="20"/>
        </w:rPr>
      </w:pPr>
    </w:p>
    <w:p w14:paraId="3AC09FEE" w14:textId="77777777" w:rsidR="00D22731" w:rsidRDefault="00D22731">
      <w:pPr>
        <w:spacing w:line="248" w:lineRule="auto"/>
        <w:jc w:val="center"/>
        <w:rPr>
          <w:sz w:val="20"/>
        </w:rPr>
      </w:pPr>
    </w:p>
    <w:p w14:paraId="0AC43BD7" w14:textId="77777777" w:rsidR="00D22731" w:rsidRDefault="00D22731">
      <w:pPr>
        <w:spacing w:line="248" w:lineRule="auto"/>
        <w:jc w:val="center"/>
        <w:rPr>
          <w:sz w:val="20"/>
        </w:rPr>
      </w:pPr>
    </w:p>
    <w:p w14:paraId="25385A6F" w14:textId="77777777" w:rsidR="00D22731" w:rsidRDefault="00D22731">
      <w:pPr>
        <w:spacing w:line="248" w:lineRule="auto"/>
        <w:jc w:val="center"/>
        <w:rPr>
          <w:sz w:val="20"/>
        </w:rPr>
      </w:pPr>
    </w:p>
    <w:p w14:paraId="7DF2180E" w14:textId="77777777" w:rsidR="00D22731" w:rsidRDefault="00FF2E54">
      <w:pPr>
        <w:spacing w:line="248" w:lineRule="auto"/>
        <w:rPr>
          <w:b/>
          <w:sz w:val="18"/>
          <w:vertAlign w:val="superscript"/>
        </w:rPr>
      </w:pPr>
      <w:r>
        <w:rPr>
          <w:b/>
          <w:sz w:val="20"/>
          <w:vertAlign w:val="superscript"/>
        </w:rPr>
        <w:t>1</w:t>
      </w:r>
      <w:r>
        <w:rPr>
          <w:sz w:val="20"/>
        </w:rPr>
        <w:t xml:space="preserve"> During the third quarter, Fortinet identified and made an immaterial correction to the recognition of revenue related to certain service contracts, increasing previously reported amounts. The financial results presented for 2019 and 2020 reflect the effects of the correction.</w:t>
      </w:r>
    </w:p>
    <w:p w14:paraId="4B91D915" w14:textId="77777777" w:rsidR="00D22731" w:rsidRDefault="00D22731">
      <w:pPr>
        <w:spacing w:line="248" w:lineRule="auto"/>
        <w:sectPr w:rsidR="00D22731">
          <w:pgSz w:w="12240" w:h="15840"/>
          <w:pgMar w:top="855" w:right="990" w:bottom="855" w:left="990" w:header="270" w:footer="270" w:gutter="0"/>
          <w:cols w:space="708"/>
        </w:sectPr>
      </w:pPr>
    </w:p>
    <w:p w14:paraId="3541C82E" w14:textId="77777777" w:rsidR="00D22731" w:rsidRDefault="00FF2E54">
      <w:pPr>
        <w:spacing w:line="248" w:lineRule="auto"/>
        <w:jc w:val="center"/>
        <w:outlineLvl w:val="0"/>
        <w:rPr>
          <w:b/>
          <w:sz w:val="20"/>
        </w:rPr>
      </w:pPr>
      <w:bookmarkStart w:id="3" w:name="Section4"/>
      <w:bookmarkEnd w:id="3"/>
      <w:r>
        <w:rPr>
          <w:b/>
          <w:sz w:val="20"/>
        </w:rPr>
        <w:lastRenderedPageBreak/>
        <w:t>FORTINET, INC.</w:t>
      </w:r>
    </w:p>
    <w:p w14:paraId="37A9667A" w14:textId="77777777" w:rsidR="00D22731" w:rsidRDefault="00FF2E54">
      <w:pPr>
        <w:spacing w:before="60" w:line="248" w:lineRule="auto"/>
        <w:jc w:val="center"/>
        <w:rPr>
          <w:b/>
          <w:sz w:val="20"/>
        </w:rPr>
      </w:pPr>
      <w:r>
        <w:rPr>
          <w:b/>
          <w:sz w:val="20"/>
        </w:rPr>
        <w:t>CONDENSED CONSOLIDATED STATEMENTS OF CASH FLOWS</w:t>
      </w:r>
      <w:r>
        <w:rPr>
          <w:b/>
          <w:sz w:val="20"/>
          <w:vertAlign w:val="superscript"/>
        </w:rPr>
        <w:t>1</w:t>
      </w:r>
    </w:p>
    <w:p w14:paraId="78CD2105" w14:textId="77777777" w:rsidR="00D22731" w:rsidRDefault="00FF2E54">
      <w:pPr>
        <w:spacing w:after="100" w:line="248" w:lineRule="auto"/>
        <w:jc w:val="center"/>
        <w:rPr>
          <w:b/>
          <w:sz w:val="20"/>
        </w:rPr>
      </w:pPr>
      <w:r>
        <w:rPr>
          <w:b/>
          <w:sz w:val="20"/>
        </w:rPr>
        <w:t>(Unaudited, in millions)</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gridCol w:w="163"/>
        <w:gridCol w:w="1001"/>
        <w:gridCol w:w="102"/>
        <w:gridCol w:w="114"/>
        <w:gridCol w:w="163"/>
        <w:gridCol w:w="1001"/>
        <w:gridCol w:w="102"/>
      </w:tblGrid>
      <w:tr w:rsidR="00D22731" w14:paraId="0362EB85" w14:textId="77777777">
        <w:trPr>
          <w:cantSplit/>
          <w:trHeight w:hRule="exact" w:val="255"/>
        </w:trPr>
        <w:tc>
          <w:tcPr>
            <w:tcW w:w="7680" w:type="dxa"/>
            <w:tcBorders>
              <w:top w:val="nil"/>
              <w:left w:val="nil"/>
              <w:bottom w:val="nil"/>
              <w:right w:val="nil"/>
            </w:tcBorders>
            <w:tcMar>
              <w:top w:w="0" w:type="dxa"/>
              <w:left w:w="53" w:type="dxa"/>
              <w:bottom w:w="0" w:type="dxa"/>
              <w:right w:w="53" w:type="dxa"/>
            </w:tcMar>
            <w:vAlign w:val="bottom"/>
          </w:tcPr>
          <w:p w14:paraId="7078C0B0" w14:textId="77777777" w:rsidR="00D22731" w:rsidRDefault="00FF2E54">
            <w:pPr>
              <w:keepNext/>
              <w:spacing w:before="75" w:after="30" w:line="200" w:lineRule="auto"/>
            </w:pPr>
            <w:r>
              <w:rPr>
                <w:color w:val="000000"/>
                <w:sz w:val="18"/>
              </w:rPr>
              <w:t> </w:t>
            </w:r>
          </w:p>
        </w:tc>
        <w:tc>
          <w:tcPr>
            <w:tcW w:w="2565" w:type="dxa"/>
            <w:gridSpan w:val="7"/>
            <w:tcBorders>
              <w:top w:val="nil"/>
              <w:left w:val="nil"/>
              <w:bottom w:val="nil"/>
              <w:right w:val="nil"/>
            </w:tcBorders>
            <w:tcMar>
              <w:top w:w="0" w:type="dxa"/>
              <w:left w:w="53" w:type="dxa"/>
              <w:bottom w:w="0" w:type="dxa"/>
              <w:right w:w="53" w:type="dxa"/>
            </w:tcMar>
            <w:vAlign w:val="bottom"/>
          </w:tcPr>
          <w:p w14:paraId="63851426" w14:textId="77777777" w:rsidR="00D22731" w:rsidRDefault="00FF2E54">
            <w:pPr>
              <w:keepNext/>
              <w:spacing w:before="75" w:after="30" w:line="200" w:lineRule="auto"/>
              <w:jc w:val="center"/>
            </w:pPr>
            <w:r>
              <w:rPr>
                <w:b/>
                <w:color w:val="000000"/>
                <w:sz w:val="18"/>
              </w:rPr>
              <w:t>Nine Months Ended</w:t>
            </w:r>
          </w:p>
        </w:tc>
      </w:tr>
      <w:tr w:rsidR="00D22731" w14:paraId="4C1295F4" w14:textId="77777777">
        <w:trPr>
          <w:cantSplit/>
          <w:trHeight w:hRule="exact" w:val="645"/>
        </w:trPr>
        <w:tc>
          <w:tcPr>
            <w:tcW w:w="7680" w:type="dxa"/>
            <w:tcBorders>
              <w:top w:val="nil"/>
              <w:left w:val="nil"/>
              <w:bottom w:val="nil"/>
              <w:right w:val="nil"/>
            </w:tcBorders>
            <w:tcMar>
              <w:top w:w="0" w:type="dxa"/>
              <w:left w:w="53" w:type="dxa"/>
              <w:bottom w:w="0" w:type="dxa"/>
              <w:right w:w="53" w:type="dxa"/>
            </w:tcMar>
            <w:vAlign w:val="bottom"/>
          </w:tcPr>
          <w:p w14:paraId="04F20E82" w14:textId="77777777" w:rsidR="00D22731" w:rsidRDefault="00FF2E54">
            <w:pPr>
              <w:keepNext/>
              <w:spacing w:before="75" w:after="30" w:line="200" w:lineRule="auto"/>
              <w:jc w:val="center"/>
            </w:pPr>
            <w:r>
              <w:rPr>
                <w:b/>
                <w:color w:val="000000"/>
                <w:sz w:val="18"/>
              </w:rPr>
              <w:t> </w:t>
            </w: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52345C0" w14:textId="77777777" w:rsidR="00D22731" w:rsidRDefault="00FF2E54">
            <w:pPr>
              <w:keepNext/>
              <w:spacing w:before="55" w:after="30" w:line="200" w:lineRule="auto"/>
              <w:jc w:val="center"/>
            </w:pPr>
            <w:r>
              <w:rPr>
                <w:b/>
                <w:color w:val="000000"/>
                <w:sz w:val="18"/>
              </w:rPr>
              <w:t>September 30,</w:t>
            </w:r>
            <w:r>
              <w:br/>
            </w:r>
            <w:r>
              <w:rPr>
                <w:b/>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537BD40" w14:textId="77777777" w:rsidR="00D22731" w:rsidRDefault="00D22731">
            <w:pPr>
              <w:keepNext/>
            </w:pPr>
          </w:p>
        </w:tc>
        <w:tc>
          <w:tcPr>
            <w:tcW w:w="12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6642CAD" w14:textId="77777777" w:rsidR="00D22731" w:rsidRDefault="00FF2E54">
            <w:pPr>
              <w:keepNext/>
              <w:spacing w:before="55" w:after="30" w:line="200" w:lineRule="auto"/>
              <w:jc w:val="center"/>
            </w:pPr>
            <w:r>
              <w:rPr>
                <w:b/>
                <w:color w:val="000000"/>
                <w:sz w:val="18"/>
              </w:rPr>
              <w:t>September 30,</w:t>
            </w:r>
            <w:r>
              <w:br/>
            </w:r>
            <w:r>
              <w:rPr>
                <w:b/>
                <w:color w:val="000000"/>
                <w:sz w:val="18"/>
              </w:rPr>
              <w:t>2019</w:t>
            </w:r>
          </w:p>
        </w:tc>
      </w:tr>
      <w:tr w:rsidR="00D22731" w14:paraId="40E77322"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00F98D2" w14:textId="77777777" w:rsidR="00D22731" w:rsidRDefault="00FF2E54">
            <w:pPr>
              <w:keepNext/>
              <w:spacing w:before="75" w:after="30" w:line="200" w:lineRule="auto"/>
            </w:pPr>
            <w:r>
              <w:rPr>
                <w:color w:val="000000"/>
                <w:sz w:val="20"/>
              </w:rPr>
              <w:t>CASH FLOWS FROM OPERATING ACTIVITIES:</w:t>
            </w: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1666855"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BD7FFE" w14:textId="77777777" w:rsidR="00D22731" w:rsidRDefault="00D22731">
            <w:pPr>
              <w:keepNext/>
            </w:pPr>
          </w:p>
        </w:tc>
        <w:tc>
          <w:tcPr>
            <w:tcW w:w="124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0E3DED0" w14:textId="77777777" w:rsidR="00D22731" w:rsidRDefault="00D22731">
            <w:pPr>
              <w:keepNext/>
            </w:pPr>
          </w:p>
        </w:tc>
      </w:tr>
      <w:tr w:rsidR="00D22731" w14:paraId="125195F9"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0A38ACB7" w14:textId="77777777" w:rsidR="00D22731" w:rsidRDefault="00FF2E54">
            <w:pPr>
              <w:keepNext/>
              <w:spacing w:before="75" w:after="30" w:line="200" w:lineRule="auto"/>
              <w:ind w:left="360"/>
            </w:pPr>
            <w:r>
              <w:rPr>
                <w:color w:val="000000"/>
                <w:sz w:val="20"/>
              </w:rPr>
              <w:t>Net income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B46AD0A" w14:textId="77777777" w:rsidR="00D22731" w:rsidRDefault="00FF2E54">
            <w:pPr>
              <w:keepNext/>
              <w:spacing w:before="75" w:after="30" w:line="200" w:lineRule="auto"/>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21693A31" w14:textId="77777777" w:rsidR="00D22731" w:rsidRDefault="00FF2E54">
            <w:pPr>
              <w:keepNext/>
              <w:spacing w:before="75" w:after="30" w:line="200" w:lineRule="auto"/>
              <w:jc w:val="right"/>
            </w:pPr>
            <w:r>
              <w:rPr>
                <w:color w:val="000000"/>
                <w:sz w:val="20"/>
              </w:rPr>
              <w:t>341.8 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CEA304F"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4C1D9E" w14:textId="77777777" w:rsidR="00D22731" w:rsidRDefault="00D22731">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61904D9" w14:textId="77777777" w:rsidR="00D22731" w:rsidRDefault="00FF2E54">
            <w:pPr>
              <w:keepNext/>
              <w:spacing w:before="75" w:after="30" w:line="200" w:lineRule="auto"/>
            </w:pPr>
            <w:r>
              <w:rPr>
                <w:color w:val="000000"/>
                <w:sz w:val="20"/>
              </w:rPr>
              <w:t>$</w:t>
            </w:r>
          </w:p>
        </w:tc>
        <w:tc>
          <w:tcPr>
            <w:tcW w:w="985" w:type="dxa"/>
            <w:tcBorders>
              <w:top w:val="nil"/>
              <w:left w:val="nil"/>
              <w:bottom w:val="nil"/>
              <w:right w:val="nil"/>
            </w:tcBorders>
            <w:shd w:val="clear" w:color="auto" w:fill="FFFFFF"/>
            <w:tcMar>
              <w:top w:w="0" w:type="dxa"/>
              <w:left w:w="0" w:type="dxa"/>
              <w:bottom w:w="0" w:type="dxa"/>
              <w:right w:w="0" w:type="dxa"/>
            </w:tcMar>
            <w:vAlign w:val="bottom"/>
          </w:tcPr>
          <w:p w14:paraId="48DBD97D" w14:textId="77777777" w:rsidR="00D22731" w:rsidRDefault="00FF2E54">
            <w:pPr>
              <w:keepNext/>
              <w:spacing w:before="75" w:after="30" w:line="200" w:lineRule="auto"/>
              <w:jc w:val="right"/>
            </w:pPr>
            <w:r>
              <w:rPr>
                <w:color w:val="000000"/>
                <w:sz w:val="20"/>
              </w:rPr>
              <w:t>213.5 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5337663" w14:textId="77777777" w:rsidR="00D22731" w:rsidRDefault="00D22731">
            <w:pPr>
              <w:keepNext/>
              <w:spacing w:before="75" w:after="30" w:line="200" w:lineRule="auto"/>
            </w:pPr>
          </w:p>
        </w:tc>
      </w:tr>
      <w:tr w:rsidR="00D22731" w14:paraId="3A8E0185"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EF33B69" w14:textId="77777777" w:rsidR="00D22731" w:rsidRDefault="00FF2E54">
            <w:pPr>
              <w:keepNext/>
              <w:spacing w:before="75" w:after="30" w:line="200" w:lineRule="auto"/>
              <w:ind w:left="360"/>
            </w:pPr>
            <w:r>
              <w:rPr>
                <w:color w:val="000000"/>
                <w:sz w:val="20"/>
              </w:rPr>
              <w:t>Adjustments to reconcile net income to net cash provided by operating activities: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343B0FB3"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D616B9" w14:textId="77777777" w:rsidR="00D22731" w:rsidRDefault="00D22731">
            <w:pPr>
              <w:keepNext/>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2832A91A" w14:textId="77777777" w:rsidR="00D22731" w:rsidRDefault="00D22731">
            <w:pPr>
              <w:keepNext/>
            </w:pPr>
          </w:p>
        </w:tc>
      </w:tr>
      <w:tr w:rsidR="00D22731" w14:paraId="54831971"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74DD1232" w14:textId="77777777" w:rsidR="00D22731" w:rsidRDefault="00FF2E54">
            <w:pPr>
              <w:keepNext/>
              <w:spacing w:before="75" w:after="30" w:line="200" w:lineRule="auto"/>
              <w:ind w:left="855"/>
            </w:pPr>
            <w:r>
              <w:rPr>
                <w:color w:val="000000"/>
                <w:sz w:val="20"/>
              </w:rPr>
              <w:t>Stock-based compensation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01001EC" w14:textId="77777777" w:rsidR="00D22731" w:rsidRDefault="00FF2E54">
            <w:pPr>
              <w:keepNext/>
              <w:spacing w:before="75" w:after="30" w:line="200" w:lineRule="auto"/>
              <w:jc w:val="right"/>
            </w:pPr>
            <w:r>
              <w:rPr>
                <w:color w:val="000000"/>
                <w:sz w:val="20"/>
              </w:rPr>
              <w:t>143.0 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269B04"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15D1F4"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D244DE3" w14:textId="77777777" w:rsidR="00D22731" w:rsidRDefault="00FF2E54">
            <w:pPr>
              <w:keepNext/>
              <w:spacing w:before="75" w:after="30" w:line="200" w:lineRule="auto"/>
              <w:jc w:val="right"/>
            </w:pPr>
            <w:r>
              <w:rPr>
                <w:color w:val="000000"/>
                <w:sz w:val="20"/>
              </w:rPr>
              <w:t>130.4 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CCEBE8" w14:textId="77777777" w:rsidR="00D22731" w:rsidRDefault="00D22731">
            <w:pPr>
              <w:keepNext/>
              <w:spacing w:before="75" w:after="30" w:line="200" w:lineRule="auto"/>
            </w:pPr>
          </w:p>
        </w:tc>
      </w:tr>
      <w:tr w:rsidR="00D22731" w14:paraId="1070D6E3"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473EF0C" w14:textId="77777777" w:rsidR="00D22731" w:rsidRDefault="00FF2E54">
            <w:pPr>
              <w:keepNext/>
              <w:spacing w:before="75" w:after="30" w:line="200" w:lineRule="auto"/>
              <w:ind w:left="855"/>
            </w:pPr>
            <w:r>
              <w:rPr>
                <w:color w:val="000000"/>
                <w:sz w:val="20"/>
              </w:rPr>
              <w:t>Amortization of deferred contract costs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EA687E3" w14:textId="77777777" w:rsidR="00D22731" w:rsidRDefault="00FF2E54">
            <w:pPr>
              <w:keepNext/>
              <w:spacing w:before="75" w:after="30" w:line="200" w:lineRule="auto"/>
              <w:jc w:val="right"/>
            </w:pPr>
            <w:r>
              <w:rPr>
                <w:color w:val="000000"/>
                <w:sz w:val="20"/>
              </w:rPr>
              <w:t>99.8 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B7D1D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FA6F7D"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D93D957" w14:textId="77777777" w:rsidR="00D22731" w:rsidRDefault="00FF2E54">
            <w:pPr>
              <w:keepNext/>
              <w:spacing w:before="75" w:after="30" w:line="200" w:lineRule="auto"/>
              <w:jc w:val="right"/>
            </w:pPr>
            <w:r>
              <w:rPr>
                <w:color w:val="000000"/>
                <w:sz w:val="20"/>
              </w:rPr>
              <w:t>78.5 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C05AAA8" w14:textId="77777777" w:rsidR="00D22731" w:rsidRDefault="00D22731">
            <w:pPr>
              <w:keepNext/>
              <w:spacing w:before="75" w:after="30" w:line="200" w:lineRule="auto"/>
            </w:pPr>
          </w:p>
        </w:tc>
      </w:tr>
      <w:tr w:rsidR="00D22731" w14:paraId="7C20C951"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3F06C80" w14:textId="77777777" w:rsidR="00D22731" w:rsidRDefault="00FF2E54">
            <w:pPr>
              <w:keepNext/>
              <w:spacing w:before="75" w:after="30" w:line="200" w:lineRule="auto"/>
              <w:ind w:left="855"/>
            </w:pPr>
            <w:r>
              <w:rPr>
                <w:color w:val="000000"/>
                <w:sz w:val="20"/>
              </w:rPr>
              <w:t>Depreciation and amortization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97F4084" w14:textId="77777777" w:rsidR="00D22731" w:rsidRDefault="00FF2E54">
            <w:pPr>
              <w:keepNext/>
              <w:spacing w:before="75" w:after="30" w:line="200" w:lineRule="auto"/>
              <w:jc w:val="right"/>
            </w:pPr>
            <w:r>
              <w:rPr>
                <w:color w:val="000000"/>
                <w:sz w:val="20"/>
              </w:rPr>
              <w:t>52.1 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DAF5E0"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1757C2"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28E8EF5" w14:textId="77777777" w:rsidR="00D22731" w:rsidRDefault="00FF2E54">
            <w:pPr>
              <w:keepNext/>
              <w:spacing w:before="75" w:after="30" w:line="200" w:lineRule="auto"/>
              <w:jc w:val="right"/>
            </w:pPr>
            <w:r>
              <w:rPr>
                <w:color w:val="000000"/>
                <w:sz w:val="20"/>
              </w:rPr>
              <w:t>45.9 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0F32E8" w14:textId="77777777" w:rsidR="00D22731" w:rsidRDefault="00D22731">
            <w:pPr>
              <w:keepNext/>
              <w:spacing w:before="75" w:after="30" w:line="200" w:lineRule="auto"/>
            </w:pPr>
          </w:p>
        </w:tc>
      </w:tr>
      <w:tr w:rsidR="00D22731" w14:paraId="5CEFE76C"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10D81CDE" w14:textId="77777777" w:rsidR="00D22731" w:rsidRDefault="00FF2E54">
            <w:pPr>
              <w:keepNext/>
              <w:spacing w:before="75" w:after="30" w:line="200" w:lineRule="auto"/>
              <w:ind w:left="855"/>
            </w:pPr>
            <w:r>
              <w:rPr>
                <w:color w:val="000000"/>
                <w:sz w:val="20"/>
              </w:rPr>
              <w:t>Amortization of investment discounts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DD82E9D" w14:textId="77777777" w:rsidR="00D22731" w:rsidRDefault="00FF2E54">
            <w:pPr>
              <w:keepNext/>
              <w:spacing w:before="75" w:after="30" w:line="200" w:lineRule="auto"/>
              <w:jc w:val="right"/>
            </w:pPr>
            <w:r>
              <w:rPr>
                <w:color w:val="000000"/>
                <w:sz w:val="20"/>
              </w:rPr>
              <w:t>0.2 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9811F30"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9672B1"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BBACCB0" w14:textId="77777777" w:rsidR="00D22731" w:rsidRDefault="00FF2E54">
            <w:pPr>
              <w:keepNext/>
              <w:spacing w:before="75" w:after="30" w:line="200" w:lineRule="auto"/>
              <w:jc w:val="right"/>
            </w:pPr>
            <w:r>
              <w:rPr>
                <w:color w:val="000000"/>
                <w:sz w:val="20"/>
              </w:rPr>
              <w:t>(4.7)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4B545A" w14:textId="77777777" w:rsidR="00D22731" w:rsidRDefault="00D22731">
            <w:pPr>
              <w:keepNext/>
              <w:spacing w:before="75" w:after="30" w:line="200" w:lineRule="auto"/>
            </w:pPr>
          </w:p>
        </w:tc>
      </w:tr>
      <w:tr w:rsidR="00D22731" w14:paraId="28B667F0"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7A8DF532" w14:textId="77777777" w:rsidR="00D22731" w:rsidRDefault="00FF2E54">
            <w:pPr>
              <w:keepNext/>
              <w:spacing w:before="75" w:after="30" w:line="200" w:lineRule="auto"/>
              <w:ind w:left="855"/>
            </w:pPr>
            <w:r>
              <w:rPr>
                <w:color w:val="000000"/>
                <w:sz w:val="20"/>
              </w:rPr>
              <w:t>Other</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3046CA3" w14:textId="77777777" w:rsidR="00D22731" w:rsidRDefault="00FF2E54">
            <w:pPr>
              <w:keepNext/>
              <w:spacing w:before="75" w:after="30" w:line="200" w:lineRule="auto"/>
              <w:jc w:val="right"/>
            </w:pPr>
            <w:r>
              <w:rPr>
                <w:color w:val="000000"/>
                <w:sz w:val="20"/>
              </w:rPr>
              <w:t>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C86B3A"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C66AE2"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0FF3FA2" w14:textId="77777777" w:rsidR="00D22731" w:rsidRDefault="00FF2E54">
            <w:pPr>
              <w:keepNext/>
              <w:spacing w:before="75" w:after="30" w:line="200" w:lineRule="auto"/>
              <w:jc w:val="right"/>
            </w:pPr>
            <w:r>
              <w:rPr>
                <w:color w:val="000000"/>
                <w:sz w:val="20"/>
              </w:rPr>
              <w:t>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391A66" w14:textId="77777777" w:rsidR="00D22731" w:rsidRDefault="00D22731">
            <w:pPr>
              <w:keepNext/>
              <w:spacing w:before="75" w:after="30" w:line="200" w:lineRule="auto"/>
            </w:pPr>
          </w:p>
        </w:tc>
      </w:tr>
      <w:tr w:rsidR="00D22731" w14:paraId="3AFB9309"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78BE3475" w14:textId="77777777" w:rsidR="00D22731" w:rsidRDefault="00FF2E54">
            <w:pPr>
              <w:keepNext/>
              <w:spacing w:before="75" w:after="30" w:line="200" w:lineRule="auto"/>
              <w:ind w:left="855"/>
            </w:pPr>
            <w:r>
              <w:rPr>
                <w:color w:val="000000"/>
                <w:sz w:val="20"/>
              </w:rPr>
              <w:t>Changes in operating assets and liabilities:</w:t>
            </w: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33EF5747"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F4127C" w14:textId="77777777" w:rsidR="00D22731" w:rsidRDefault="00D22731">
            <w:pPr>
              <w:keepNext/>
            </w:pPr>
          </w:p>
        </w:tc>
        <w:tc>
          <w:tcPr>
            <w:tcW w:w="1245" w:type="dxa"/>
            <w:gridSpan w:val="3"/>
            <w:tcBorders>
              <w:top w:val="nil"/>
              <w:left w:val="nil"/>
              <w:bottom w:val="nil"/>
              <w:right w:val="nil"/>
            </w:tcBorders>
            <w:shd w:val="clear" w:color="auto" w:fill="CCEEFF"/>
            <w:tcMar>
              <w:top w:w="0" w:type="dxa"/>
              <w:left w:w="0" w:type="dxa"/>
              <w:bottom w:w="0" w:type="dxa"/>
              <w:right w:w="0" w:type="dxa"/>
            </w:tcMar>
            <w:vAlign w:val="bottom"/>
          </w:tcPr>
          <w:p w14:paraId="51761B21" w14:textId="77777777" w:rsidR="00D22731" w:rsidRDefault="00D22731">
            <w:pPr>
              <w:keepNext/>
            </w:pPr>
          </w:p>
        </w:tc>
      </w:tr>
      <w:tr w:rsidR="00D22731" w14:paraId="3502CC89"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0449623" w14:textId="77777777" w:rsidR="00D22731" w:rsidRDefault="00FF2E54">
            <w:pPr>
              <w:keepNext/>
              <w:spacing w:before="75" w:after="30" w:line="200" w:lineRule="auto"/>
              <w:ind w:left="1215"/>
            </w:pPr>
            <w:r>
              <w:rPr>
                <w:color w:val="000000"/>
                <w:sz w:val="20"/>
              </w:rPr>
              <w:t xml:space="preserve">Accounts </w:t>
            </w:r>
            <w:proofErr w:type="gramStart"/>
            <w:r>
              <w:rPr>
                <w:color w:val="000000"/>
                <w:sz w:val="20"/>
              </w:rPr>
              <w:t>receivable—net</w:t>
            </w:r>
            <w:proofErr w:type="gramEnd"/>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2409CB3" w14:textId="77777777" w:rsidR="00D22731" w:rsidRDefault="00FF2E54">
            <w:pPr>
              <w:keepNext/>
              <w:spacing w:before="75" w:after="30" w:line="200" w:lineRule="auto"/>
              <w:jc w:val="right"/>
            </w:pPr>
            <w:r>
              <w:rPr>
                <w:color w:val="000000"/>
                <w:sz w:val="20"/>
              </w:rPr>
              <w:t>(3.1)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3C84CA7"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318366"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48ACD00" w14:textId="77777777" w:rsidR="00D22731" w:rsidRDefault="00FF2E54">
            <w:pPr>
              <w:keepNext/>
              <w:spacing w:before="75" w:after="30" w:line="200" w:lineRule="auto"/>
              <w:jc w:val="right"/>
            </w:pPr>
            <w:r>
              <w:rPr>
                <w:color w:val="000000"/>
                <w:sz w:val="20"/>
              </w:rPr>
              <w:t>60.5 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E75709" w14:textId="77777777" w:rsidR="00D22731" w:rsidRDefault="00D22731">
            <w:pPr>
              <w:keepNext/>
              <w:spacing w:before="75" w:after="30" w:line="200" w:lineRule="auto"/>
            </w:pPr>
          </w:p>
        </w:tc>
      </w:tr>
      <w:tr w:rsidR="00D22731" w14:paraId="4F0C3DF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76D7C8F" w14:textId="77777777" w:rsidR="00D22731" w:rsidRDefault="00FF2E54">
            <w:pPr>
              <w:keepNext/>
              <w:spacing w:before="75" w:after="30" w:line="200" w:lineRule="auto"/>
              <w:ind w:left="1215"/>
            </w:pPr>
            <w:r>
              <w:rPr>
                <w:color w:val="000000"/>
                <w:sz w:val="20"/>
              </w:rPr>
              <w:t>Inventory</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E505D27" w14:textId="77777777" w:rsidR="00D22731" w:rsidRDefault="00FF2E54">
            <w:pPr>
              <w:keepNext/>
              <w:spacing w:before="75" w:after="30" w:line="200" w:lineRule="auto"/>
              <w:jc w:val="right"/>
            </w:pPr>
            <w:r>
              <w:rPr>
                <w:color w:val="000000"/>
                <w:sz w:val="20"/>
              </w:rPr>
              <w:t>(31.0)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128DE3"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DA2CCE"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2F5D80B" w14:textId="77777777" w:rsidR="00D22731" w:rsidRDefault="00FF2E54">
            <w:pPr>
              <w:keepNext/>
              <w:spacing w:before="75" w:after="30" w:line="200" w:lineRule="auto"/>
              <w:jc w:val="right"/>
            </w:pPr>
            <w:r>
              <w:rPr>
                <w:color w:val="000000"/>
                <w:sz w:val="20"/>
              </w:rPr>
              <w:t>(25.2)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6DE58D" w14:textId="77777777" w:rsidR="00D22731" w:rsidRDefault="00D22731">
            <w:pPr>
              <w:keepNext/>
              <w:spacing w:before="75" w:after="30" w:line="200" w:lineRule="auto"/>
            </w:pPr>
          </w:p>
        </w:tc>
      </w:tr>
      <w:tr w:rsidR="00D22731" w14:paraId="3954ABA6"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23B234BA" w14:textId="77777777" w:rsidR="00D22731" w:rsidRDefault="00FF2E54">
            <w:pPr>
              <w:keepNext/>
              <w:spacing w:before="75" w:after="30" w:line="200" w:lineRule="auto"/>
              <w:ind w:left="1215"/>
            </w:pPr>
            <w:r>
              <w:rPr>
                <w:color w:val="000000"/>
                <w:sz w:val="20"/>
              </w:rPr>
              <w:t>Prepaid expenses and other current assets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69D910D" w14:textId="77777777" w:rsidR="00D22731" w:rsidRDefault="00FF2E54">
            <w:pPr>
              <w:keepNext/>
              <w:spacing w:before="75" w:after="30" w:line="200" w:lineRule="auto"/>
              <w:jc w:val="right"/>
            </w:pPr>
            <w:r>
              <w:rPr>
                <w:color w:val="000000"/>
                <w:sz w:val="20"/>
              </w:rPr>
              <w:t>(4.6)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D24C27"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C0695B"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2396A532" w14:textId="77777777" w:rsidR="00D22731" w:rsidRDefault="00FF2E54">
            <w:pPr>
              <w:keepNext/>
              <w:spacing w:before="75" w:after="30" w:line="200" w:lineRule="auto"/>
              <w:jc w:val="right"/>
            </w:pPr>
            <w:r>
              <w:rPr>
                <w:color w:val="000000"/>
                <w:sz w:val="20"/>
              </w:rPr>
              <w:t>(6.3)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4C4089" w14:textId="77777777" w:rsidR="00D22731" w:rsidRDefault="00D22731">
            <w:pPr>
              <w:keepNext/>
              <w:spacing w:before="75" w:after="30" w:line="200" w:lineRule="auto"/>
            </w:pPr>
          </w:p>
        </w:tc>
      </w:tr>
      <w:tr w:rsidR="00D22731" w14:paraId="39313DE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049DE05" w14:textId="77777777" w:rsidR="00D22731" w:rsidRDefault="00FF2E54">
            <w:pPr>
              <w:keepNext/>
              <w:spacing w:before="75" w:after="30" w:line="200" w:lineRule="auto"/>
              <w:ind w:left="1215"/>
            </w:pPr>
            <w:r>
              <w:rPr>
                <w:color w:val="000000"/>
                <w:sz w:val="20"/>
              </w:rPr>
              <w:t>Deferred contract costs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CD709B5" w14:textId="77777777" w:rsidR="00D22731" w:rsidRDefault="00FF2E54">
            <w:pPr>
              <w:keepNext/>
              <w:spacing w:before="75" w:after="30" w:line="200" w:lineRule="auto"/>
              <w:jc w:val="right"/>
            </w:pPr>
            <w:r>
              <w:rPr>
                <w:color w:val="000000"/>
                <w:sz w:val="20"/>
              </w:rPr>
              <w:t>(143.9)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9C3ED2"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22CCE4"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31B0F0E" w14:textId="77777777" w:rsidR="00D22731" w:rsidRDefault="00FF2E54">
            <w:pPr>
              <w:keepNext/>
              <w:spacing w:before="75" w:after="30" w:line="200" w:lineRule="auto"/>
              <w:jc w:val="right"/>
            </w:pPr>
            <w:r>
              <w:rPr>
                <w:color w:val="000000"/>
                <w:sz w:val="20"/>
              </w:rPr>
              <w:t>(113.1)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1D902F" w14:textId="77777777" w:rsidR="00D22731" w:rsidRDefault="00D22731">
            <w:pPr>
              <w:keepNext/>
              <w:spacing w:before="75" w:after="30" w:line="200" w:lineRule="auto"/>
            </w:pPr>
          </w:p>
        </w:tc>
      </w:tr>
      <w:tr w:rsidR="00D22731" w14:paraId="53BB8987"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120B73D" w14:textId="77777777" w:rsidR="00D22731" w:rsidRDefault="00FF2E54">
            <w:pPr>
              <w:keepNext/>
              <w:spacing w:before="75" w:after="30" w:line="200" w:lineRule="auto"/>
              <w:ind w:left="1215"/>
            </w:pPr>
            <w:r>
              <w:rPr>
                <w:color w:val="000000"/>
                <w:sz w:val="20"/>
              </w:rPr>
              <w:t>Deferred tax assets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F225D5A" w14:textId="77777777" w:rsidR="00D22731" w:rsidRDefault="00FF2E54">
            <w:pPr>
              <w:keepNext/>
              <w:spacing w:before="75" w:after="30" w:line="200" w:lineRule="auto"/>
              <w:jc w:val="right"/>
            </w:pPr>
            <w:r>
              <w:rPr>
                <w:color w:val="000000"/>
                <w:sz w:val="20"/>
              </w:rPr>
              <w:t>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641664"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BBEC38"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A61FDC7" w14:textId="77777777" w:rsidR="00D22731" w:rsidRDefault="00FF2E54">
            <w:pPr>
              <w:keepNext/>
              <w:spacing w:before="75" w:after="30" w:line="200" w:lineRule="auto"/>
              <w:jc w:val="right"/>
            </w:pPr>
            <w:r>
              <w:rPr>
                <w:color w:val="000000"/>
                <w:sz w:val="20"/>
              </w:rPr>
              <w:t>11.5 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51A88A" w14:textId="77777777" w:rsidR="00D22731" w:rsidRDefault="00D22731">
            <w:pPr>
              <w:keepNext/>
              <w:spacing w:before="75" w:after="30" w:line="200" w:lineRule="auto"/>
            </w:pPr>
          </w:p>
        </w:tc>
      </w:tr>
      <w:tr w:rsidR="00D22731" w14:paraId="3FFCBC72"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5C97E040" w14:textId="77777777" w:rsidR="00D22731" w:rsidRDefault="00FF2E54">
            <w:pPr>
              <w:keepNext/>
              <w:spacing w:before="75" w:after="30" w:line="200" w:lineRule="auto"/>
              <w:ind w:left="1215"/>
            </w:pPr>
            <w:r>
              <w:rPr>
                <w:color w:val="000000"/>
                <w:sz w:val="20"/>
              </w:rPr>
              <w:t>Other assets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982D9C8" w14:textId="77777777" w:rsidR="00D22731" w:rsidRDefault="00FF2E54">
            <w:pPr>
              <w:keepNext/>
              <w:spacing w:before="75" w:after="30" w:line="200" w:lineRule="auto"/>
              <w:jc w:val="right"/>
            </w:pPr>
            <w:r>
              <w:rPr>
                <w:color w:val="000000"/>
                <w:sz w:val="20"/>
              </w:rPr>
              <w:t>(2.0)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E9A207"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F9AE41"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619EA092" w14:textId="77777777" w:rsidR="00D22731" w:rsidRDefault="00FF2E54">
            <w:pPr>
              <w:keepNext/>
              <w:spacing w:before="75" w:after="30" w:line="200" w:lineRule="auto"/>
              <w:jc w:val="right"/>
            </w:pPr>
            <w:r>
              <w:rPr>
                <w:color w:val="000000"/>
                <w:sz w:val="20"/>
              </w:rPr>
              <w:t>(0.8)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82DA48" w14:textId="77777777" w:rsidR="00D22731" w:rsidRDefault="00D22731">
            <w:pPr>
              <w:keepNext/>
              <w:spacing w:before="75" w:after="30" w:line="200" w:lineRule="auto"/>
            </w:pPr>
          </w:p>
        </w:tc>
      </w:tr>
      <w:tr w:rsidR="00D22731" w14:paraId="7DA8257C"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DD63568" w14:textId="77777777" w:rsidR="00D22731" w:rsidRDefault="00FF2E54">
            <w:pPr>
              <w:keepNext/>
              <w:spacing w:before="75" w:after="30" w:line="200" w:lineRule="auto"/>
              <w:ind w:left="1215"/>
            </w:pPr>
            <w:r>
              <w:rPr>
                <w:color w:val="000000"/>
                <w:sz w:val="20"/>
              </w:rPr>
              <w:t>Accounts payable</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DCBC85E" w14:textId="77777777" w:rsidR="00D22731" w:rsidRDefault="00FF2E54">
            <w:pPr>
              <w:keepNext/>
              <w:spacing w:before="75" w:after="30" w:line="200" w:lineRule="auto"/>
              <w:jc w:val="right"/>
            </w:pPr>
            <w:r>
              <w:rPr>
                <w:color w:val="000000"/>
                <w:sz w:val="20"/>
              </w:rPr>
              <w:t>(4.2)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D2CC71"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F9BC20"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09B316DB" w14:textId="77777777" w:rsidR="00D22731" w:rsidRDefault="00FF2E54">
            <w:pPr>
              <w:keepNext/>
              <w:spacing w:before="75" w:after="30" w:line="200" w:lineRule="auto"/>
              <w:jc w:val="right"/>
            </w:pPr>
            <w:r>
              <w:rPr>
                <w:color w:val="000000"/>
                <w:sz w:val="20"/>
              </w:rPr>
              <w:t>(6.2)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6809385" w14:textId="77777777" w:rsidR="00D22731" w:rsidRDefault="00D22731">
            <w:pPr>
              <w:keepNext/>
              <w:spacing w:before="75" w:after="30" w:line="200" w:lineRule="auto"/>
            </w:pPr>
          </w:p>
        </w:tc>
      </w:tr>
      <w:tr w:rsidR="00D22731" w14:paraId="00C9839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36B313E3" w14:textId="77777777" w:rsidR="00D22731" w:rsidRDefault="00FF2E54">
            <w:pPr>
              <w:keepNext/>
              <w:spacing w:before="75" w:after="30" w:line="200" w:lineRule="auto"/>
              <w:ind w:left="1215"/>
            </w:pPr>
            <w:r>
              <w:rPr>
                <w:color w:val="000000"/>
                <w:sz w:val="20"/>
              </w:rPr>
              <w:t>Accrued liabilities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F0EBF76" w14:textId="77777777" w:rsidR="00D22731" w:rsidRDefault="00FF2E54">
            <w:pPr>
              <w:keepNext/>
              <w:spacing w:before="75" w:after="30" w:line="200" w:lineRule="auto"/>
              <w:jc w:val="right"/>
            </w:pPr>
            <w:r>
              <w:rPr>
                <w:color w:val="000000"/>
                <w:sz w:val="20"/>
              </w:rPr>
              <w:t>16.5 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D3DD18"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D5C9A5"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1A5964E" w14:textId="77777777" w:rsidR="00D22731" w:rsidRDefault="00FF2E54">
            <w:pPr>
              <w:keepNext/>
              <w:spacing w:before="75" w:after="30" w:line="200" w:lineRule="auto"/>
              <w:jc w:val="right"/>
            </w:pPr>
            <w:r>
              <w:rPr>
                <w:color w:val="000000"/>
                <w:sz w:val="20"/>
              </w:rPr>
              <w:t>(16.6)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842698" w14:textId="77777777" w:rsidR="00D22731" w:rsidRDefault="00D22731">
            <w:pPr>
              <w:keepNext/>
              <w:spacing w:before="75" w:after="30" w:line="200" w:lineRule="auto"/>
            </w:pPr>
          </w:p>
        </w:tc>
      </w:tr>
      <w:tr w:rsidR="00D22731" w14:paraId="387EE112"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4DCA00C3" w14:textId="77777777" w:rsidR="00D22731" w:rsidRDefault="00FF2E54">
            <w:pPr>
              <w:keepNext/>
              <w:spacing w:before="75" w:after="30" w:line="200" w:lineRule="auto"/>
              <w:ind w:left="1215"/>
            </w:pPr>
            <w:r>
              <w:rPr>
                <w:color w:val="000000"/>
                <w:sz w:val="20"/>
              </w:rPr>
              <w:t>Accrued payroll and compensation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598C0890" w14:textId="77777777" w:rsidR="00D22731" w:rsidRDefault="00FF2E54">
            <w:pPr>
              <w:keepNext/>
              <w:spacing w:before="75" w:after="30" w:line="200" w:lineRule="auto"/>
              <w:jc w:val="right"/>
            </w:pPr>
            <w:r>
              <w:rPr>
                <w:color w:val="000000"/>
                <w:sz w:val="20"/>
              </w:rPr>
              <w:t>19.5 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C316BCE"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01A277"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CC286F9" w14:textId="77777777" w:rsidR="00D22731" w:rsidRDefault="00FF2E54">
            <w:pPr>
              <w:keepNext/>
              <w:spacing w:before="75" w:after="30" w:line="200" w:lineRule="auto"/>
              <w:jc w:val="right"/>
            </w:pPr>
            <w:r>
              <w:rPr>
                <w:color w:val="000000"/>
                <w:sz w:val="20"/>
              </w:rPr>
              <w:t>(9.5)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C0CCD6" w14:textId="77777777" w:rsidR="00D22731" w:rsidRDefault="00D22731">
            <w:pPr>
              <w:keepNext/>
              <w:spacing w:before="75" w:after="30" w:line="200" w:lineRule="auto"/>
            </w:pPr>
          </w:p>
        </w:tc>
      </w:tr>
      <w:tr w:rsidR="00D22731" w14:paraId="285A6C87"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768D3345" w14:textId="77777777" w:rsidR="00D22731" w:rsidRDefault="00FF2E54">
            <w:pPr>
              <w:keepNext/>
              <w:spacing w:before="75" w:after="30" w:line="200" w:lineRule="auto"/>
              <w:ind w:left="1215"/>
            </w:pPr>
            <w:r>
              <w:rPr>
                <w:color w:val="000000"/>
                <w:sz w:val="20"/>
              </w:rPr>
              <w:t>Other liabilities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21F4E610" w14:textId="77777777" w:rsidR="00D22731" w:rsidRDefault="00FF2E54">
            <w:pPr>
              <w:keepNext/>
              <w:spacing w:before="75" w:after="30" w:line="200" w:lineRule="auto"/>
              <w:jc w:val="right"/>
            </w:pPr>
            <w:r>
              <w:rPr>
                <w:color w:val="000000"/>
                <w:sz w:val="20"/>
              </w:rPr>
              <w:t>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2AC15D"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48E68D"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1C179EE" w14:textId="77777777" w:rsidR="00D22731" w:rsidRDefault="00FF2E54">
            <w:pPr>
              <w:keepNext/>
              <w:spacing w:before="75" w:after="30" w:line="200" w:lineRule="auto"/>
              <w:jc w:val="right"/>
            </w:pPr>
            <w:r>
              <w:rPr>
                <w:color w:val="000000"/>
                <w:sz w:val="20"/>
              </w:rPr>
              <w:t>(1.0)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6F569B" w14:textId="77777777" w:rsidR="00D22731" w:rsidRDefault="00D22731">
            <w:pPr>
              <w:keepNext/>
              <w:spacing w:before="75" w:after="30" w:line="200" w:lineRule="auto"/>
            </w:pPr>
          </w:p>
        </w:tc>
      </w:tr>
      <w:tr w:rsidR="00D22731" w14:paraId="5DAFACA7"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00236F5" w14:textId="77777777" w:rsidR="00D22731" w:rsidRDefault="00FF2E54">
            <w:pPr>
              <w:keepNext/>
              <w:spacing w:before="75" w:after="30" w:line="200" w:lineRule="auto"/>
              <w:ind w:left="1215"/>
            </w:pPr>
            <w:r>
              <w:rPr>
                <w:color w:val="000000"/>
                <w:sz w:val="20"/>
              </w:rPr>
              <w:t>Deferred revenue</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0032C85" w14:textId="77777777" w:rsidR="00D22731" w:rsidRDefault="00FF2E54">
            <w:pPr>
              <w:keepNext/>
              <w:spacing w:before="75" w:after="30" w:line="200" w:lineRule="auto"/>
              <w:jc w:val="right"/>
            </w:pPr>
            <w:r>
              <w:rPr>
                <w:color w:val="000000"/>
                <w:sz w:val="20"/>
              </w:rPr>
              <w:t>282.6 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4CFCA26"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8AF9DB" w14:textId="77777777" w:rsidR="00D22731" w:rsidRDefault="00D22731">
            <w:pPr>
              <w:keepNex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8A02FB0" w14:textId="77777777" w:rsidR="00D22731" w:rsidRDefault="00FF2E54">
            <w:pPr>
              <w:keepNext/>
              <w:spacing w:before="75" w:after="30" w:line="200" w:lineRule="auto"/>
              <w:jc w:val="right"/>
            </w:pPr>
            <w:r>
              <w:rPr>
                <w:color w:val="000000"/>
                <w:sz w:val="20"/>
              </w:rPr>
              <w:t>255.7 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522059" w14:textId="77777777" w:rsidR="00D22731" w:rsidRDefault="00D22731">
            <w:pPr>
              <w:keepNext/>
              <w:spacing w:before="75" w:after="30" w:line="200" w:lineRule="auto"/>
            </w:pPr>
          </w:p>
        </w:tc>
      </w:tr>
      <w:tr w:rsidR="00D22731" w14:paraId="7193A776" w14:textId="77777777">
        <w:trPr>
          <w:cantSplit/>
          <w:trHeight w:hRule="exact" w:val="28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377F76F5" w14:textId="77777777" w:rsidR="00D22731" w:rsidRDefault="00FF2E54">
            <w:pPr>
              <w:keepNext/>
              <w:spacing w:before="75" w:after="30" w:line="200" w:lineRule="auto"/>
              <w:ind w:left="1575"/>
            </w:pPr>
            <w:r>
              <w:rPr>
                <w:color w:val="000000"/>
                <w:sz w:val="20"/>
              </w:rPr>
              <w:t>Net cash provided by operating activities</w:t>
            </w: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0036B3F" w14:textId="77777777" w:rsidR="00D22731" w:rsidRDefault="00FF2E54">
            <w:pPr>
              <w:keepNext/>
              <w:spacing w:before="55" w:after="30" w:line="200" w:lineRule="auto"/>
              <w:jc w:val="right"/>
            </w:pPr>
            <w:r>
              <w:rPr>
                <w:color w:val="000000"/>
                <w:sz w:val="20"/>
              </w:rPr>
              <w:t>787.2 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E362C5A"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5031B7"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2901C16" w14:textId="77777777" w:rsidR="00D22731" w:rsidRDefault="00FF2E54">
            <w:pPr>
              <w:keepNext/>
              <w:spacing w:before="55" w:after="30" w:line="200" w:lineRule="auto"/>
              <w:jc w:val="right"/>
            </w:pPr>
            <w:r>
              <w:rPr>
                <w:color w:val="000000"/>
                <w:sz w:val="20"/>
              </w:rPr>
              <w:t>617.6 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D925354" w14:textId="77777777" w:rsidR="00D22731" w:rsidRDefault="00D22731">
            <w:pPr>
              <w:keepNext/>
              <w:spacing w:before="55" w:after="30" w:line="200" w:lineRule="auto"/>
            </w:pPr>
          </w:p>
        </w:tc>
      </w:tr>
      <w:tr w:rsidR="00D22731" w14:paraId="3F701814"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488C5413" w14:textId="77777777" w:rsidR="00D22731" w:rsidRDefault="00FF2E54">
            <w:pPr>
              <w:keepNext/>
              <w:spacing w:before="75" w:after="30" w:line="200" w:lineRule="auto"/>
            </w:pPr>
            <w:r>
              <w:rPr>
                <w:color w:val="000000"/>
                <w:sz w:val="20"/>
              </w:rPr>
              <w:t>CASH FLOWS FROM INVESTING ACTIVITIES:</w:t>
            </w: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A8240A2"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F657A1" w14:textId="77777777" w:rsidR="00D22731" w:rsidRDefault="00D22731">
            <w:pPr>
              <w:keepNext/>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628C679F" w14:textId="77777777" w:rsidR="00D22731" w:rsidRDefault="00D22731">
            <w:pPr>
              <w:keepNext/>
            </w:pPr>
          </w:p>
        </w:tc>
      </w:tr>
      <w:tr w:rsidR="00D22731" w14:paraId="292E6CFF"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A589586" w14:textId="77777777" w:rsidR="00D22731" w:rsidRDefault="00FF2E54">
            <w:pPr>
              <w:keepNext/>
              <w:spacing w:before="75" w:after="30" w:line="200" w:lineRule="auto"/>
              <w:ind w:left="360"/>
            </w:pPr>
            <w:r>
              <w:rPr>
                <w:color w:val="000000"/>
                <w:sz w:val="20"/>
              </w:rPr>
              <w:t>Purchases of investments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436D22DA" w14:textId="77777777" w:rsidR="00D22731" w:rsidRDefault="00FF2E54">
            <w:pPr>
              <w:keepNext/>
              <w:spacing w:before="75" w:after="30" w:line="200" w:lineRule="auto"/>
              <w:jc w:val="right"/>
            </w:pPr>
            <w:r>
              <w:rPr>
                <w:color w:val="000000"/>
                <w:sz w:val="20"/>
              </w:rPr>
              <w:t>(776.3)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CDED19F"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1CA518"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4F64583" w14:textId="77777777" w:rsidR="00D22731" w:rsidRDefault="00FF2E54">
            <w:pPr>
              <w:keepNext/>
              <w:spacing w:before="75" w:after="30" w:line="200" w:lineRule="auto"/>
              <w:jc w:val="right"/>
            </w:pPr>
            <w:r>
              <w:rPr>
                <w:color w:val="000000"/>
                <w:sz w:val="20"/>
              </w:rPr>
              <w:t>(1,072.4)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6D58A7B" w14:textId="77777777" w:rsidR="00D22731" w:rsidRDefault="00D22731">
            <w:pPr>
              <w:keepNext/>
              <w:spacing w:before="75" w:after="30" w:line="200" w:lineRule="auto"/>
            </w:pPr>
          </w:p>
        </w:tc>
      </w:tr>
      <w:tr w:rsidR="00D22731" w14:paraId="00E53D9A"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75184415" w14:textId="77777777" w:rsidR="00D22731" w:rsidRDefault="00FF2E54">
            <w:pPr>
              <w:keepNext/>
              <w:spacing w:before="75" w:after="30" w:line="200" w:lineRule="auto"/>
              <w:ind w:left="360"/>
            </w:pPr>
            <w:r>
              <w:rPr>
                <w:color w:val="000000"/>
                <w:sz w:val="20"/>
              </w:rPr>
              <w:t>Sales of investments</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EF8C47A" w14:textId="77777777" w:rsidR="00D22731" w:rsidRDefault="00FF2E54">
            <w:pPr>
              <w:keepNext/>
              <w:spacing w:before="75" w:after="30" w:line="200" w:lineRule="auto"/>
              <w:jc w:val="right"/>
            </w:pPr>
            <w:r>
              <w:rPr>
                <w:color w:val="000000"/>
                <w:sz w:val="20"/>
              </w:rPr>
              <w:t>141.4 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96570E"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96B303"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25E6EC1" w14:textId="77777777" w:rsidR="00D22731" w:rsidRDefault="00FF2E54">
            <w:pPr>
              <w:keepNext/>
              <w:spacing w:before="75" w:after="30" w:line="200" w:lineRule="auto"/>
              <w:jc w:val="right"/>
            </w:pPr>
            <w:r>
              <w:rPr>
                <w:color w:val="000000"/>
                <w:sz w:val="20"/>
              </w:rPr>
              <w:t>19.7 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BCBB4D5" w14:textId="77777777" w:rsidR="00D22731" w:rsidRDefault="00D22731">
            <w:pPr>
              <w:keepNext/>
              <w:spacing w:before="75" w:after="30" w:line="200" w:lineRule="auto"/>
            </w:pPr>
          </w:p>
        </w:tc>
      </w:tr>
      <w:tr w:rsidR="00D22731" w14:paraId="4D7FB4D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7578F7E9" w14:textId="77777777" w:rsidR="00D22731" w:rsidRDefault="00FF2E54">
            <w:pPr>
              <w:keepNext/>
              <w:spacing w:before="75" w:after="30" w:line="200" w:lineRule="auto"/>
              <w:ind w:left="360"/>
            </w:pPr>
            <w:r>
              <w:rPr>
                <w:color w:val="000000"/>
                <w:sz w:val="20"/>
              </w:rPr>
              <w:t>Maturities of investments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CCBA3FA" w14:textId="77777777" w:rsidR="00D22731" w:rsidRDefault="00FF2E54">
            <w:pPr>
              <w:keepNext/>
              <w:spacing w:before="75" w:after="30" w:line="200" w:lineRule="auto"/>
              <w:jc w:val="right"/>
            </w:pPr>
            <w:r>
              <w:rPr>
                <w:color w:val="000000"/>
                <w:sz w:val="20"/>
              </w:rPr>
              <w:t>730.3 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5E7646"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EC4E12"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17BDF16" w14:textId="77777777" w:rsidR="00D22731" w:rsidRDefault="00FF2E54">
            <w:pPr>
              <w:keepNext/>
              <w:spacing w:before="75" w:after="30" w:line="200" w:lineRule="auto"/>
              <w:jc w:val="right"/>
            </w:pPr>
            <w:r>
              <w:rPr>
                <w:color w:val="000000"/>
                <w:sz w:val="20"/>
              </w:rPr>
              <w:t>695.0 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829FA9B" w14:textId="77777777" w:rsidR="00D22731" w:rsidRDefault="00D22731">
            <w:pPr>
              <w:keepNext/>
              <w:spacing w:before="75" w:after="30" w:line="200" w:lineRule="auto"/>
            </w:pPr>
          </w:p>
        </w:tc>
      </w:tr>
      <w:tr w:rsidR="00D22731" w14:paraId="10E76761"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749B213" w14:textId="77777777" w:rsidR="00D22731" w:rsidRDefault="00FF2E54">
            <w:pPr>
              <w:keepNext/>
              <w:spacing w:before="75" w:after="30" w:line="200" w:lineRule="auto"/>
              <w:ind w:left="360"/>
            </w:pPr>
            <w:r>
              <w:rPr>
                <w:color w:val="000000"/>
                <w:sz w:val="20"/>
              </w:rPr>
              <w:t>Purchases of property and equipment</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21415EC4" w14:textId="77777777" w:rsidR="00D22731" w:rsidRDefault="00FF2E54">
            <w:pPr>
              <w:keepNext/>
              <w:spacing w:before="75" w:after="30" w:line="200" w:lineRule="auto"/>
              <w:jc w:val="right"/>
            </w:pPr>
            <w:r>
              <w:rPr>
                <w:color w:val="000000"/>
                <w:sz w:val="20"/>
              </w:rPr>
              <w:t>(93.6)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3DD5334"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CDCF1A"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3E8EF0C9" w14:textId="77777777" w:rsidR="00D22731" w:rsidRDefault="00FF2E54">
            <w:pPr>
              <w:keepNext/>
              <w:spacing w:before="75" w:after="30" w:line="200" w:lineRule="auto"/>
              <w:jc w:val="right"/>
            </w:pPr>
            <w:r>
              <w:rPr>
                <w:color w:val="000000"/>
                <w:sz w:val="20"/>
              </w:rPr>
              <w:t>(45.0)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B82EC8" w14:textId="77777777" w:rsidR="00D22731" w:rsidRDefault="00D22731">
            <w:pPr>
              <w:keepNext/>
              <w:spacing w:before="75" w:after="30" w:line="200" w:lineRule="auto"/>
            </w:pPr>
          </w:p>
        </w:tc>
      </w:tr>
      <w:tr w:rsidR="00D22731" w14:paraId="3415A138"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1875BAF9" w14:textId="77777777" w:rsidR="00D22731" w:rsidRDefault="00FF2E54">
            <w:pPr>
              <w:keepNext/>
              <w:spacing w:before="75" w:after="30" w:line="200" w:lineRule="auto"/>
              <w:ind w:left="360"/>
            </w:pPr>
            <w:r>
              <w:rPr>
                <w:color w:val="000000"/>
                <w:sz w:val="20"/>
              </w:rPr>
              <w:t>Payments made in connection with business combination, net of cash acquired</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792A7EA" w14:textId="77777777" w:rsidR="00D22731" w:rsidRDefault="00FF2E54">
            <w:pPr>
              <w:keepNext/>
              <w:spacing w:before="75" w:after="30" w:line="200" w:lineRule="auto"/>
              <w:jc w:val="right"/>
            </w:pPr>
            <w:r>
              <w:rPr>
                <w:color w:val="000000"/>
                <w:sz w:val="20"/>
              </w:rPr>
              <w:t>(9.2)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40A475"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F1FE6F"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10BAD1AD" w14:textId="77777777" w:rsidR="00D22731" w:rsidRDefault="00FF2E54">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A0A9C28" w14:textId="77777777" w:rsidR="00D22731" w:rsidRDefault="00D22731">
            <w:pPr>
              <w:keepNext/>
              <w:spacing w:before="75" w:after="30" w:line="200" w:lineRule="auto"/>
            </w:pPr>
          </w:p>
        </w:tc>
      </w:tr>
      <w:tr w:rsidR="00D22731" w14:paraId="0CA06999"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3CD6B065" w14:textId="77777777" w:rsidR="00D22731" w:rsidRDefault="00FF2E54">
            <w:pPr>
              <w:keepNext/>
              <w:spacing w:before="75" w:after="30" w:line="200" w:lineRule="auto"/>
              <w:ind w:left="360"/>
            </w:pPr>
            <w:r>
              <w:rPr>
                <w:color w:val="000000"/>
                <w:sz w:val="20"/>
              </w:rPr>
              <w:t>Other</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339DE5F" w14:textId="77777777" w:rsidR="00D22731" w:rsidRDefault="00FF2E54">
            <w:pPr>
              <w:keepNext/>
              <w:spacing w:before="75" w:after="30" w:line="200" w:lineRule="auto"/>
              <w:jc w:val="right"/>
            </w:pPr>
            <w:r>
              <w:rPr>
                <w:color w:val="000000"/>
                <w:sz w:val="20"/>
              </w:rPr>
              <w:t>(0.4)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E14A786"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6B7E51" w14:textId="77777777" w:rsidR="00D22731" w:rsidRDefault="00D22731">
            <w:pPr>
              <w:keepNex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BD9E3EF" w14:textId="77777777" w:rsidR="00D22731" w:rsidRDefault="00FF2E54">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0A20FD" w14:textId="77777777" w:rsidR="00D22731" w:rsidRDefault="00D22731">
            <w:pPr>
              <w:keepNext/>
              <w:spacing w:before="75" w:after="30" w:line="200" w:lineRule="auto"/>
            </w:pPr>
          </w:p>
        </w:tc>
      </w:tr>
      <w:tr w:rsidR="00D22731" w14:paraId="5C8F8B75"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0FFC457" w14:textId="77777777" w:rsidR="00D22731" w:rsidRDefault="00FF2E54">
            <w:pPr>
              <w:keepNext/>
              <w:spacing w:before="75" w:after="30" w:line="200" w:lineRule="auto"/>
              <w:ind w:left="1575"/>
            </w:pPr>
            <w:r>
              <w:rPr>
                <w:color w:val="000000"/>
                <w:sz w:val="20"/>
              </w:rPr>
              <w:t>Net cash used in investing activities</w:t>
            </w: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F1BE218" w14:textId="77777777" w:rsidR="00D22731" w:rsidRDefault="00FF2E54">
            <w:pPr>
              <w:keepNext/>
              <w:spacing w:before="55" w:after="30" w:line="200" w:lineRule="auto"/>
              <w:jc w:val="right"/>
            </w:pPr>
            <w:r>
              <w:rPr>
                <w:color w:val="000000"/>
                <w:sz w:val="20"/>
              </w:rPr>
              <w:t>(7.8)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BBD9E2B"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69A8C4"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47C5C8A" w14:textId="77777777" w:rsidR="00D22731" w:rsidRDefault="00FF2E54">
            <w:pPr>
              <w:keepNext/>
              <w:spacing w:before="55" w:after="30" w:line="200" w:lineRule="auto"/>
              <w:jc w:val="right"/>
            </w:pPr>
            <w:r>
              <w:rPr>
                <w:color w:val="000000"/>
                <w:sz w:val="20"/>
              </w:rPr>
              <w:t>(402.7)</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1F70534" w14:textId="77777777" w:rsidR="00D22731" w:rsidRDefault="00D22731">
            <w:pPr>
              <w:keepNext/>
              <w:spacing w:before="55" w:after="30" w:line="200" w:lineRule="auto"/>
            </w:pPr>
          </w:p>
        </w:tc>
      </w:tr>
      <w:tr w:rsidR="00D22731" w14:paraId="6C9311FE"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09E5F31B" w14:textId="77777777" w:rsidR="00D22731" w:rsidRDefault="00FF2E54">
            <w:pPr>
              <w:keepNext/>
              <w:spacing w:before="75" w:after="30" w:line="200" w:lineRule="auto"/>
            </w:pPr>
            <w:r>
              <w:rPr>
                <w:color w:val="000000"/>
                <w:sz w:val="20"/>
              </w:rPr>
              <w:t>CASH FLOWS FROM FINANCING ACTIVITIES:</w:t>
            </w: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55ABFFFD"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887B0E" w14:textId="77777777" w:rsidR="00D22731" w:rsidRDefault="00D22731">
            <w:pPr>
              <w:keepNext/>
            </w:pPr>
          </w:p>
        </w:tc>
        <w:tc>
          <w:tcPr>
            <w:tcW w:w="124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08E5A261" w14:textId="77777777" w:rsidR="00D22731" w:rsidRDefault="00D22731">
            <w:pPr>
              <w:keepNext/>
            </w:pPr>
          </w:p>
        </w:tc>
      </w:tr>
      <w:tr w:rsidR="00D22731" w14:paraId="200E383F"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6126244C" w14:textId="77777777" w:rsidR="00D22731" w:rsidRDefault="00FF2E54">
            <w:pPr>
              <w:keepNext/>
              <w:spacing w:before="75" w:after="30" w:line="200" w:lineRule="auto"/>
              <w:ind w:left="360"/>
            </w:pPr>
            <w:r>
              <w:rPr>
                <w:color w:val="000000"/>
                <w:sz w:val="20"/>
              </w:rPr>
              <w:t>Repurchase and retirement of common stock</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0F4B6E86" w14:textId="77777777" w:rsidR="00D22731" w:rsidRDefault="00FF2E54">
            <w:pPr>
              <w:keepNext/>
              <w:spacing w:before="75" w:after="30" w:line="200" w:lineRule="auto"/>
              <w:jc w:val="right"/>
            </w:pPr>
            <w:r>
              <w:rPr>
                <w:color w:val="000000"/>
                <w:sz w:val="20"/>
              </w:rPr>
              <w:t>(1,046.0)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BDBC845"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9EE4BF"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7FBA3984" w14:textId="77777777" w:rsidR="00D22731" w:rsidRDefault="00FF2E54">
            <w:pPr>
              <w:keepNext/>
              <w:spacing w:before="75" w:after="30" w:line="200" w:lineRule="auto"/>
              <w:jc w:val="right"/>
            </w:pPr>
            <w:r>
              <w:rPr>
                <w:color w:val="000000"/>
                <w:sz w:val="20"/>
              </w:rPr>
              <w:t>(117.6)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3D7DC2" w14:textId="77777777" w:rsidR="00D22731" w:rsidRDefault="00D22731">
            <w:pPr>
              <w:keepNext/>
              <w:spacing w:before="75" w:after="30" w:line="200" w:lineRule="auto"/>
            </w:pPr>
          </w:p>
        </w:tc>
      </w:tr>
      <w:tr w:rsidR="00D22731" w14:paraId="4534D5A1"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C908846" w14:textId="77777777" w:rsidR="00D22731" w:rsidRDefault="00FF2E54">
            <w:pPr>
              <w:keepNext/>
              <w:spacing w:before="75" w:after="30" w:line="200" w:lineRule="auto"/>
              <w:ind w:left="360"/>
            </w:pPr>
            <w:r>
              <w:rPr>
                <w:color w:val="000000"/>
                <w:sz w:val="20"/>
              </w:rPr>
              <w:t>Proceeds from issuance of common stock</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2FC8D8E5" w14:textId="77777777" w:rsidR="00D22731" w:rsidRDefault="00FF2E54">
            <w:pPr>
              <w:keepNext/>
              <w:spacing w:before="75" w:after="30" w:line="200" w:lineRule="auto"/>
              <w:jc w:val="right"/>
            </w:pPr>
            <w:r>
              <w:rPr>
                <w:color w:val="000000"/>
                <w:sz w:val="20"/>
              </w:rPr>
              <w:t>18.2 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359F82"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3521A7" w14:textId="77777777" w:rsidR="00D22731" w:rsidRDefault="00D22731">
            <w:pPr>
              <w:keepNex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6459054B" w14:textId="77777777" w:rsidR="00D22731" w:rsidRDefault="00FF2E54">
            <w:pPr>
              <w:keepNext/>
              <w:spacing w:before="75" w:after="30" w:line="200" w:lineRule="auto"/>
              <w:jc w:val="right"/>
            </w:pPr>
            <w:r>
              <w:rPr>
                <w:color w:val="000000"/>
                <w:sz w:val="20"/>
              </w:rPr>
              <w:t>41.8 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62CF160" w14:textId="77777777" w:rsidR="00D22731" w:rsidRDefault="00D22731">
            <w:pPr>
              <w:keepNext/>
              <w:spacing w:before="75" w:after="30" w:line="200" w:lineRule="auto"/>
            </w:pPr>
          </w:p>
        </w:tc>
      </w:tr>
      <w:tr w:rsidR="00D22731" w14:paraId="1AC09932"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16F44E98" w14:textId="77777777" w:rsidR="00D22731" w:rsidRDefault="00FF2E54">
            <w:pPr>
              <w:keepNext/>
              <w:spacing w:before="75" w:after="30" w:line="200" w:lineRule="auto"/>
              <w:ind w:left="360"/>
            </w:pPr>
            <w:r>
              <w:rPr>
                <w:color w:val="000000"/>
                <w:sz w:val="20"/>
              </w:rPr>
              <w:t>Taxes paid related to net share settlement of equity awards</w:t>
            </w: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577CD2D" w14:textId="77777777" w:rsidR="00D22731" w:rsidRDefault="00FF2E54">
            <w:pPr>
              <w:keepNext/>
              <w:spacing w:before="75" w:after="30" w:line="200" w:lineRule="auto"/>
              <w:jc w:val="right"/>
            </w:pPr>
            <w:r>
              <w:rPr>
                <w:color w:val="000000"/>
                <w:sz w:val="20"/>
              </w:rPr>
              <w:t>(86.5)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006F46A"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DB61C5" w14:textId="77777777" w:rsidR="00D22731" w:rsidRDefault="00D22731">
            <w:pPr>
              <w:keepNext/>
            </w:pPr>
          </w:p>
        </w:tc>
        <w:tc>
          <w:tcPr>
            <w:tcW w:w="1145" w:type="dxa"/>
            <w:gridSpan w:val="2"/>
            <w:tcBorders>
              <w:top w:val="nil"/>
              <w:left w:val="nil"/>
              <w:bottom w:val="nil"/>
              <w:right w:val="nil"/>
            </w:tcBorders>
            <w:shd w:val="clear" w:color="auto" w:fill="CCEEFF"/>
            <w:tcMar>
              <w:top w:w="0" w:type="dxa"/>
              <w:left w:w="53" w:type="dxa"/>
              <w:bottom w:w="0" w:type="dxa"/>
              <w:right w:w="0" w:type="dxa"/>
            </w:tcMar>
            <w:vAlign w:val="bottom"/>
          </w:tcPr>
          <w:p w14:paraId="3C42A58C" w14:textId="77777777" w:rsidR="00D22731" w:rsidRDefault="00FF2E54">
            <w:pPr>
              <w:keepNext/>
              <w:spacing w:before="75" w:after="30" w:line="200" w:lineRule="auto"/>
              <w:jc w:val="right"/>
            </w:pPr>
            <w:r>
              <w:rPr>
                <w:color w:val="000000"/>
                <w:sz w:val="20"/>
              </w:rPr>
              <w:t>(76.0)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3D5C3AC" w14:textId="77777777" w:rsidR="00D22731" w:rsidRDefault="00D22731">
            <w:pPr>
              <w:keepNext/>
              <w:spacing w:before="75" w:after="30" w:line="200" w:lineRule="auto"/>
            </w:pPr>
          </w:p>
        </w:tc>
      </w:tr>
      <w:tr w:rsidR="00D22731" w14:paraId="6CBFA545"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9C1C25E" w14:textId="77777777" w:rsidR="00D22731" w:rsidRDefault="00FF2E54">
            <w:pPr>
              <w:keepNext/>
              <w:spacing w:before="75" w:after="30" w:line="200" w:lineRule="auto"/>
              <w:ind w:left="360"/>
            </w:pPr>
            <w:r>
              <w:rPr>
                <w:color w:val="000000"/>
                <w:sz w:val="20"/>
              </w:rPr>
              <w:t>Payment of debt assumed in connection with business combination</w:t>
            </w: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494A7A9F" w14:textId="77777777" w:rsidR="00D22731" w:rsidRDefault="00FF2E54">
            <w:pPr>
              <w:keepNext/>
              <w:spacing w:before="75" w:after="30" w:line="200" w:lineRule="auto"/>
              <w:jc w:val="right"/>
            </w:pPr>
            <w:r>
              <w:rPr>
                <w:color w:val="000000"/>
                <w:sz w:val="20"/>
              </w:rPr>
              <w:t>(4.1)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94F03DF"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754613E" w14:textId="77777777" w:rsidR="00D22731" w:rsidRDefault="00D22731">
            <w:pPr>
              <w:keepNext/>
              <w:spacing w:before="75" w:after="30" w:line="200" w:lineRule="auto"/>
              <w:jc w:val="right"/>
            </w:pPr>
          </w:p>
        </w:tc>
        <w:tc>
          <w:tcPr>
            <w:tcW w:w="1145" w:type="dxa"/>
            <w:gridSpan w:val="2"/>
            <w:tcBorders>
              <w:top w:val="nil"/>
              <w:left w:val="nil"/>
              <w:bottom w:val="nil"/>
              <w:right w:val="nil"/>
            </w:tcBorders>
            <w:shd w:val="clear" w:color="auto" w:fill="FFFFFF"/>
            <w:tcMar>
              <w:top w:w="0" w:type="dxa"/>
              <w:left w:w="53" w:type="dxa"/>
              <w:bottom w:w="0" w:type="dxa"/>
              <w:right w:w="0" w:type="dxa"/>
            </w:tcMar>
            <w:vAlign w:val="bottom"/>
          </w:tcPr>
          <w:p w14:paraId="7B23828D" w14:textId="77777777" w:rsidR="00D22731" w:rsidRDefault="00FF2E54">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546551" w14:textId="77777777" w:rsidR="00D22731" w:rsidRDefault="00D22731">
            <w:pPr>
              <w:keepNext/>
              <w:spacing w:before="75" w:after="30" w:line="200" w:lineRule="auto"/>
            </w:pPr>
          </w:p>
        </w:tc>
      </w:tr>
      <w:tr w:rsidR="00D22731" w14:paraId="422A55EA"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0F3447E6" w14:textId="77777777" w:rsidR="00D22731" w:rsidRDefault="00FF2E54">
            <w:pPr>
              <w:keepNext/>
              <w:spacing w:before="75" w:after="30" w:line="200" w:lineRule="auto"/>
              <w:ind w:left="360"/>
            </w:pPr>
            <w:r>
              <w:rPr>
                <w:color w:val="000000"/>
                <w:sz w:val="20"/>
              </w:rPr>
              <w:t>Other</w:t>
            </w: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B6F188" w14:textId="77777777" w:rsidR="00D22731" w:rsidRDefault="00FF2E54">
            <w:pPr>
              <w:keepNext/>
              <w:spacing w:before="75" w:after="30" w:line="200" w:lineRule="auto"/>
              <w:jc w:val="right"/>
            </w:pPr>
            <w:r>
              <w:rPr>
                <w:color w:val="000000"/>
                <w:sz w:val="20"/>
              </w:rPr>
              <w:t>(1.2)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C5CEA56"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96CFB8" w14:textId="77777777" w:rsidR="00D22731" w:rsidRDefault="00D22731">
            <w:pPr>
              <w:keepNext/>
            </w:pPr>
          </w:p>
        </w:tc>
        <w:tc>
          <w:tcPr>
            <w:tcW w:w="11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BAB7DAB" w14:textId="77777777" w:rsidR="00D22731" w:rsidRDefault="00FF2E54">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00C8F6" w14:textId="77777777" w:rsidR="00D22731" w:rsidRDefault="00D22731">
            <w:pPr>
              <w:keepNext/>
              <w:spacing w:before="75" w:after="30" w:line="200" w:lineRule="auto"/>
            </w:pPr>
          </w:p>
        </w:tc>
      </w:tr>
      <w:tr w:rsidR="00D22731" w14:paraId="1D574C88"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6D2ED5F6" w14:textId="77777777" w:rsidR="00D22731" w:rsidRDefault="00FF2E54">
            <w:pPr>
              <w:keepNext/>
              <w:spacing w:before="75" w:after="30" w:line="200" w:lineRule="auto"/>
              <w:ind w:left="1575"/>
            </w:pPr>
            <w:r>
              <w:rPr>
                <w:color w:val="000000"/>
                <w:sz w:val="20"/>
              </w:rPr>
              <w:t>Net cash used in financing activities</w:t>
            </w: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8D3240C" w14:textId="77777777" w:rsidR="00D22731" w:rsidRDefault="00FF2E54">
            <w:pPr>
              <w:keepNext/>
              <w:spacing w:before="55" w:after="30" w:line="200" w:lineRule="auto"/>
              <w:jc w:val="right"/>
            </w:pPr>
            <w:r>
              <w:rPr>
                <w:color w:val="000000"/>
                <w:sz w:val="20"/>
              </w:rPr>
              <w:t>(1,119.6)</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71AA692"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74EA14" w14:textId="77777777" w:rsidR="00D22731" w:rsidRDefault="00D22731">
            <w:pPr>
              <w:keepNext/>
            </w:pPr>
          </w:p>
        </w:tc>
        <w:tc>
          <w:tcPr>
            <w:tcW w:w="11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4450690" w14:textId="77777777" w:rsidR="00D22731" w:rsidRDefault="00FF2E54">
            <w:pPr>
              <w:keepNext/>
              <w:spacing w:before="55" w:after="30" w:line="200" w:lineRule="auto"/>
              <w:jc w:val="right"/>
            </w:pPr>
            <w:r>
              <w:rPr>
                <w:color w:val="000000"/>
                <w:sz w:val="20"/>
              </w:rPr>
              <w:t>(151.8)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719A18C" w14:textId="77777777" w:rsidR="00D22731" w:rsidRDefault="00D22731">
            <w:pPr>
              <w:keepNext/>
              <w:spacing w:before="55" w:after="30" w:line="200" w:lineRule="auto"/>
            </w:pPr>
          </w:p>
        </w:tc>
      </w:tr>
      <w:tr w:rsidR="00D22731" w14:paraId="5A23562D"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391FBAA0" w14:textId="77777777" w:rsidR="00D22731" w:rsidRDefault="00FF2E54">
            <w:pPr>
              <w:keepNext/>
              <w:spacing w:before="75" w:after="30" w:line="200" w:lineRule="auto"/>
            </w:pPr>
            <w:r>
              <w:rPr>
                <w:color w:val="000000"/>
                <w:sz w:val="20"/>
              </w:rPr>
              <w:t>NET DECREASE IN CASH AND CASH EQUIVALENTS</w:t>
            </w: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1474EF7" w14:textId="77777777" w:rsidR="00D22731" w:rsidRDefault="00FF2E54">
            <w:pPr>
              <w:keepNext/>
              <w:spacing w:before="55" w:after="30" w:line="200" w:lineRule="auto"/>
              <w:jc w:val="right"/>
            </w:pPr>
            <w:r>
              <w:rPr>
                <w:color w:val="000000"/>
                <w:sz w:val="20"/>
              </w:rPr>
              <w:t>(340.2)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AD0E1A"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02FA60" w14:textId="77777777" w:rsidR="00D22731" w:rsidRDefault="00D22731">
            <w:pPr>
              <w:keepNext/>
            </w:pPr>
          </w:p>
        </w:tc>
        <w:tc>
          <w:tcPr>
            <w:tcW w:w="114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4C0354" w14:textId="77777777" w:rsidR="00D22731" w:rsidRDefault="00FF2E54">
            <w:pPr>
              <w:keepNext/>
              <w:spacing w:before="55" w:after="30" w:line="200" w:lineRule="auto"/>
              <w:jc w:val="right"/>
            </w:pPr>
            <w:r>
              <w:rPr>
                <w:color w:val="000000"/>
                <w:sz w:val="20"/>
              </w:rPr>
              <w:t>63.1 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52867CF" w14:textId="77777777" w:rsidR="00D22731" w:rsidRDefault="00D22731">
            <w:pPr>
              <w:keepNext/>
              <w:spacing w:before="55" w:after="30" w:line="200" w:lineRule="auto"/>
            </w:pPr>
          </w:p>
        </w:tc>
      </w:tr>
      <w:tr w:rsidR="00D22731" w14:paraId="4199C3C5" w14:textId="77777777">
        <w:trPr>
          <w:cantSplit/>
          <w:trHeight w:hRule="exact" w:val="300"/>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18ADDE5B" w14:textId="77777777" w:rsidR="00D22731" w:rsidRDefault="00FF2E54">
            <w:pPr>
              <w:keepNext/>
              <w:spacing w:before="75" w:after="30" w:line="200" w:lineRule="auto"/>
            </w:pPr>
            <w:r>
              <w:rPr>
                <w:color w:val="000000"/>
                <w:sz w:val="20"/>
              </w:rPr>
              <w:t>CASH AND CASH EQUIVALENTS—Beginning of period</w:t>
            </w: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1381303" w14:textId="77777777" w:rsidR="00D22731" w:rsidRDefault="00FF2E54">
            <w:pPr>
              <w:keepNext/>
              <w:spacing w:before="75" w:after="30" w:line="200" w:lineRule="auto"/>
              <w:jc w:val="right"/>
            </w:pPr>
            <w:r>
              <w:rPr>
                <w:color w:val="000000"/>
                <w:sz w:val="20"/>
              </w:rPr>
              <w:t>1,222.5 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F3E3EA5"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F610A3" w14:textId="77777777" w:rsidR="00D22731" w:rsidRDefault="00D22731">
            <w:pPr>
              <w:keepNext/>
            </w:pPr>
          </w:p>
        </w:tc>
        <w:tc>
          <w:tcPr>
            <w:tcW w:w="11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7E92F1B" w14:textId="77777777" w:rsidR="00D22731" w:rsidRDefault="00FF2E54">
            <w:pPr>
              <w:keepNext/>
              <w:spacing w:before="75" w:after="30" w:line="200" w:lineRule="auto"/>
              <w:jc w:val="right"/>
            </w:pPr>
            <w:r>
              <w:rPr>
                <w:color w:val="000000"/>
                <w:sz w:val="20"/>
              </w:rPr>
              <w:t>1,112.4 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7C0FC3E" w14:textId="77777777" w:rsidR="00D22731" w:rsidRDefault="00D22731">
            <w:pPr>
              <w:keepNext/>
              <w:spacing w:before="75" w:after="30" w:line="200" w:lineRule="auto"/>
            </w:pPr>
          </w:p>
        </w:tc>
      </w:tr>
      <w:tr w:rsidR="00D22731" w14:paraId="7DB954CF" w14:textId="77777777">
        <w:trPr>
          <w:cantSplit/>
          <w:trHeight w:hRule="exact" w:val="300"/>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42F8301D" w14:textId="77777777" w:rsidR="00D22731" w:rsidRDefault="00FF2E54">
            <w:pPr>
              <w:spacing w:before="75" w:after="30" w:line="200" w:lineRule="auto"/>
            </w:pPr>
            <w:r>
              <w:rPr>
                <w:color w:val="000000"/>
                <w:sz w:val="20"/>
              </w:rPr>
              <w:t>CASH AND CASH EQUIVALENTS—End of period</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65A9051" w14:textId="77777777" w:rsidR="00D22731" w:rsidRDefault="00FF2E54">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B5F4DB8" w14:textId="77777777" w:rsidR="00D22731" w:rsidRDefault="00FF2E54">
            <w:pPr>
              <w:spacing w:before="55" w:after="30" w:line="200" w:lineRule="auto"/>
              <w:jc w:val="right"/>
            </w:pPr>
            <w:r>
              <w:rPr>
                <w:color w:val="000000"/>
                <w:sz w:val="20"/>
              </w:rPr>
              <w:t>882.3 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353A9A" w14:textId="77777777" w:rsidR="00D22731" w:rsidRDefault="00D2273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15E69C" w14:textId="77777777" w:rsidR="00D22731" w:rsidRDefault="00D22731"/>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63CBF25" w14:textId="77777777" w:rsidR="00D22731" w:rsidRDefault="00FF2E54">
            <w:pPr>
              <w:spacing w:before="55" w:after="30" w:line="200" w:lineRule="auto"/>
            </w:pPr>
            <w:r>
              <w:rPr>
                <w:color w:val="000000"/>
                <w:sz w:val="20"/>
              </w:rPr>
              <w:t>$</w:t>
            </w:r>
          </w:p>
        </w:tc>
        <w:tc>
          <w:tcPr>
            <w:tcW w:w="9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37DCB6E" w14:textId="77777777" w:rsidR="00D22731" w:rsidRDefault="00FF2E54">
            <w:pPr>
              <w:spacing w:before="55" w:after="30" w:line="200" w:lineRule="auto"/>
              <w:jc w:val="right"/>
            </w:pPr>
            <w:r>
              <w:rPr>
                <w:color w:val="000000"/>
                <w:sz w:val="20"/>
              </w:rPr>
              <w:t>1,175.5 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BF1FE66" w14:textId="77777777" w:rsidR="00D22731" w:rsidRDefault="00D22731">
            <w:pPr>
              <w:spacing w:before="55" w:after="30" w:line="200" w:lineRule="auto"/>
            </w:pPr>
          </w:p>
        </w:tc>
      </w:tr>
    </w:tbl>
    <w:p w14:paraId="49F78D86" w14:textId="77777777" w:rsidR="00D22731" w:rsidRDefault="00D22731">
      <w:pPr>
        <w:spacing w:before="100" w:line="248" w:lineRule="auto"/>
        <w:rPr>
          <w:sz w:val="20"/>
        </w:rPr>
      </w:pPr>
    </w:p>
    <w:p w14:paraId="38FD1F21" w14:textId="77777777" w:rsidR="00D22731" w:rsidRDefault="00D22731">
      <w:pPr>
        <w:spacing w:line="248" w:lineRule="auto"/>
        <w:rPr>
          <w:sz w:val="20"/>
        </w:rPr>
      </w:pPr>
    </w:p>
    <w:p w14:paraId="619FF979" w14:textId="77777777" w:rsidR="00D22731" w:rsidRDefault="00D22731">
      <w:pPr>
        <w:spacing w:line="248" w:lineRule="auto"/>
        <w:rPr>
          <w:sz w:val="20"/>
        </w:rPr>
      </w:pPr>
    </w:p>
    <w:p w14:paraId="5132718B" w14:textId="77777777" w:rsidR="00D22731" w:rsidRDefault="00D22731">
      <w:pPr>
        <w:spacing w:line="248" w:lineRule="auto"/>
        <w:rPr>
          <w:sz w:val="20"/>
        </w:rPr>
      </w:pPr>
    </w:p>
    <w:p w14:paraId="173AD27E" w14:textId="77777777" w:rsidR="00D22731" w:rsidRDefault="00D22731">
      <w:pPr>
        <w:spacing w:line="248" w:lineRule="auto"/>
        <w:rPr>
          <w:sz w:val="20"/>
        </w:rPr>
      </w:pPr>
    </w:p>
    <w:p w14:paraId="46A9DBF4" w14:textId="77777777" w:rsidR="00D22731" w:rsidRDefault="00FF2E54">
      <w:pPr>
        <w:spacing w:line="248" w:lineRule="auto"/>
        <w:rPr>
          <w:b/>
          <w:sz w:val="18"/>
          <w:vertAlign w:val="superscript"/>
        </w:rPr>
      </w:pPr>
      <w:r>
        <w:rPr>
          <w:b/>
          <w:sz w:val="20"/>
          <w:vertAlign w:val="superscript"/>
        </w:rPr>
        <w:lastRenderedPageBreak/>
        <w:t>1</w:t>
      </w:r>
      <w:r>
        <w:rPr>
          <w:sz w:val="20"/>
        </w:rPr>
        <w:t xml:space="preserve"> During the third quarter, Fortinet identified and made an immaterial correction to the recognition of revenue related to certain service contracts, increasing previously reported amounts. The financial results presented for 2019 and 2020 reflect the effects of the correction.</w:t>
      </w:r>
    </w:p>
    <w:p w14:paraId="7D67F19C" w14:textId="77777777" w:rsidR="00D22731" w:rsidRDefault="00D22731">
      <w:pPr>
        <w:spacing w:line="248" w:lineRule="auto"/>
        <w:sectPr w:rsidR="00D22731">
          <w:pgSz w:w="12240" w:h="15840"/>
          <w:pgMar w:top="855" w:right="990" w:bottom="855" w:left="990" w:header="270" w:footer="270" w:gutter="0"/>
          <w:cols w:space="708"/>
        </w:sectPr>
      </w:pPr>
    </w:p>
    <w:p w14:paraId="17ACE2F0" w14:textId="77777777" w:rsidR="00D22731" w:rsidRDefault="00FF2E54">
      <w:pPr>
        <w:spacing w:line="248" w:lineRule="auto"/>
        <w:jc w:val="center"/>
        <w:outlineLvl w:val="0"/>
        <w:rPr>
          <w:b/>
          <w:sz w:val="20"/>
        </w:rPr>
      </w:pPr>
      <w:bookmarkStart w:id="4" w:name="Section5"/>
      <w:bookmarkEnd w:id="4"/>
      <w:r>
        <w:rPr>
          <w:b/>
          <w:sz w:val="20"/>
        </w:rPr>
        <w:lastRenderedPageBreak/>
        <w:t>Reconciliations of non-GAAP results of operations measures to the nearest comparable GAAP measures</w:t>
      </w:r>
    </w:p>
    <w:p w14:paraId="5E8ACF00" w14:textId="77777777" w:rsidR="00D22731" w:rsidRDefault="00FF2E54">
      <w:pPr>
        <w:spacing w:line="248" w:lineRule="auto"/>
        <w:jc w:val="center"/>
        <w:rPr>
          <w:b/>
          <w:sz w:val="20"/>
        </w:rPr>
      </w:pPr>
      <w:r>
        <w:rPr>
          <w:b/>
          <w:sz w:val="20"/>
        </w:rPr>
        <w:t>(Unaudited, in millions, except per share amounts)</w:t>
      </w:r>
    </w:p>
    <w:p w14:paraId="0E342D96" w14:textId="77777777" w:rsidR="00D22731" w:rsidRDefault="00D22731">
      <w:pPr>
        <w:spacing w:line="248" w:lineRule="auto"/>
        <w:jc w:val="center"/>
        <w:rPr>
          <w:b/>
          <w:sz w:val="20"/>
        </w:rPr>
      </w:pPr>
    </w:p>
    <w:p w14:paraId="02C58D44" w14:textId="77777777" w:rsidR="00D22731" w:rsidRDefault="00FF2E54">
      <w:pPr>
        <w:spacing w:after="100" w:line="248" w:lineRule="auto"/>
        <w:rPr>
          <w:b/>
          <w:sz w:val="20"/>
        </w:rPr>
      </w:pPr>
      <w:r>
        <w:rPr>
          <w:b/>
          <w:sz w:val="20"/>
        </w:rPr>
        <w:t>Reconciliation of net cash provided by operating activities to free cash flow</w:t>
      </w:r>
      <w:r>
        <w:rPr>
          <w:b/>
          <w:sz w:val="20"/>
          <w:vertAlign w:val="superscript"/>
        </w:rPr>
        <w:t>1</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4"/>
        <w:gridCol w:w="1096"/>
        <w:gridCol w:w="102"/>
        <w:gridCol w:w="76"/>
        <w:gridCol w:w="163"/>
        <w:gridCol w:w="1096"/>
        <w:gridCol w:w="102"/>
      </w:tblGrid>
      <w:tr w:rsidR="00D22731" w14:paraId="28ED067B" w14:textId="77777777">
        <w:trPr>
          <w:cantSplit/>
          <w:trHeight w:hRule="exact" w:val="285"/>
          <w:jc w:val="center"/>
        </w:trPr>
        <w:tc>
          <w:tcPr>
            <w:tcW w:w="7365" w:type="dxa"/>
            <w:tcBorders>
              <w:top w:val="nil"/>
              <w:left w:val="nil"/>
              <w:bottom w:val="nil"/>
              <w:right w:val="nil"/>
            </w:tcBorders>
            <w:tcMar>
              <w:top w:w="0" w:type="dxa"/>
              <w:left w:w="0" w:type="dxa"/>
              <w:bottom w:w="0" w:type="dxa"/>
              <w:right w:w="0" w:type="dxa"/>
            </w:tcMar>
            <w:vAlign w:val="bottom"/>
          </w:tcPr>
          <w:p w14:paraId="6FC91EE6" w14:textId="77777777" w:rsidR="00D22731" w:rsidRDefault="00D22731">
            <w:pPr>
              <w:keepNext/>
            </w:pPr>
          </w:p>
        </w:tc>
        <w:tc>
          <w:tcPr>
            <w:tcW w:w="2745" w:type="dxa"/>
            <w:gridSpan w:val="7"/>
            <w:tcBorders>
              <w:top w:val="nil"/>
              <w:left w:val="nil"/>
              <w:bottom w:val="nil"/>
              <w:right w:val="nil"/>
            </w:tcBorders>
            <w:tcMar>
              <w:top w:w="0" w:type="dxa"/>
              <w:left w:w="53" w:type="dxa"/>
              <w:bottom w:w="0" w:type="dxa"/>
              <w:right w:w="53" w:type="dxa"/>
            </w:tcMar>
            <w:vAlign w:val="bottom"/>
          </w:tcPr>
          <w:p w14:paraId="11B35C6A" w14:textId="77777777" w:rsidR="00D22731" w:rsidRDefault="00FF2E54">
            <w:pPr>
              <w:keepNext/>
              <w:spacing w:before="75" w:after="30" w:line="200" w:lineRule="auto"/>
              <w:jc w:val="center"/>
            </w:pPr>
            <w:r>
              <w:rPr>
                <w:b/>
                <w:color w:val="000000"/>
                <w:sz w:val="20"/>
              </w:rPr>
              <w:t>Three Months Ended</w:t>
            </w:r>
          </w:p>
        </w:tc>
      </w:tr>
      <w:tr w:rsidR="00D22731" w14:paraId="1B7B89B1" w14:textId="77777777">
        <w:trPr>
          <w:cantSplit/>
          <w:trHeight w:hRule="exact" w:val="645"/>
          <w:jc w:val="center"/>
        </w:trPr>
        <w:tc>
          <w:tcPr>
            <w:tcW w:w="7365" w:type="dxa"/>
            <w:tcBorders>
              <w:top w:val="nil"/>
              <w:left w:val="nil"/>
              <w:bottom w:val="nil"/>
              <w:right w:val="nil"/>
            </w:tcBorders>
            <w:tcMar>
              <w:top w:w="0" w:type="dxa"/>
              <w:left w:w="0" w:type="dxa"/>
              <w:bottom w:w="0" w:type="dxa"/>
              <w:right w:w="0" w:type="dxa"/>
            </w:tcMar>
            <w:vAlign w:val="bottom"/>
          </w:tcPr>
          <w:p w14:paraId="281E6A76" w14:textId="77777777" w:rsidR="00D22731" w:rsidRDefault="00D22731">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1E6F92D" w14:textId="77777777" w:rsidR="00D22731" w:rsidRDefault="00FF2E54">
            <w:pPr>
              <w:keepNext/>
              <w:spacing w:before="55" w:after="30" w:line="200" w:lineRule="auto"/>
              <w:jc w:val="center"/>
            </w:pPr>
            <w:r>
              <w:rPr>
                <w:b/>
                <w:color w:val="000000"/>
                <w:sz w:val="20"/>
              </w:rPr>
              <w:t>September 30,</w:t>
            </w:r>
            <w:r>
              <w:br/>
            </w:r>
            <w:r>
              <w:rPr>
                <w:b/>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4F1F1B1" w14:textId="77777777" w:rsidR="00D22731" w:rsidRDefault="00D22731">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0D1CB92" w14:textId="77777777" w:rsidR="00D22731" w:rsidRDefault="00FF2E54">
            <w:pPr>
              <w:keepNext/>
              <w:spacing w:before="55" w:after="30" w:line="200" w:lineRule="auto"/>
              <w:jc w:val="center"/>
            </w:pPr>
            <w:r>
              <w:rPr>
                <w:b/>
                <w:color w:val="000000"/>
                <w:sz w:val="20"/>
              </w:rPr>
              <w:t>September 30,</w:t>
            </w:r>
            <w:r>
              <w:br/>
            </w:r>
            <w:r>
              <w:rPr>
                <w:b/>
                <w:color w:val="000000"/>
                <w:sz w:val="20"/>
              </w:rPr>
              <w:t>2019</w:t>
            </w:r>
          </w:p>
        </w:tc>
      </w:tr>
      <w:tr w:rsidR="00D22731" w14:paraId="39A7480E" w14:textId="77777777">
        <w:trPr>
          <w:cantSplit/>
          <w:trHeight w:hRule="exact" w:val="300"/>
          <w:jc w:val="center"/>
        </w:trPr>
        <w:tc>
          <w:tcPr>
            <w:tcW w:w="7365" w:type="dxa"/>
            <w:tcBorders>
              <w:top w:val="nil"/>
              <w:left w:val="nil"/>
              <w:bottom w:val="nil"/>
              <w:right w:val="nil"/>
            </w:tcBorders>
            <w:shd w:val="clear" w:color="auto" w:fill="CCEEFF"/>
            <w:tcMar>
              <w:top w:w="0" w:type="dxa"/>
              <w:left w:w="53" w:type="dxa"/>
              <w:bottom w:w="0" w:type="dxa"/>
              <w:right w:w="15" w:type="dxa"/>
            </w:tcMar>
            <w:vAlign w:val="bottom"/>
          </w:tcPr>
          <w:p w14:paraId="6D5E031F" w14:textId="77777777" w:rsidR="00D22731" w:rsidRDefault="00FF2E54">
            <w:pPr>
              <w:keepNext/>
              <w:spacing w:before="75" w:after="30" w:line="200" w:lineRule="auto"/>
            </w:pPr>
            <w:r>
              <w:rPr>
                <w:color w:val="000000"/>
                <w:sz w:val="20"/>
              </w:rPr>
              <w:t>Net cash provided by operating activities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AAAA277"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F277FC8" w14:textId="77777777" w:rsidR="00D22731" w:rsidRDefault="00FF2E54">
            <w:pPr>
              <w:keepNext/>
              <w:spacing w:before="55" w:after="30" w:line="200" w:lineRule="auto"/>
              <w:jc w:val="right"/>
            </w:pPr>
            <w:r>
              <w:rPr>
                <w:color w:val="000000"/>
                <w:sz w:val="20"/>
              </w:rPr>
              <w:t>220.8 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95DD93E"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642B91" w14:textId="77777777" w:rsidR="00D22731" w:rsidRDefault="00D2273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DE81FE2"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1C0283" w14:textId="77777777" w:rsidR="00D22731" w:rsidRDefault="00FF2E54">
            <w:pPr>
              <w:keepNext/>
              <w:spacing w:before="55" w:after="30" w:line="200" w:lineRule="auto"/>
              <w:jc w:val="right"/>
            </w:pPr>
            <w:r>
              <w:rPr>
                <w:color w:val="000000"/>
                <w:sz w:val="20"/>
              </w:rPr>
              <w:t>221.2 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699142A" w14:textId="77777777" w:rsidR="00D22731" w:rsidRDefault="00D22731">
            <w:pPr>
              <w:keepNext/>
              <w:spacing w:before="55" w:after="30" w:line="200" w:lineRule="auto"/>
            </w:pPr>
          </w:p>
        </w:tc>
      </w:tr>
      <w:tr w:rsidR="00D22731" w14:paraId="7D99A05D" w14:textId="77777777">
        <w:trPr>
          <w:cantSplit/>
          <w:trHeight w:hRule="exact" w:val="300"/>
          <w:jc w:val="center"/>
        </w:trPr>
        <w:tc>
          <w:tcPr>
            <w:tcW w:w="7365" w:type="dxa"/>
            <w:tcBorders>
              <w:top w:val="nil"/>
              <w:left w:val="nil"/>
              <w:bottom w:val="nil"/>
              <w:right w:val="nil"/>
            </w:tcBorders>
            <w:shd w:val="clear" w:color="auto" w:fill="FFFFFF"/>
            <w:tcMar>
              <w:top w:w="0" w:type="dxa"/>
              <w:left w:w="53" w:type="dxa"/>
              <w:bottom w:w="0" w:type="dxa"/>
              <w:right w:w="53" w:type="dxa"/>
            </w:tcMar>
            <w:vAlign w:val="bottom"/>
          </w:tcPr>
          <w:p w14:paraId="61840EC9" w14:textId="77777777" w:rsidR="00D22731" w:rsidRDefault="00FF2E54">
            <w:pPr>
              <w:keepNext/>
              <w:spacing w:before="75" w:after="30" w:line="200" w:lineRule="auto"/>
              <w:ind w:left="225"/>
            </w:pPr>
            <w:r>
              <w:rPr>
                <w:color w:val="000000"/>
                <w:sz w:val="20"/>
              </w:rPr>
              <w:t>Less: Purchases of property and equipment</w:t>
            </w: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2381CB9" w14:textId="77777777" w:rsidR="00D22731" w:rsidRDefault="00FF2E54">
            <w:pPr>
              <w:keepNext/>
              <w:spacing w:before="75" w:after="30" w:line="200" w:lineRule="auto"/>
              <w:jc w:val="right"/>
            </w:pPr>
            <w:r>
              <w:rPr>
                <w:color w:val="000000"/>
                <w:sz w:val="20"/>
              </w:rPr>
              <w:t>(35.1)</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DB2A7AB"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D72962" w14:textId="77777777" w:rsidR="00D22731" w:rsidRDefault="00D22731">
            <w:pPr>
              <w:keepNext/>
            </w:pPr>
          </w:p>
        </w:tc>
        <w:tc>
          <w:tcPr>
            <w:tcW w:w="12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E5B5B69" w14:textId="77777777" w:rsidR="00D22731" w:rsidRDefault="00FF2E54">
            <w:pPr>
              <w:keepNext/>
              <w:spacing w:before="75" w:after="30" w:line="200" w:lineRule="auto"/>
              <w:jc w:val="right"/>
            </w:pPr>
            <w:r>
              <w:rPr>
                <w:color w:val="000000"/>
                <w:sz w:val="20"/>
              </w:rPr>
              <w:t>(17.5)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CE9792" w14:textId="77777777" w:rsidR="00D22731" w:rsidRDefault="00D22731">
            <w:pPr>
              <w:keepNext/>
              <w:spacing w:before="75" w:after="30" w:line="200" w:lineRule="auto"/>
            </w:pPr>
          </w:p>
        </w:tc>
      </w:tr>
      <w:tr w:rsidR="00D22731" w14:paraId="57D847F1" w14:textId="77777777">
        <w:trPr>
          <w:cantSplit/>
          <w:trHeight w:hRule="exact" w:val="300"/>
          <w:jc w:val="center"/>
        </w:trPr>
        <w:tc>
          <w:tcPr>
            <w:tcW w:w="7365" w:type="dxa"/>
            <w:tcBorders>
              <w:top w:val="nil"/>
              <w:left w:val="nil"/>
              <w:bottom w:val="nil"/>
              <w:right w:val="nil"/>
            </w:tcBorders>
            <w:shd w:val="clear" w:color="auto" w:fill="CCEEFF"/>
            <w:tcMar>
              <w:top w:w="0" w:type="dxa"/>
              <w:left w:w="53" w:type="dxa"/>
              <w:bottom w:w="0" w:type="dxa"/>
              <w:right w:w="15" w:type="dxa"/>
            </w:tcMar>
            <w:vAlign w:val="bottom"/>
          </w:tcPr>
          <w:p w14:paraId="09AA184F" w14:textId="77777777" w:rsidR="00D22731" w:rsidRDefault="00FF2E54">
            <w:pPr>
              <w:keepNext/>
              <w:spacing w:before="75" w:after="30" w:line="200" w:lineRule="auto"/>
            </w:pPr>
            <w:r>
              <w:rPr>
                <w:color w:val="000000"/>
                <w:sz w:val="20"/>
              </w:rPr>
              <w:t>Free cash flow</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D734060"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9798D20" w14:textId="77777777" w:rsidR="00D22731" w:rsidRDefault="00FF2E54">
            <w:pPr>
              <w:keepNext/>
              <w:spacing w:before="55" w:after="30" w:line="200" w:lineRule="auto"/>
              <w:jc w:val="right"/>
            </w:pPr>
            <w:r>
              <w:rPr>
                <w:color w:val="000000"/>
                <w:sz w:val="20"/>
              </w:rPr>
              <w:t>185.7 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727CDD5"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10299E"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0193F95"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3A8FEEA" w14:textId="77777777" w:rsidR="00D22731" w:rsidRDefault="00FF2E54">
            <w:pPr>
              <w:keepNext/>
              <w:spacing w:before="55" w:after="30" w:line="200" w:lineRule="auto"/>
              <w:jc w:val="right"/>
            </w:pPr>
            <w:r>
              <w:rPr>
                <w:color w:val="000000"/>
                <w:sz w:val="20"/>
              </w:rPr>
              <w:t>203.7 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5480AEF" w14:textId="77777777" w:rsidR="00D22731" w:rsidRDefault="00D22731">
            <w:pPr>
              <w:keepNext/>
              <w:spacing w:before="55" w:after="30" w:line="200" w:lineRule="auto"/>
            </w:pPr>
          </w:p>
        </w:tc>
      </w:tr>
      <w:tr w:rsidR="00D22731" w14:paraId="2E8440FB" w14:textId="77777777">
        <w:trPr>
          <w:cantSplit/>
          <w:trHeight w:hRule="exact" w:val="300"/>
          <w:jc w:val="center"/>
        </w:trPr>
        <w:tc>
          <w:tcPr>
            <w:tcW w:w="7365" w:type="dxa"/>
            <w:tcBorders>
              <w:top w:val="nil"/>
              <w:left w:val="nil"/>
              <w:bottom w:val="nil"/>
              <w:right w:val="nil"/>
            </w:tcBorders>
            <w:shd w:val="clear" w:color="auto" w:fill="FFFFFF"/>
            <w:tcMar>
              <w:top w:w="0" w:type="dxa"/>
              <w:left w:w="53" w:type="dxa"/>
              <w:bottom w:w="0" w:type="dxa"/>
              <w:right w:w="15" w:type="dxa"/>
            </w:tcMar>
            <w:vAlign w:val="bottom"/>
          </w:tcPr>
          <w:p w14:paraId="1F4CCF94" w14:textId="77777777" w:rsidR="00D22731" w:rsidRDefault="00FF2E54">
            <w:pPr>
              <w:keepNext/>
              <w:spacing w:before="75" w:after="30" w:line="200" w:lineRule="auto"/>
            </w:pPr>
            <w:r>
              <w:rPr>
                <w:color w:val="000000"/>
                <w:sz w:val="20"/>
              </w:rPr>
              <w:t>Net cash used in investing activities</w:t>
            </w: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0C4313D" w14:textId="77777777" w:rsidR="00D22731" w:rsidRDefault="00FF2E54">
            <w:pPr>
              <w:keepNext/>
              <w:spacing w:before="55" w:after="30" w:line="200" w:lineRule="auto"/>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1A1CE25" w14:textId="77777777" w:rsidR="00D22731" w:rsidRDefault="00FF2E54">
            <w:pPr>
              <w:keepNext/>
              <w:spacing w:before="55" w:after="30" w:line="200" w:lineRule="auto"/>
              <w:jc w:val="right"/>
            </w:pPr>
            <w:r>
              <w:rPr>
                <w:color w:val="000000"/>
                <w:sz w:val="20"/>
              </w:rPr>
              <w:t>(224.6)</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76E4B3E"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494F47"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0735B1F" w14:textId="77777777" w:rsidR="00D22731" w:rsidRDefault="00FF2E54">
            <w:pPr>
              <w:keepNext/>
              <w:spacing w:before="55" w:after="30" w:line="200" w:lineRule="auto"/>
            </w:pPr>
            <w:r>
              <w:rPr>
                <w:color w:val="000000"/>
                <w:sz w:val="20"/>
              </w:rPr>
              <w:t>$</w:t>
            </w:r>
          </w:p>
        </w:tc>
        <w:tc>
          <w:tcPr>
            <w:tcW w:w="1075"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47B5F58" w14:textId="77777777" w:rsidR="00D22731" w:rsidRDefault="00FF2E54">
            <w:pPr>
              <w:keepNext/>
              <w:spacing w:before="55" w:after="30" w:line="200" w:lineRule="auto"/>
              <w:jc w:val="right"/>
            </w:pPr>
            <w:r>
              <w:rPr>
                <w:color w:val="000000"/>
                <w:sz w:val="20"/>
              </w:rPr>
              <w:t>(27.1)</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C059DD1" w14:textId="77777777" w:rsidR="00D22731" w:rsidRDefault="00D22731">
            <w:pPr>
              <w:keepNext/>
              <w:spacing w:before="55" w:after="30" w:line="200" w:lineRule="auto"/>
            </w:pPr>
          </w:p>
        </w:tc>
      </w:tr>
      <w:tr w:rsidR="00D22731" w14:paraId="65197577" w14:textId="77777777">
        <w:trPr>
          <w:cantSplit/>
          <w:trHeight w:hRule="exact" w:val="300"/>
          <w:jc w:val="center"/>
        </w:trPr>
        <w:tc>
          <w:tcPr>
            <w:tcW w:w="7365" w:type="dxa"/>
            <w:tcBorders>
              <w:top w:val="nil"/>
              <w:left w:val="nil"/>
              <w:bottom w:val="nil"/>
              <w:right w:val="nil"/>
            </w:tcBorders>
            <w:shd w:val="clear" w:color="auto" w:fill="CCEEFF"/>
            <w:tcMar>
              <w:top w:w="0" w:type="dxa"/>
              <w:left w:w="53" w:type="dxa"/>
              <w:bottom w:w="0" w:type="dxa"/>
              <w:right w:w="15" w:type="dxa"/>
            </w:tcMar>
            <w:vAlign w:val="bottom"/>
          </w:tcPr>
          <w:p w14:paraId="22BD9FF2" w14:textId="77777777" w:rsidR="00D22731" w:rsidRDefault="00FF2E54">
            <w:pPr>
              <w:spacing w:before="75" w:after="30" w:line="200" w:lineRule="auto"/>
            </w:pPr>
            <w:r>
              <w:rPr>
                <w:color w:val="000000"/>
                <w:sz w:val="20"/>
              </w:rPr>
              <w:t>Net cash used in financing activities</w:t>
            </w:r>
          </w:p>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FADDAAF" w14:textId="77777777" w:rsidR="00D22731" w:rsidRDefault="00FF2E54">
            <w:pPr>
              <w:spacing w:before="55" w:after="30" w:line="200" w:lineRule="auto"/>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BAB4843" w14:textId="77777777" w:rsidR="00D22731" w:rsidRDefault="00FF2E54">
            <w:pPr>
              <w:spacing w:before="55" w:after="30" w:line="200" w:lineRule="auto"/>
              <w:jc w:val="right"/>
            </w:pPr>
            <w:r>
              <w:rPr>
                <w:color w:val="000000"/>
                <w:sz w:val="20"/>
              </w:rPr>
              <w:t>(30.3)</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5000043" w14:textId="77777777" w:rsidR="00D22731" w:rsidRDefault="00D2273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1706F2" w14:textId="77777777" w:rsidR="00D22731" w:rsidRDefault="00D22731"/>
        </w:tc>
        <w:tc>
          <w:tcPr>
            <w:tcW w:w="160" w:type="dxa"/>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A724E61" w14:textId="77777777" w:rsidR="00D22731" w:rsidRDefault="00FF2E54">
            <w:pPr>
              <w:spacing w:before="55" w:after="30" w:line="200" w:lineRule="auto"/>
            </w:pPr>
            <w:r>
              <w:rPr>
                <w:color w:val="000000"/>
                <w:sz w:val="20"/>
              </w:rPr>
              <w:t>$</w:t>
            </w:r>
          </w:p>
        </w:tc>
        <w:tc>
          <w:tcPr>
            <w:tcW w:w="1075" w:type="dxa"/>
            <w:tcBorders>
              <w:top w:val="doub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E359841" w14:textId="77777777" w:rsidR="00D22731" w:rsidRDefault="00FF2E54">
            <w:pPr>
              <w:spacing w:before="55" w:after="30" w:line="200" w:lineRule="auto"/>
              <w:jc w:val="right"/>
            </w:pPr>
            <w:r>
              <w:rPr>
                <w:color w:val="000000"/>
                <w:sz w:val="20"/>
              </w:rPr>
              <w:t>(40.7)</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91EFE94" w14:textId="77777777" w:rsidR="00D22731" w:rsidRDefault="00D22731">
            <w:pPr>
              <w:spacing w:before="55" w:after="30" w:line="200" w:lineRule="auto"/>
            </w:pPr>
          </w:p>
        </w:tc>
      </w:tr>
    </w:tbl>
    <w:p w14:paraId="1CBC402E" w14:textId="77777777" w:rsidR="00D22731" w:rsidRDefault="00D22731">
      <w:pPr>
        <w:spacing w:before="100" w:line="248" w:lineRule="auto"/>
        <w:jc w:val="center"/>
        <w:rPr>
          <w:b/>
          <w:sz w:val="20"/>
        </w:rPr>
      </w:pPr>
    </w:p>
    <w:p w14:paraId="7CF6F867" w14:textId="77777777" w:rsidR="00D22731" w:rsidRDefault="00FF2E54">
      <w:pPr>
        <w:spacing w:after="100" w:line="248" w:lineRule="auto"/>
        <w:rPr>
          <w:b/>
          <w:sz w:val="20"/>
        </w:rPr>
      </w:pPr>
      <w:r>
        <w:rPr>
          <w:b/>
          <w:sz w:val="20"/>
        </w:rPr>
        <w:t xml:space="preserve">Reconciliation of GAAP operating income to non-GAAP operating income, operating margin, net </w:t>
      </w:r>
      <w:proofErr w:type="gramStart"/>
      <w:r>
        <w:rPr>
          <w:b/>
          <w:sz w:val="20"/>
        </w:rPr>
        <w:t>income</w:t>
      </w:r>
      <w:proofErr w:type="gramEnd"/>
      <w:r>
        <w:rPr>
          <w:b/>
          <w:sz w:val="20"/>
        </w:rPr>
        <w:t xml:space="preserve"> and diluted net income per share</w:t>
      </w:r>
      <w:r>
        <w:rPr>
          <w:b/>
          <w:sz w:val="20"/>
          <w:vertAlign w:val="superscript"/>
        </w:rPr>
        <w:t>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60"/>
        <w:gridCol w:w="863"/>
        <w:gridCol w:w="182"/>
        <w:gridCol w:w="72"/>
        <w:gridCol w:w="160"/>
        <w:gridCol w:w="865"/>
        <w:gridCol w:w="98"/>
        <w:gridCol w:w="344"/>
        <w:gridCol w:w="160"/>
        <w:gridCol w:w="863"/>
        <w:gridCol w:w="182"/>
        <w:gridCol w:w="129"/>
        <w:gridCol w:w="160"/>
        <w:gridCol w:w="863"/>
        <w:gridCol w:w="182"/>
        <w:gridCol w:w="72"/>
        <w:gridCol w:w="160"/>
        <w:gridCol w:w="865"/>
        <w:gridCol w:w="98"/>
        <w:gridCol w:w="344"/>
        <w:gridCol w:w="160"/>
        <w:gridCol w:w="863"/>
        <w:gridCol w:w="182"/>
      </w:tblGrid>
      <w:tr w:rsidR="00D22731" w14:paraId="1109BB37" w14:textId="77777777">
        <w:trPr>
          <w:cantSplit/>
          <w:trHeight w:hRule="exact" w:val="495"/>
          <w:jc w:val="center"/>
        </w:trPr>
        <w:tc>
          <w:tcPr>
            <w:tcW w:w="2355" w:type="dxa"/>
            <w:tcBorders>
              <w:top w:val="nil"/>
              <w:left w:val="nil"/>
              <w:bottom w:val="nil"/>
              <w:right w:val="nil"/>
            </w:tcBorders>
            <w:tcMar>
              <w:top w:w="0" w:type="dxa"/>
              <w:left w:w="0" w:type="dxa"/>
              <w:bottom w:w="0" w:type="dxa"/>
              <w:right w:w="0" w:type="dxa"/>
            </w:tcMar>
            <w:vAlign w:val="bottom"/>
          </w:tcPr>
          <w:p w14:paraId="29A48380" w14:textId="77777777" w:rsidR="00D22731" w:rsidRDefault="00D22731">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2755978C" w14:textId="77777777" w:rsidR="00D22731" w:rsidRDefault="00FF2E54">
            <w:pPr>
              <w:keepNext/>
              <w:spacing w:before="75" w:after="30" w:line="200" w:lineRule="auto"/>
              <w:jc w:val="center"/>
            </w:pPr>
            <w:r>
              <w:rPr>
                <w:b/>
                <w:color w:val="000000"/>
                <w:sz w:val="20"/>
              </w:rPr>
              <w:t>Three Months Ended September 30, 2020</w:t>
            </w:r>
          </w:p>
        </w:tc>
        <w:tc>
          <w:tcPr>
            <w:tcW w:w="135" w:type="dxa"/>
            <w:tcBorders>
              <w:top w:val="nil"/>
              <w:left w:val="nil"/>
              <w:bottom w:val="nil"/>
              <w:right w:val="nil"/>
            </w:tcBorders>
            <w:tcMar>
              <w:top w:w="0" w:type="dxa"/>
              <w:left w:w="0" w:type="dxa"/>
              <w:bottom w:w="0" w:type="dxa"/>
              <w:right w:w="0" w:type="dxa"/>
            </w:tcMar>
            <w:vAlign w:val="bottom"/>
          </w:tcPr>
          <w:p w14:paraId="19A3ABBB" w14:textId="77777777" w:rsidR="00D22731" w:rsidRDefault="00D22731">
            <w:pPr>
              <w:keepNext/>
            </w:pPr>
          </w:p>
        </w:tc>
        <w:tc>
          <w:tcPr>
            <w:tcW w:w="3825" w:type="dxa"/>
            <w:gridSpan w:val="11"/>
            <w:tcBorders>
              <w:top w:val="nil"/>
              <w:left w:val="nil"/>
              <w:bottom w:val="single" w:sz="8" w:space="0" w:color="000000"/>
              <w:right w:val="nil"/>
            </w:tcBorders>
            <w:tcMar>
              <w:top w:w="0" w:type="dxa"/>
              <w:left w:w="53" w:type="dxa"/>
              <w:bottom w:w="0" w:type="dxa"/>
              <w:right w:w="53" w:type="dxa"/>
            </w:tcMar>
            <w:vAlign w:val="bottom"/>
          </w:tcPr>
          <w:p w14:paraId="36FFDE8E" w14:textId="77777777" w:rsidR="00D22731" w:rsidRDefault="00FF2E54">
            <w:pPr>
              <w:keepNext/>
              <w:spacing w:before="75" w:after="30" w:line="200" w:lineRule="auto"/>
              <w:jc w:val="center"/>
            </w:pPr>
            <w:r>
              <w:rPr>
                <w:b/>
                <w:color w:val="000000"/>
                <w:sz w:val="20"/>
              </w:rPr>
              <w:t>Three Months Ended September 30, 2019</w:t>
            </w:r>
          </w:p>
        </w:tc>
      </w:tr>
      <w:tr w:rsidR="00D22731" w14:paraId="2BCC84ED" w14:textId="77777777">
        <w:trPr>
          <w:cantSplit/>
          <w:trHeight w:hRule="exact" w:val="435"/>
          <w:jc w:val="center"/>
        </w:trPr>
        <w:tc>
          <w:tcPr>
            <w:tcW w:w="2355" w:type="dxa"/>
            <w:tcBorders>
              <w:top w:val="nil"/>
              <w:left w:val="nil"/>
              <w:bottom w:val="nil"/>
              <w:right w:val="nil"/>
            </w:tcBorders>
            <w:tcMar>
              <w:top w:w="0" w:type="dxa"/>
              <w:left w:w="0" w:type="dxa"/>
              <w:bottom w:w="0" w:type="dxa"/>
              <w:right w:w="0" w:type="dxa"/>
            </w:tcMar>
            <w:vAlign w:val="bottom"/>
          </w:tcPr>
          <w:p w14:paraId="3D5FE75A" w14:textId="77777777" w:rsidR="00D22731" w:rsidRDefault="00D22731">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233B2E48" w14:textId="77777777" w:rsidR="00D22731" w:rsidRDefault="00FF2E54">
            <w:pPr>
              <w:keepNext/>
              <w:spacing w:before="55" w:after="30" w:line="200" w:lineRule="auto"/>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06B37AE" w14:textId="77777777" w:rsidR="00D22731" w:rsidRDefault="00D22731">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C43D88B" w14:textId="77777777" w:rsidR="00D22731" w:rsidRDefault="00FF2E54">
            <w:pPr>
              <w:keepNext/>
              <w:spacing w:before="55" w:after="30" w:line="200" w:lineRule="auto"/>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71D7072A" w14:textId="77777777" w:rsidR="00D22731" w:rsidRDefault="00D22731">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13AB8B6" w14:textId="77777777" w:rsidR="00D22731" w:rsidRDefault="00FF2E54">
            <w:pPr>
              <w:keepNext/>
              <w:spacing w:before="55" w:after="30" w:line="200" w:lineRule="auto"/>
              <w:jc w:val="center"/>
            </w:pPr>
            <w:r>
              <w:rPr>
                <w:b/>
                <w:color w:val="000000"/>
                <w:sz w:val="18"/>
              </w:rPr>
              <w:t>Non-GAAP Results</w:t>
            </w:r>
          </w:p>
        </w:tc>
        <w:tc>
          <w:tcPr>
            <w:tcW w:w="135" w:type="dxa"/>
            <w:tcBorders>
              <w:top w:val="nil"/>
              <w:left w:val="nil"/>
              <w:bottom w:val="nil"/>
              <w:right w:val="nil"/>
            </w:tcBorders>
            <w:tcMar>
              <w:top w:w="0" w:type="dxa"/>
              <w:left w:w="0" w:type="dxa"/>
              <w:bottom w:w="0" w:type="dxa"/>
              <w:right w:w="0" w:type="dxa"/>
            </w:tcMar>
            <w:vAlign w:val="bottom"/>
          </w:tcPr>
          <w:p w14:paraId="24CD1209" w14:textId="77777777" w:rsidR="00D22731" w:rsidRDefault="00D22731">
            <w:pPr>
              <w:keepNext/>
            </w:pPr>
          </w:p>
        </w:tc>
        <w:tc>
          <w:tcPr>
            <w:tcW w:w="1140" w:type="dxa"/>
            <w:gridSpan w:val="3"/>
            <w:tcBorders>
              <w:top w:val="nil"/>
              <w:left w:val="nil"/>
              <w:bottom w:val="single" w:sz="8" w:space="0" w:color="000000"/>
              <w:right w:val="nil"/>
            </w:tcBorders>
            <w:tcMar>
              <w:top w:w="0" w:type="dxa"/>
              <w:left w:w="53" w:type="dxa"/>
              <w:bottom w:w="0" w:type="dxa"/>
              <w:right w:w="53" w:type="dxa"/>
            </w:tcMar>
            <w:vAlign w:val="bottom"/>
          </w:tcPr>
          <w:p w14:paraId="6A3996AB" w14:textId="77777777" w:rsidR="00D22731" w:rsidRDefault="00FF2E54">
            <w:pPr>
              <w:keepNext/>
              <w:spacing w:before="55" w:after="30" w:line="200" w:lineRule="auto"/>
              <w:jc w:val="center"/>
            </w:pPr>
            <w:r>
              <w:rPr>
                <w:b/>
                <w:color w:val="000000"/>
                <w:sz w:val="18"/>
              </w:rPr>
              <w:t>GAAP Results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E560F30" w14:textId="77777777" w:rsidR="00D22731" w:rsidRDefault="00D22731">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069181F4" w14:textId="77777777" w:rsidR="00D22731" w:rsidRDefault="00FF2E54">
            <w:pPr>
              <w:keepNext/>
              <w:spacing w:before="55" w:after="30" w:line="200" w:lineRule="auto"/>
              <w:jc w:val="center"/>
            </w:pPr>
            <w:r>
              <w:rPr>
                <w:b/>
                <w:color w:val="000000"/>
                <w:sz w:val="18"/>
              </w:rPr>
              <w:t>Adjustments</w:t>
            </w:r>
          </w:p>
        </w:tc>
        <w:tc>
          <w:tcPr>
            <w:tcW w:w="345" w:type="dxa"/>
            <w:tcBorders>
              <w:top w:val="single" w:sz="8" w:space="0" w:color="000000"/>
              <w:left w:val="nil"/>
              <w:bottom w:val="nil"/>
              <w:right w:val="nil"/>
            </w:tcBorders>
            <w:tcMar>
              <w:top w:w="0" w:type="dxa"/>
              <w:left w:w="0" w:type="dxa"/>
              <w:bottom w:w="0" w:type="dxa"/>
              <w:right w:w="0" w:type="dxa"/>
            </w:tcMar>
            <w:vAlign w:val="bottom"/>
          </w:tcPr>
          <w:p w14:paraId="17331521" w14:textId="77777777" w:rsidR="00D22731" w:rsidRDefault="00D22731">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DBE6244" w14:textId="77777777" w:rsidR="00D22731" w:rsidRDefault="00FF2E54">
            <w:pPr>
              <w:keepNext/>
              <w:spacing w:before="55" w:after="30" w:line="200" w:lineRule="auto"/>
              <w:jc w:val="center"/>
            </w:pPr>
            <w:r>
              <w:rPr>
                <w:b/>
                <w:color w:val="000000"/>
                <w:sz w:val="18"/>
              </w:rPr>
              <w:t>Non-GAAP Results</w:t>
            </w:r>
          </w:p>
        </w:tc>
      </w:tr>
      <w:tr w:rsidR="00D22731" w14:paraId="42F70BCC"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601430BE" w14:textId="77777777" w:rsidR="00D22731" w:rsidRDefault="00FF2E54">
            <w:pPr>
              <w:keepNext/>
              <w:spacing w:before="75" w:after="30" w:line="200" w:lineRule="auto"/>
            </w:pPr>
            <w:r>
              <w:rPr>
                <w:color w:val="000000"/>
                <w:sz w:val="20"/>
              </w:rPr>
              <w:t>Operating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19ECF28" w14:textId="77777777" w:rsidR="00D22731" w:rsidRDefault="00FF2E54">
            <w:pPr>
              <w:keepNext/>
              <w:spacing w:before="55" w:after="30" w:line="200" w:lineRule="auto"/>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47DD4BF" w14:textId="77777777" w:rsidR="00D22731" w:rsidRDefault="00FF2E54">
            <w:pPr>
              <w:keepNext/>
              <w:spacing w:before="55" w:after="30" w:line="200" w:lineRule="auto"/>
              <w:jc w:val="right"/>
            </w:pPr>
            <w:r>
              <w:rPr>
                <w:color w:val="000000"/>
                <w:sz w:val="20"/>
              </w:rPr>
              <w:t>126.9 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A578B77"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8E1EA2"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63A14DB" w14:textId="77777777" w:rsidR="00D22731" w:rsidRDefault="00FF2E54">
            <w:pPr>
              <w:keepNext/>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D3ECD88" w14:textId="77777777" w:rsidR="00D22731" w:rsidRDefault="00FF2E54">
            <w:pPr>
              <w:keepNext/>
              <w:spacing w:before="55" w:after="30" w:line="200" w:lineRule="auto"/>
              <w:jc w:val="right"/>
            </w:pPr>
            <w:r>
              <w:rPr>
                <w:color w:val="000000"/>
                <w:sz w:val="20"/>
              </w:rPr>
              <w:t>51.7 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5FA82E" w14:textId="77777777" w:rsidR="00D22731" w:rsidRDefault="00D22731">
            <w:pPr>
              <w:keepNext/>
              <w:spacing w:before="55" w:after="30" w:line="200" w:lineRule="auto"/>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59C3DB61" w14:textId="77777777" w:rsidR="00D22731" w:rsidRDefault="00FF2E54">
            <w:pPr>
              <w:keepNext/>
              <w:spacing w:before="75" w:after="30" w:line="200" w:lineRule="auto"/>
              <w:jc w:val="right"/>
            </w:pPr>
            <w:r>
              <w:rPr>
                <w:color w:val="000000"/>
                <w:sz w:val="18"/>
              </w:rPr>
              <w:t>(a)</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C3FD04" w14:textId="77777777" w:rsidR="00D22731" w:rsidRDefault="00FF2E54">
            <w:pPr>
              <w:keepNext/>
              <w:spacing w:before="55" w:after="30" w:line="200" w:lineRule="auto"/>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ECE680D" w14:textId="77777777" w:rsidR="00D22731" w:rsidRDefault="00FF2E54">
            <w:pPr>
              <w:keepNext/>
              <w:spacing w:before="55" w:after="30" w:line="200" w:lineRule="auto"/>
              <w:jc w:val="right"/>
            </w:pPr>
            <w:r>
              <w:rPr>
                <w:color w:val="000000"/>
                <w:sz w:val="20"/>
              </w:rPr>
              <w:t>178.6 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F7AC69D" w14:textId="77777777" w:rsidR="00D22731" w:rsidRDefault="00D22731">
            <w:pPr>
              <w:keepNext/>
              <w:spacing w:before="55" w:after="30" w:line="200" w:lineRule="auto"/>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342253AC"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3F0B0C6" w14:textId="77777777" w:rsidR="00D22731" w:rsidRDefault="00FF2E54">
            <w:pPr>
              <w:keepNext/>
              <w:spacing w:before="55" w:after="30" w:line="200" w:lineRule="auto"/>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3BA53C0" w14:textId="77777777" w:rsidR="00D22731" w:rsidRDefault="00FF2E54">
            <w:pPr>
              <w:keepNext/>
              <w:spacing w:before="55" w:after="30" w:line="200" w:lineRule="auto"/>
              <w:jc w:val="right"/>
            </w:pPr>
            <w:r>
              <w:rPr>
                <w:color w:val="000000"/>
                <w:sz w:val="20"/>
              </w:rPr>
              <w:t>100.6 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E2BD2F3"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48AB30"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8DC3477" w14:textId="77777777" w:rsidR="00D22731" w:rsidRDefault="00FF2E54">
            <w:pPr>
              <w:keepNext/>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2D5A5F3" w14:textId="77777777" w:rsidR="00D22731" w:rsidRDefault="00FF2E54">
            <w:pPr>
              <w:keepNext/>
              <w:spacing w:before="55" w:after="30" w:line="200" w:lineRule="auto"/>
              <w:jc w:val="right"/>
            </w:pPr>
            <w:r>
              <w:rPr>
                <w:color w:val="000000"/>
                <w:sz w:val="20"/>
              </w:rPr>
              <w:t>44.6 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94C4A9F" w14:textId="77777777" w:rsidR="00D22731" w:rsidRDefault="00D22731">
            <w:pPr>
              <w:keepNext/>
              <w:spacing w:before="55" w:after="30" w:line="200" w:lineRule="auto"/>
            </w:pPr>
          </w:p>
        </w:tc>
        <w:tc>
          <w:tcPr>
            <w:tcW w:w="345" w:type="dxa"/>
            <w:tcBorders>
              <w:top w:val="nil"/>
              <w:left w:val="nil"/>
              <w:bottom w:val="nil"/>
              <w:right w:val="nil"/>
            </w:tcBorders>
            <w:shd w:val="clear" w:color="auto" w:fill="CCEEFF"/>
            <w:tcMar>
              <w:top w:w="0" w:type="dxa"/>
              <w:left w:w="53" w:type="dxa"/>
              <w:bottom w:w="0" w:type="dxa"/>
              <w:right w:w="15" w:type="dxa"/>
            </w:tcMar>
            <w:vAlign w:val="bottom"/>
          </w:tcPr>
          <w:p w14:paraId="3ED78C74" w14:textId="77777777" w:rsidR="00D22731" w:rsidRDefault="00FF2E54">
            <w:pPr>
              <w:keepNext/>
              <w:spacing w:before="75" w:after="30" w:line="200" w:lineRule="auto"/>
              <w:jc w:val="center"/>
            </w:pPr>
            <w:r>
              <w:rPr>
                <w:color w:val="000000"/>
                <w:sz w:val="18"/>
              </w:rPr>
              <w:t>(b)</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E341E0C" w14:textId="77777777" w:rsidR="00D22731" w:rsidRDefault="00FF2E54">
            <w:pPr>
              <w:keepNext/>
              <w:spacing w:before="55" w:after="30" w:line="200" w:lineRule="auto"/>
            </w:pPr>
            <w:r>
              <w:rPr>
                <w:color w:val="000000"/>
                <w:sz w:val="20"/>
              </w:rPr>
              <w:t>$</w:t>
            </w:r>
          </w:p>
        </w:tc>
        <w:tc>
          <w:tcPr>
            <w:tcW w:w="8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0719F61" w14:textId="77777777" w:rsidR="00D22731" w:rsidRDefault="00FF2E54">
            <w:pPr>
              <w:keepNext/>
              <w:spacing w:before="55" w:after="30" w:line="200" w:lineRule="auto"/>
              <w:jc w:val="right"/>
            </w:pPr>
            <w:r>
              <w:rPr>
                <w:color w:val="000000"/>
                <w:sz w:val="20"/>
              </w:rPr>
              <w:t>145.2 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1FC312C" w14:textId="77777777" w:rsidR="00D22731" w:rsidRDefault="00D22731">
            <w:pPr>
              <w:keepNext/>
              <w:spacing w:before="55" w:after="30" w:line="200" w:lineRule="auto"/>
            </w:pPr>
          </w:p>
        </w:tc>
      </w:tr>
      <w:tr w:rsidR="00D22731" w14:paraId="6518A77B" w14:textId="77777777">
        <w:trPr>
          <w:cantSplit/>
          <w:trHeight w:hRule="exact" w:val="30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1A8C6E66" w14:textId="77777777" w:rsidR="00D22731" w:rsidRDefault="00FF2E54">
            <w:pPr>
              <w:keepNext/>
              <w:spacing w:before="75" w:after="30" w:line="200" w:lineRule="auto"/>
            </w:pPr>
            <w:r>
              <w:rPr>
                <w:color w:val="000000"/>
                <w:sz w:val="20"/>
              </w:rPr>
              <w:t>Operating margin</w:t>
            </w: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8740F02" w14:textId="77777777" w:rsidR="00D22731" w:rsidRDefault="00FF2E54">
            <w:pPr>
              <w:keepNext/>
              <w:spacing w:before="55" w:after="30" w:line="200" w:lineRule="auto"/>
              <w:jc w:val="right"/>
            </w:pPr>
            <w:r>
              <w:rPr>
                <w:color w:val="000000"/>
                <w:sz w:val="20"/>
              </w:rPr>
              <w:t>19.5 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706BEF" w14:textId="77777777" w:rsidR="00D22731" w:rsidRDefault="00FF2E54">
            <w:pPr>
              <w:keepNext/>
              <w:spacing w:before="55" w:after="30" w:line="200" w:lineRule="auto"/>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E9901B" w14:textId="77777777" w:rsidR="00D22731" w:rsidRDefault="00D22731">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14A4550" w14:textId="77777777" w:rsidR="00D22731" w:rsidRDefault="00D22731">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951B7F2" w14:textId="77777777" w:rsidR="00D22731" w:rsidRDefault="00D22731">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F0AAD5B" w14:textId="77777777" w:rsidR="00D22731" w:rsidRDefault="00FF2E54">
            <w:pPr>
              <w:keepNext/>
              <w:spacing w:before="55" w:after="30" w:line="200" w:lineRule="auto"/>
              <w:jc w:val="right"/>
            </w:pPr>
            <w:r>
              <w:rPr>
                <w:color w:val="000000"/>
                <w:sz w:val="20"/>
              </w:rPr>
              <w:t>27.4 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7A97238" w14:textId="77777777" w:rsidR="00D22731" w:rsidRDefault="00FF2E54">
            <w:pPr>
              <w:keepNext/>
              <w:spacing w:before="55" w:after="30" w:line="200" w:lineRule="auto"/>
              <w:jc w:val="right"/>
            </w:pPr>
            <w:r>
              <w:rPr>
                <w:color w:val="000000"/>
                <w:sz w:val="20"/>
              </w:rPr>
              <w:t>%</w:t>
            </w: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1A8FB96B" w14:textId="77777777" w:rsidR="00D22731" w:rsidRDefault="00D22731">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6C90701" w14:textId="77777777" w:rsidR="00D22731" w:rsidRDefault="00FF2E54">
            <w:pPr>
              <w:keepNext/>
              <w:spacing w:before="55" w:after="30" w:line="200" w:lineRule="auto"/>
              <w:jc w:val="right"/>
            </w:pPr>
            <w:r>
              <w:rPr>
                <w:color w:val="000000"/>
                <w:sz w:val="20"/>
              </w:rPr>
              <w:t>18.4 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91E6FA1" w14:textId="77777777" w:rsidR="00D22731" w:rsidRDefault="00FF2E54">
            <w:pPr>
              <w:keepNext/>
              <w:spacing w:before="55" w:after="30" w:line="200" w:lineRule="auto"/>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AD4B27" w14:textId="77777777" w:rsidR="00D22731" w:rsidRDefault="00D22731">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162904F1" w14:textId="77777777" w:rsidR="00D22731" w:rsidRDefault="00D22731">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3EAF4900" w14:textId="77777777" w:rsidR="00D22731" w:rsidRDefault="00D22731">
            <w:pPr>
              <w:keepNext/>
            </w:pPr>
          </w:p>
        </w:tc>
        <w:tc>
          <w:tcPr>
            <w:tcW w:w="1040" w:type="dxa"/>
            <w:gridSpan w:val="2"/>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590485C" w14:textId="77777777" w:rsidR="00D22731" w:rsidRDefault="00FF2E54">
            <w:pPr>
              <w:keepNext/>
              <w:spacing w:before="55" w:after="30" w:line="200" w:lineRule="auto"/>
              <w:jc w:val="right"/>
            </w:pPr>
            <w:r>
              <w:rPr>
                <w:color w:val="000000"/>
                <w:sz w:val="20"/>
              </w:rPr>
              <w:t>26.5 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34D693" w14:textId="77777777" w:rsidR="00D22731" w:rsidRDefault="00FF2E54">
            <w:pPr>
              <w:keepNext/>
              <w:spacing w:before="55" w:after="30" w:line="200" w:lineRule="auto"/>
              <w:jc w:val="right"/>
            </w:pPr>
            <w:r>
              <w:rPr>
                <w:color w:val="000000"/>
                <w:sz w:val="20"/>
              </w:rPr>
              <w:t>%</w:t>
            </w:r>
          </w:p>
        </w:tc>
      </w:tr>
      <w:tr w:rsidR="00D22731" w14:paraId="3B4E0EB5"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7DDE110A" w14:textId="77777777" w:rsidR="00D22731" w:rsidRDefault="00FF2E54">
            <w:pPr>
              <w:keepNext/>
              <w:spacing w:before="75" w:after="30" w:line="200" w:lineRule="auto"/>
            </w:pPr>
            <w:r>
              <w:rPr>
                <w:color w:val="000000"/>
                <w:sz w:val="20"/>
              </w:rPr>
              <w:t>Adjustments:</w:t>
            </w: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4B40BA66"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3BA802" w14:textId="77777777" w:rsidR="00D22731" w:rsidRDefault="00D2273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44A91D1B" w14:textId="77777777" w:rsidR="00D22731" w:rsidRDefault="00D22731">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26CE807B" w14:textId="77777777" w:rsidR="00D22731" w:rsidRDefault="00D22731">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B23C932" w14:textId="77777777" w:rsidR="00D22731" w:rsidRDefault="00D22731">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06EA6D31" w14:textId="77777777" w:rsidR="00D22731" w:rsidRDefault="00D22731">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6A6BA519"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A9A80B" w14:textId="77777777" w:rsidR="00D22731" w:rsidRDefault="00D22731">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0DA0806C" w14:textId="77777777" w:rsidR="00D22731" w:rsidRDefault="00D22731">
            <w:pPr>
              <w:keepNext/>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616B5B37" w14:textId="77777777" w:rsidR="00D22731" w:rsidRDefault="00D22731">
            <w:pPr>
              <w:keepNext/>
            </w:pPr>
          </w:p>
        </w:tc>
        <w:tc>
          <w:tcPr>
            <w:tcW w:w="11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6E973EB8" w14:textId="77777777" w:rsidR="00D22731" w:rsidRDefault="00D22731">
            <w:pPr>
              <w:keepNext/>
            </w:pPr>
          </w:p>
        </w:tc>
      </w:tr>
      <w:tr w:rsidR="00D22731" w14:paraId="4D86BE79" w14:textId="77777777">
        <w:trPr>
          <w:cantSplit/>
          <w:trHeight w:hRule="exact" w:val="48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3C9704F4" w14:textId="77777777" w:rsidR="00D22731" w:rsidRDefault="00FF2E54">
            <w:pPr>
              <w:keepNext/>
              <w:spacing w:before="75" w:after="30" w:line="200" w:lineRule="auto"/>
              <w:ind w:left="225"/>
            </w:pPr>
            <w:r>
              <w:rPr>
                <w:color w:val="000000"/>
                <w:sz w:val="20"/>
              </w:rPr>
              <w:t xml:space="preserve">Stock-based compensation </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08A5DE42"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4C46BE" w14:textId="77777777" w:rsidR="00D22731" w:rsidRDefault="00D2273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2F42CCC7" w14:textId="77777777" w:rsidR="00D22731" w:rsidRDefault="00FF2E54">
            <w:pPr>
              <w:keepNext/>
              <w:spacing w:before="75" w:after="30" w:line="200" w:lineRule="auto"/>
              <w:jc w:val="right"/>
            </w:pPr>
            <w:r>
              <w:rPr>
                <w:color w:val="000000"/>
                <w:sz w:val="20"/>
              </w:rPr>
              <w:t>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B6BB65"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D3FE802"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47B47828" w14:textId="77777777" w:rsidR="00D22731" w:rsidRDefault="00D22731">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717271DE"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4E873B99"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06306E" w14:textId="77777777" w:rsidR="00D22731" w:rsidRDefault="00D2273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497CA941" w14:textId="77777777" w:rsidR="00D22731" w:rsidRDefault="00FF2E54">
            <w:pPr>
              <w:keepNext/>
              <w:spacing w:before="75" w:after="30" w:line="200" w:lineRule="auto"/>
              <w:jc w:val="right"/>
            </w:pPr>
            <w:r>
              <w:rPr>
                <w:color w:val="000000"/>
                <w:sz w:val="20"/>
              </w:rPr>
              <w:t>42.4 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75EC6B"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1CFB9B7E"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7B88E359" w14:textId="77777777" w:rsidR="00D22731" w:rsidRDefault="00D22731">
            <w:pPr>
              <w:keepNext/>
            </w:pPr>
          </w:p>
        </w:tc>
      </w:tr>
      <w:tr w:rsidR="00D22731" w14:paraId="50240B22" w14:textId="77777777">
        <w:trPr>
          <w:cantSplit/>
          <w:trHeight w:hRule="exact" w:val="495"/>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45460C96" w14:textId="77777777" w:rsidR="00D22731" w:rsidRDefault="00FF2E54">
            <w:pPr>
              <w:keepNext/>
              <w:spacing w:before="75" w:after="30" w:line="200" w:lineRule="auto"/>
              <w:ind w:left="225"/>
            </w:pPr>
            <w:r>
              <w:rPr>
                <w:color w:val="000000"/>
                <w:sz w:val="20"/>
              </w:rPr>
              <w:t>Amortization of acquired intangible assets</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2B5DAE29"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EF224D" w14:textId="77777777" w:rsidR="00D22731" w:rsidRDefault="00D2273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4803C1C8" w14:textId="77777777" w:rsidR="00D22731" w:rsidRDefault="00FF2E54">
            <w:pPr>
              <w:keepNext/>
              <w:spacing w:before="75" w:after="30" w:line="200" w:lineRule="auto"/>
              <w:jc w:val="right"/>
            </w:pPr>
            <w:r>
              <w:rPr>
                <w:color w:val="000000"/>
                <w:sz w:val="20"/>
              </w:rPr>
              <w:t>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32DFF61" w14:textId="77777777" w:rsidR="00D22731" w:rsidRDefault="00D22731">
            <w:pPr>
              <w:keepNext/>
              <w:spacing w:before="75" w:after="30" w:line="200" w:lineRule="auto"/>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26AB1165" w14:textId="77777777" w:rsidR="00D22731" w:rsidRDefault="00D22731">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0BC70B6A" w14:textId="77777777" w:rsidR="00D22731" w:rsidRDefault="00D22731">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6E0D8C11" w14:textId="77777777" w:rsidR="00D22731" w:rsidRDefault="00D22731">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18C3489C"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C559D2" w14:textId="77777777" w:rsidR="00D22731" w:rsidRDefault="00D2273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2C139C44" w14:textId="77777777" w:rsidR="00D22731" w:rsidRDefault="00FF2E54">
            <w:pPr>
              <w:keepNext/>
              <w:spacing w:before="75" w:after="30" w:line="200" w:lineRule="auto"/>
              <w:jc w:val="right"/>
            </w:pPr>
            <w:r>
              <w:rPr>
                <w:color w:val="000000"/>
                <w:sz w:val="20"/>
              </w:rPr>
              <w:t>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75EA16B" w14:textId="77777777" w:rsidR="00D22731" w:rsidRDefault="00D22731">
            <w:pPr>
              <w:keepNext/>
              <w:spacing w:before="75" w:after="30" w:line="200" w:lineRule="auto"/>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546328A3" w14:textId="77777777" w:rsidR="00D22731" w:rsidRDefault="00D22731">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7B1AD9D7" w14:textId="77777777" w:rsidR="00D22731" w:rsidRDefault="00D22731">
            <w:pPr>
              <w:keepNext/>
            </w:pPr>
          </w:p>
        </w:tc>
      </w:tr>
      <w:tr w:rsidR="00D22731" w14:paraId="06E292D5" w14:textId="77777777">
        <w:trPr>
          <w:cantSplit/>
          <w:trHeight w:hRule="exact" w:val="495"/>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11CC0546" w14:textId="77777777" w:rsidR="00D22731" w:rsidRDefault="00FF2E54">
            <w:pPr>
              <w:keepNext/>
              <w:spacing w:before="75" w:after="30" w:line="200" w:lineRule="auto"/>
              <w:ind w:left="225"/>
            </w:pPr>
            <w:r>
              <w:rPr>
                <w:color w:val="000000"/>
                <w:sz w:val="20"/>
              </w:rPr>
              <w:t>Gain on intellectual property matter</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AF313D0"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4BF40B" w14:textId="77777777" w:rsidR="00D22731" w:rsidRDefault="00D2273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0EDE2FE7" w14:textId="77777777" w:rsidR="00D22731" w:rsidRDefault="00FF2E54">
            <w:pPr>
              <w:keepNext/>
              <w:spacing w:before="75" w:after="30" w:line="200" w:lineRule="auto"/>
              <w:jc w:val="right"/>
            </w:pPr>
            <w:r>
              <w:rPr>
                <w:color w:val="000000"/>
                <w:sz w:val="20"/>
              </w:rPr>
              <w:t>(1.1)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CE06597"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47A6464B"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0E38F93" w14:textId="77777777" w:rsidR="00D22731" w:rsidRDefault="00D22731">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4507DC8F"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9A531D7"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75E16B" w14:textId="77777777" w:rsidR="00D22731" w:rsidRDefault="00D22731">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14:paraId="12559752" w14:textId="77777777" w:rsidR="00D22731" w:rsidRDefault="00FF2E54">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9AE945"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69F3FD04"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03E7385" w14:textId="77777777" w:rsidR="00D22731" w:rsidRDefault="00D22731">
            <w:pPr>
              <w:keepNext/>
            </w:pPr>
          </w:p>
        </w:tc>
      </w:tr>
      <w:tr w:rsidR="00D22731" w14:paraId="4545F551" w14:textId="77777777">
        <w:trPr>
          <w:cantSplit/>
          <w:trHeight w:hRule="exact" w:val="705"/>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3D279CDE" w14:textId="77777777" w:rsidR="00D22731" w:rsidRDefault="00FF2E54">
            <w:pPr>
              <w:keepNext/>
              <w:spacing w:before="75" w:after="30" w:line="200" w:lineRule="auto"/>
              <w:ind w:left="225"/>
            </w:pPr>
            <w:r>
              <w:rPr>
                <w:color w:val="000000"/>
                <w:sz w:val="20"/>
              </w:rPr>
              <w:t xml:space="preserve">Loss on investments in </w:t>
            </w:r>
            <w:proofErr w:type="gramStart"/>
            <w:r>
              <w:rPr>
                <w:color w:val="000000"/>
                <w:sz w:val="20"/>
              </w:rPr>
              <w:t>privately-held</w:t>
            </w:r>
            <w:proofErr w:type="gramEnd"/>
            <w:r>
              <w:rPr>
                <w:color w:val="000000"/>
                <w:sz w:val="20"/>
              </w:rPr>
              <w:t xml:space="preserve"> companies</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3B9BFEC"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04A150" w14:textId="77777777" w:rsidR="00D22731" w:rsidRDefault="00D2273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64AD7F6F" w14:textId="77777777" w:rsidR="00D22731" w:rsidRDefault="00FF2E54">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EFEAB73" w14:textId="77777777" w:rsidR="00D22731" w:rsidRDefault="00D22731">
            <w:pPr>
              <w:keepNext/>
              <w:spacing w:before="75" w:after="30" w:line="200" w:lineRule="auto"/>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3B044AB9" w14:textId="77777777" w:rsidR="00D22731" w:rsidRDefault="00D22731">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2EB35D12" w14:textId="77777777" w:rsidR="00D22731" w:rsidRDefault="00D22731">
            <w:pPr>
              <w:keepNext/>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3206486B" w14:textId="77777777" w:rsidR="00D22731" w:rsidRDefault="00D22731">
            <w:pPr>
              <w:keepNext/>
            </w:pP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3614F249" w14:textId="77777777" w:rsidR="00D22731" w:rsidRDefault="00D22731">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9FA3F3" w14:textId="77777777" w:rsidR="00D22731" w:rsidRDefault="00D22731">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14:paraId="73617B6A" w14:textId="77777777" w:rsidR="00D22731" w:rsidRDefault="00FF2E54">
            <w:pPr>
              <w:keepNext/>
              <w:spacing w:before="75" w:after="30" w:line="200" w:lineRule="auto"/>
              <w:jc w:val="right"/>
            </w:pPr>
            <w:r>
              <w:rPr>
                <w:color w:val="000000"/>
                <w:sz w:val="20"/>
              </w:rPr>
              <w:t>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C87F0D" w14:textId="77777777" w:rsidR="00D22731" w:rsidRDefault="00D22731">
            <w:pPr>
              <w:keepNext/>
              <w:spacing w:before="75" w:after="30" w:line="200" w:lineRule="auto"/>
            </w:pPr>
          </w:p>
        </w:tc>
        <w:tc>
          <w:tcPr>
            <w:tcW w:w="345" w:type="dxa"/>
            <w:tcBorders>
              <w:top w:val="nil"/>
              <w:left w:val="nil"/>
              <w:bottom w:val="nil"/>
              <w:right w:val="nil"/>
            </w:tcBorders>
            <w:shd w:val="clear" w:color="auto" w:fill="CCEEFF"/>
            <w:tcMar>
              <w:top w:w="0" w:type="dxa"/>
              <w:left w:w="53" w:type="dxa"/>
              <w:bottom w:w="0" w:type="dxa"/>
              <w:right w:w="53" w:type="dxa"/>
            </w:tcMar>
            <w:vAlign w:val="bottom"/>
          </w:tcPr>
          <w:p w14:paraId="0FBF0525" w14:textId="77777777" w:rsidR="00D22731" w:rsidRDefault="00FF2E54">
            <w:pPr>
              <w:keepNext/>
              <w:spacing w:before="75" w:after="30" w:line="200" w:lineRule="auto"/>
              <w:jc w:val="right"/>
            </w:pPr>
            <w:r>
              <w:rPr>
                <w:color w:val="000000"/>
                <w:sz w:val="18"/>
              </w:rPr>
              <w:t>(c)</w:t>
            </w:r>
          </w:p>
        </w:tc>
        <w:tc>
          <w:tcPr>
            <w:tcW w:w="1140" w:type="dxa"/>
            <w:gridSpan w:val="3"/>
            <w:tcBorders>
              <w:top w:val="nil"/>
              <w:left w:val="nil"/>
              <w:bottom w:val="nil"/>
              <w:right w:val="nil"/>
            </w:tcBorders>
            <w:shd w:val="clear" w:color="auto" w:fill="CCEEFF"/>
            <w:tcMar>
              <w:top w:w="0" w:type="dxa"/>
              <w:left w:w="0" w:type="dxa"/>
              <w:bottom w:w="0" w:type="dxa"/>
              <w:right w:w="0" w:type="dxa"/>
            </w:tcMar>
            <w:vAlign w:val="bottom"/>
          </w:tcPr>
          <w:p w14:paraId="2E3513D1" w14:textId="77777777" w:rsidR="00D22731" w:rsidRDefault="00D22731">
            <w:pPr>
              <w:keepNext/>
            </w:pPr>
          </w:p>
        </w:tc>
      </w:tr>
      <w:tr w:rsidR="00D22731" w14:paraId="48BDA1F1" w14:textId="77777777">
        <w:trPr>
          <w:cantSplit/>
          <w:trHeight w:hRule="exact" w:val="300"/>
          <w:jc w:val="center"/>
        </w:trPr>
        <w:tc>
          <w:tcPr>
            <w:tcW w:w="2355" w:type="dxa"/>
            <w:tcBorders>
              <w:top w:val="nil"/>
              <w:left w:val="nil"/>
              <w:bottom w:val="nil"/>
              <w:right w:val="nil"/>
            </w:tcBorders>
            <w:shd w:val="clear" w:color="auto" w:fill="FFFFFF"/>
            <w:tcMar>
              <w:top w:w="0" w:type="dxa"/>
              <w:left w:w="53" w:type="dxa"/>
              <w:bottom w:w="0" w:type="dxa"/>
              <w:right w:w="53" w:type="dxa"/>
            </w:tcMar>
            <w:vAlign w:val="bottom"/>
          </w:tcPr>
          <w:p w14:paraId="27E10DB4" w14:textId="77777777" w:rsidR="00D22731" w:rsidRDefault="00FF2E54">
            <w:pPr>
              <w:keepNext/>
              <w:spacing w:before="75" w:after="30" w:line="200" w:lineRule="auto"/>
              <w:ind w:left="225"/>
            </w:pPr>
            <w:r>
              <w:rPr>
                <w:color w:val="000000"/>
                <w:sz w:val="20"/>
              </w:rPr>
              <w:t>Tax adjustment</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7FD76DBB"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9999BF" w14:textId="77777777" w:rsidR="00D22731" w:rsidRDefault="00D2273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DABDCC6" w14:textId="77777777" w:rsidR="00D22731" w:rsidRDefault="00FF2E54">
            <w:pPr>
              <w:keepNext/>
              <w:spacing w:before="75" w:after="30" w:line="200" w:lineRule="auto"/>
              <w:jc w:val="right"/>
            </w:pPr>
            <w:r>
              <w:rPr>
                <w:color w:val="000000"/>
                <w:sz w:val="20"/>
              </w:rPr>
              <w:t>(29.7)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5416E19"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53" w:type="dxa"/>
              <w:bottom w:w="0" w:type="dxa"/>
              <w:right w:w="53" w:type="dxa"/>
            </w:tcMar>
            <w:vAlign w:val="bottom"/>
          </w:tcPr>
          <w:p w14:paraId="4A298A93" w14:textId="77777777" w:rsidR="00D22731" w:rsidRDefault="00FF2E54">
            <w:pPr>
              <w:keepNext/>
              <w:spacing w:before="75" w:after="30" w:line="200" w:lineRule="auto"/>
              <w:jc w:val="right"/>
            </w:pPr>
            <w:r>
              <w:rPr>
                <w:color w:val="000000"/>
                <w:sz w:val="18"/>
              </w:rPr>
              <w:t>(d)</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36B60CE8" w14:textId="77777777" w:rsidR="00D22731" w:rsidRDefault="00D22731">
            <w:pPr>
              <w:keepNext/>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011A0284" w14:textId="77777777" w:rsidR="00D22731" w:rsidRDefault="00D22731">
            <w:pPr>
              <w:keepNext/>
            </w:pP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DDF3A73" w14:textId="77777777" w:rsidR="00D22731" w:rsidRDefault="00D22731">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D225F8" w14:textId="77777777" w:rsidR="00D22731" w:rsidRDefault="00D22731">
            <w:pPr>
              <w:keepNext/>
            </w:pPr>
          </w:p>
        </w:tc>
        <w:tc>
          <w:tcPr>
            <w:tcW w:w="10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4077861" w14:textId="77777777" w:rsidR="00D22731" w:rsidRDefault="00FF2E54">
            <w:pPr>
              <w:keepNext/>
              <w:spacing w:before="75" w:after="30" w:line="200" w:lineRule="auto"/>
              <w:jc w:val="right"/>
            </w:pPr>
            <w:r>
              <w:rPr>
                <w:color w:val="000000"/>
                <w:sz w:val="20"/>
              </w:rPr>
              <w:t>(11.3)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DA2008D" w14:textId="77777777" w:rsidR="00D22731" w:rsidRDefault="00D22731">
            <w:pPr>
              <w:keepNext/>
              <w:spacing w:before="75" w:after="30" w:line="200" w:lineRule="auto"/>
            </w:pPr>
          </w:p>
        </w:tc>
        <w:tc>
          <w:tcPr>
            <w:tcW w:w="345" w:type="dxa"/>
            <w:tcBorders>
              <w:top w:val="nil"/>
              <w:left w:val="nil"/>
              <w:bottom w:val="nil"/>
              <w:right w:val="nil"/>
            </w:tcBorders>
            <w:shd w:val="clear" w:color="auto" w:fill="FFFFFF"/>
            <w:tcMar>
              <w:top w:w="0" w:type="dxa"/>
              <w:left w:w="53" w:type="dxa"/>
              <w:bottom w:w="0" w:type="dxa"/>
              <w:right w:w="53" w:type="dxa"/>
            </w:tcMar>
            <w:vAlign w:val="bottom"/>
          </w:tcPr>
          <w:p w14:paraId="6AFBD67F" w14:textId="77777777" w:rsidR="00D22731" w:rsidRDefault="00FF2E54">
            <w:pPr>
              <w:keepNext/>
              <w:spacing w:before="75" w:after="30" w:line="200" w:lineRule="auto"/>
              <w:jc w:val="right"/>
            </w:pPr>
            <w:r>
              <w:rPr>
                <w:color w:val="000000"/>
                <w:sz w:val="18"/>
              </w:rPr>
              <w:t>(d)</w:t>
            </w:r>
          </w:p>
        </w:tc>
        <w:tc>
          <w:tcPr>
            <w:tcW w:w="1140" w:type="dxa"/>
            <w:gridSpan w:val="3"/>
            <w:tcBorders>
              <w:top w:val="nil"/>
              <w:left w:val="nil"/>
              <w:bottom w:val="nil"/>
              <w:right w:val="nil"/>
            </w:tcBorders>
            <w:shd w:val="clear" w:color="auto" w:fill="FFFFFF"/>
            <w:tcMar>
              <w:top w:w="0" w:type="dxa"/>
              <w:left w:w="0" w:type="dxa"/>
              <w:bottom w:w="0" w:type="dxa"/>
              <w:right w:w="0" w:type="dxa"/>
            </w:tcMar>
            <w:vAlign w:val="bottom"/>
          </w:tcPr>
          <w:p w14:paraId="5A60A598" w14:textId="77777777" w:rsidR="00D22731" w:rsidRDefault="00D22731">
            <w:pPr>
              <w:keepNext/>
            </w:pPr>
          </w:p>
        </w:tc>
      </w:tr>
      <w:tr w:rsidR="00D22731" w14:paraId="04C41D48" w14:textId="77777777">
        <w:trPr>
          <w:cantSplit/>
          <w:trHeight w:hRule="exact" w:val="300"/>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2DFA7FB5" w14:textId="77777777" w:rsidR="00D22731" w:rsidRDefault="00FF2E54">
            <w:pPr>
              <w:keepNext/>
              <w:spacing w:before="75" w:after="30" w:line="200" w:lineRule="auto"/>
            </w:pPr>
            <w:r>
              <w:rPr>
                <w:color w:val="000000"/>
                <w:sz w:val="20"/>
              </w:rPr>
              <w:t>Net income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E01FE78" w14:textId="77777777" w:rsidR="00D22731" w:rsidRDefault="00FF2E54">
            <w:pPr>
              <w:keepNext/>
              <w:spacing w:before="75" w:after="30" w:line="200" w:lineRule="auto"/>
            </w:pPr>
            <w:r>
              <w:rPr>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D8C38E2" w14:textId="77777777" w:rsidR="00D22731" w:rsidRDefault="00FF2E54">
            <w:pPr>
              <w:keepNext/>
              <w:spacing w:before="75" w:after="30" w:line="200" w:lineRule="auto"/>
              <w:jc w:val="right"/>
            </w:pPr>
            <w:r>
              <w:rPr>
                <w:color w:val="000000"/>
                <w:sz w:val="20"/>
              </w:rPr>
              <w:t>123.4 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76EF02B"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00990E"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FFC9C9C" w14:textId="77777777" w:rsidR="00D22731" w:rsidRDefault="00FF2E54">
            <w:pPr>
              <w:keepNext/>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910BD26" w14:textId="77777777" w:rsidR="00D22731" w:rsidRDefault="00FF2E54">
            <w:pPr>
              <w:keepNext/>
              <w:spacing w:before="55" w:after="30" w:line="200" w:lineRule="auto"/>
              <w:jc w:val="right"/>
            </w:pPr>
            <w:r>
              <w:rPr>
                <w:color w:val="000000"/>
                <w:sz w:val="20"/>
              </w:rPr>
              <w:t>22.0 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23548A6" w14:textId="77777777" w:rsidR="00D22731" w:rsidRDefault="00D22731">
            <w:pPr>
              <w:keepNext/>
              <w:spacing w:before="55" w:after="30" w:line="200" w:lineRule="auto"/>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1130ED16" w14:textId="77777777" w:rsidR="00D22731" w:rsidRDefault="00D22731">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D04243C" w14:textId="77777777" w:rsidR="00D22731" w:rsidRDefault="00FF2E54">
            <w:pPr>
              <w:keepNext/>
              <w:spacing w:before="75" w:after="30" w:line="200" w:lineRule="auto"/>
            </w:pPr>
            <w:r>
              <w:rPr>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2EED0F6" w14:textId="77777777" w:rsidR="00D22731" w:rsidRDefault="00FF2E54">
            <w:pPr>
              <w:keepNext/>
              <w:spacing w:before="75" w:after="30" w:line="200" w:lineRule="auto"/>
              <w:jc w:val="right"/>
            </w:pPr>
            <w:r>
              <w:rPr>
                <w:color w:val="000000"/>
                <w:sz w:val="20"/>
              </w:rPr>
              <w:t>145.4 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ED34BED" w14:textId="77777777" w:rsidR="00D22731" w:rsidRDefault="00D22731">
            <w:pPr>
              <w:keepNext/>
              <w:spacing w:before="75" w:after="30" w:line="200" w:lineRule="auto"/>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6B14A5C7" w14:textId="77777777" w:rsidR="00D22731" w:rsidRDefault="00D22731">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228A59A" w14:textId="77777777" w:rsidR="00D22731" w:rsidRDefault="00FF2E54">
            <w:pPr>
              <w:keepNext/>
              <w:spacing w:before="75" w:after="30" w:line="200" w:lineRule="auto"/>
            </w:pPr>
            <w:r>
              <w:rPr>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C65C469" w14:textId="77777777" w:rsidR="00D22731" w:rsidRDefault="00FF2E54">
            <w:pPr>
              <w:keepNext/>
              <w:spacing w:before="75" w:after="30" w:line="200" w:lineRule="auto"/>
              <w:jc w:val="right"/>
            </w:pPr>
            <w:r>
              <w:rPr>
                <w:color w:val="000000"/>
                <w:sz w:val="20"/>
              </w:rPr>
              <w:t>80.2 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72CC437"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70442C" w14:textId="77777777" w:rsidR="00D22731" w:rsidRDefault="00D22731">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CF45628" w14:textId="77777777" w:rsidR="00D22731" w:rsidRDefault="00FF2E54">
            <w:pPr>
              <w:keepNext/>
              <w:spacing w:before="55" w:after="30" w:line="200" w:lineRule="auto"/>
            </w:pPr>
            <w:r>
              <w:rPr>
                <w:color w:val="000000"/>
                <w:sz w:val="20"/>
              </w:rPr>
              <w:t>$</w:t>
            </w:r>
          </w:p>
        </w:tc>
        <w:tc>
          <w:tcPr>
            <w:tcW w:w="8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499EDE8" w14:textId="77777777" w:rsidR="00D22731" w:rsidRDefault="00FF2E54">
            <w:pPr>
              <w:keepNext/>
              <w:spacing w:before="55" w:after="30" w:line="200" w:lineRule="auto"/>
              <w:jc w:val="right"/>
            </w:pPr>
            <w:r>
              <w:rPr>
                <w:color w:val="000000"/>
                <w:sz w:val="20"/>
              </w:rPr>
              <w:t>37.1 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048D206" w14:textId="77777777" w:rsidR="00D22731" w:rsidRDefault="00D22731">
            <w:pPr>
              <w:keepNext/>
              <w:spacing w:before="55" w:after="30" w:line="200" w:lineRule="auto"/>
            </w:pPr>
          </w:p>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04ADE382" w14:textId="77777777" w:rsidR="00D22731" w:rsidRDefault="00D22731">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DFDB5F7" w14:textId="77777777" w:rsidR="00D22731" w:rsidRDefault="00FF2E54">
            <w:pPr>
              <w:keepNext/>
              <w:spacing w:before="75" w:after="30" w:line="200" w:lineRule="auto"/>
            </w:pPr>
            <w:r>
              <w:rPr>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93A8E5F" w14:textId="77777777" w:rsidR="00D22731" w:rsidRDefault="00FF2E54">
            <w:pPr>
              <w:keepNext/>
              <w:spacing w:before="75" w:after="30" w:line="200" w:lineRule="auto"/>
              <w:jc w:val="right"/>
            </w:pPr>
            <w:r>
              <w:rPr>
                <w:color w:val="000000"/>
                <w:sz w:val="20"/>
              </w:rPr>
              <w:t>117.3 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674AAAA" w14:textId="77777777" w:rsidR="00D22731" w:rsidRDefault="00D22731">
            <w:pPr>
              <w:keepNext/>
              <w:spacing w:before="75" w:after="30" w:line="200" w:lineRule="auto"/>
            </w:pPr>
          </w:p>
        </w:tc>
      </w:tr>
      <w:tr w:rsidR="00D22731" w14:paraId="2506D054" w14:textId="77777777">
        <w:trPr>
          <w:cantSplit/>
          <w:trHeight w:hRule="exact" w:val="495"/>
          <w:jc w:val="center"/>
        </w:trPr>
        <w:tc>
          <w:tcPr>
            <w:tcW w:w="2355" w:type="dxa"/>
            <w:tcBorders>
              <w:top w:val="nil"/>
              <w:left w:val="nil"/>
              <w:bottom w:val="nil"/>
              <w:right w:val="nil"/>
            </w:tcBorders>
            <w:shd w:val="clear" w:color="auto" w:fill="FFFFFF"/>
            <w:tcMar>
              <w:top w:w="0" w:type="dxa"/>
              <w:left w:w="53" w:type="dxa"/>
              <w:bottom w:w="0" w:type="dxa"/>
              <w:right w:w="15" w:type="dxa"/>
            </w:tcMar>
            <w:vAlign w:val="bottom"/>
          </w:tcPr>
          <w:p w14:paraId="72A402F5" w14:textId="77777777" w:rsidR="00D22731" w:rsidRDefault="00FF2E54">
            <w:pPr>
              <w:keepNext/>
              <w:spacing w:before="75" w:after="30" w:line="200" w:lineRule="auto"/>
            </w:pPr>
            <w:r>
              <w:rPr>
                <w:color w:val="000000"/>
                <w:sz w:val="20"/>
              </w:rPr>
              <w:t>Diluted net income per share</w:t>
            </w: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9126CDD" w14:textId="77777777" w:rsidR="00D22731" w:rsidRDefault="00FF2E54">
            <w:pPr>
              <w:keepNext/>
              <w:spacing w:before="55" w:after="30" w:line="200" w:lineRule="auto"/>
            </w:pPr>
            <w:r>
              <w:rPr>
                <w:color w:val="000000"/>
                <w:sz w:val="20"/>
              </w:rPr>
              <w:t>$</w:t>
            </w:r>
          </w:p>
        </w:tc>
        <w:tc>
          <w:tcPr>
            <w:tcW w:w="88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2E71780" w14:textId="77777777" w:rsidR="00D22731" w:rsidRDefault="00FF2E54">
            <w:pPr>
              <w:keepNext/>
              <w:spacing w:before="55" w:after="30" w:line="200" w:lineRule="auto"/>
              <w:jc w:val="right"/>
            </w:pPr>
            <w:r>
              <w:rPr>
                <w:color w:val="000000"/>
                <w:sz w:val="20"/>
              </w:rPr>
              <w:t>0.75 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67D72B4"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A617C4" w14:textId="77777777" w:rsidR="00D22731" w:rsidRDefault="00D22731">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FEA92C5" w14:textId="77777777" w:rsidR="00D22731" w:rsidRDefault="00D22731">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50D5DDE"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CD6E05F" w14:textId="77777777" w:rsidR="00D22731" w:rsidRDefault="00FF2E54">
            <w:pPr>
              <w:keepNext/>
              <w:spacing w:before="55" w:after="30" w:line="200" w:lineRule="auto"/>
            </w:pPr>
            <w:r>
              <w:rPr>
                <w:color w:val="000000"/>
                <w:sz w:val="20"/>
              </w:rPr>
              <w:t>$</w:t>
            </w:r>
          </w:p>
        </w:tc>
        <w:tc>
          <w:tcPr>
            <w:tcW w:w="88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A6A645F" w14:textId="77777777" w:rsidR="00D22731" w:rsidRDefault="00FF2E54">
            <w:pPr>
              <w:keepNext/>
              <w:spacing w:before="55" w:after="30" w:line="200" w:lineRule="auto"/>
              <w:jc w:val="right"/>
            </w:pPr>
            <w:r>
              <w:rPr>
                <w:color w:val="000000"/>
                <w:sz w:val="20"/>
              </w:rPr>
              <w:t>0.88 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E994B68" w14:textId="77777777" w:rsidR="00D22731" w:rsidRDefault="00D22731">
            <w:pPr>
              <w:keepNext/>
              <w:spacing w:before="55" w:after="30" w:line="200" w:lineRule="auto"/>
            </w:pPr>
          </w:p>
        </w:tc>
        <w:tc>
          <w:tcPr>
            <w:tcW w:w="135" w:type="dxa"/>
            <w:tcBorders>
              <w:top w:val="nil"/>
              <w:left w:val="nil"/>
              <w:bottom w:val="nil"/>
              <w:right w:val="nil"/>
            </w:tcBorders>
            <w:shd w:val="clear" w:color="auto" w:fill="FFFFFF"/>
            <w:tcMar>
              <w:top w:w="0" w:type="dxa"/>
              <w:left w:w="0" w:type="dxa"/>
              <w:bottom w:w="0" w:type="dxa"/>
              <w:right w:w="0" w:type="dxa"/>
            </w:tcMar>
            <w:vAlign w:val="bottom"/>
          </w:tcPr>
          <w:p w14:paraId="69EEA5C7"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35AAAB3" w14:textId="77777777" w:rsidR="00D22731" w:rsidRDefault="00FF2E54">
            <w:pPr>
              <w:keepNext/>
              <w:spacing w:before="55" w:after="30" w:line="200" w:lineRule="auto"/>
            </w:pPr>
            <w:r>
              <w:rPr>
                <w:color w:val="000000"/>
                <w:sz w:val="20"/>
              </w:rPr>
              <w:t>$</w:t>
            </w:r>
          </w:p>
        </w:tc>
        <w:tc>
          <w:tcPr>
            <w:tcW w:w="88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8533B9E" w14:textId="77777777" w:rsidR="00D22731" w:rsidRDefault="00FF2E54">
            <w:pPr>
              <w:keepNext/>
              <w:spacing w:before="55" w:after="30" w:line="200" w:lineRule="auto"/>
              <w:jc w:val="right"/>
            </w:pPr>
            <w:r>
              <w:rPr>
                <w:color w:val="000000"/>
                <w:sz w:val="20"/>
              </w:rPr>
              <w:t>0.46 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C22E4C8" w14:textId="77777777" w:rsidR="00D22731" w:rsidRDefault="00D22731">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AF91F8" w14:textId="77777777" w:rsidR="00D22731" w:rsidRDefault="00D22731">
            <w:pPr>
              <w:keepNext/>
            </w:pPr>
          </w:p>
        </w:tc>
        <w:tc>
          <w:tcPr>
            <w:tcW w:w="11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77F8B3E" w14:textId="77777777" w:rsidR="00D22731" w:rsidRDefault="00D22731">
            <w:pPr>
              <w:keepNext/>
            </w:pPr>
          </w:p>
        </w:tc>
        <w:tc>
          <w:tcPr>
            <w:tcW w:w="345" w:type="dxa"/>
            <w:tcBorders>
              <w:top w:val="nil"/>
              <w:left w:val="nil"/>
              <w:bottom w:val="nil"/>
              <w:right w:val="nil"/>
            </w:tcBorders>
            <w:shd w:val="clear" w:color="auto" w:fill="FFFFFF"/>
            <w:tcMar>
              <w:top w:w="0" w:type="dxa"/>
              <w:left w:w="0" w:type="dxa"/>
              <w:bottom w:w="0" w:type="dxa"/>
              <w:right w:w="0" w:type="dxa"/>
            </w:tcMar>
            <w:vAlign w:val="bottom"/>
          </w:tcPr>
          <w:p w14:paraId="230DB38D" w14:textId="77777777" w:rsidR="00D22731" w:rsidRDefault="00D22731">
            <w:pPr>
              <w:keepNext/>
            </w:pPr>
          </w:p>
        </w:tc>
        <w:tc>
          <w:tcPr>
            <w:tcW w:w="160" w:type="dxa"/>
            <w:tcBorders>
              <w:top w:val="doub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FADDC85" w14:textId="77777777" w:rsidR="00D22731" w:rsidRDefault="00FF2E54">
            <w:pPr>
              <w:keepNext/>
              <w:spacing w:before="55" w:after="30" w:line="200" w:lineRule="auto"/>
            </w:pPr>
            <w:r>
              <w:rPr>
                <w:color w:val="000000"/>
                <w:sz w:val="20"/>
              </w:rPr>
              <w:t>$</w:t>
            </w:r>
          </w:p>
        </w:tc>
        <w:tc>
          <w:tcPr>
            <w:tcW w:w="88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BF1D247" w14:textId="77777777" w:rsidR="00D22731" w:rsidRDefault="00FF2E54">
            <w:pPr>
              <w:keepNext/>
              <w:spacing w:before="55" w:after="30" w:line="200" w:lineRule="auto"/>
              <w:jc w:val="right"/>
            </w:pPr>
            <w:r>
              <w:rPr>
                <w:color w:val="000000"/>
                <w:sz w:val="20"/>
              </w:rPr>
              <w:t>0.67 </w:t>
            </w:r>
          </w:p>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71CC036" w14:textId="77777777" w:rsidR="00D22731" w:rsidRDefault="00D22731">
            <w:pPr>
              <w:keepNext/>
              <w:spacing w:before="55" w:after="30" w:line="200" w:lineRule="auto"/>
            </w:pPr>
          </w:p>
        </w:tc>
      </w:tr>
      <w:tr w:rsidR="00D22731" w14:paraId="4B499455" w14:textId="77777777">
        <w:trPr>
          <w:cantSplit/>
          <w:trHeight w:hRule="exact" w:val="705"/>
          <w:jc w:val="center"/>
        </w:trPr>
        <w:tc>
          <w:tcPr>
            <w:tcW w:w="2355" w:type="dxa"/>
            <w:tcBorders>
              <w:top w:val="nil"/>
              <w:left w:val="nil"/>
              <w:bottom w:val="nil"/>
              <w:right w:val="nil"/>
            </w:tcBorders>
            <w:shd w:val="clear" w:color="auto" w:fill="CCEEFF"/>
            <w:tcMar>
              <w:top w:w="0" w:type="dxa"/>
              <w:left w:w="53" w:type="dxa"/>
              <w:bottom w:w="0" w:type="dxa"/>
              <w:right w:w="53" w:type="dxa"/>
            </w:tcMar>
            <w:vAlign w:val="bottom"/>
          </w:tcPr>
          <w:p w14:paraId="1172F1F9" w14:textId="77777777" w:rsidR="00D22731" w:rsidRDefault="00FF2E54">
            <w:pPr>
              <w:spacing w:before="75" w:after="30" w:line="200" w:lineRule="auto"/>
            </w:pPr>
            <w:r>
              <w:rPr>
                <w:color w:val="000000"/>
                <w:sz w:val="20"/>
              </w:rPr>
              <w:t xml:space="preserve">Shares used in diluted net income per share calculations </w:t>
            </w:r>
          </w:p>
        </w:tc>
        <w:tc>
          <w:tcPr>
            <w:tcW w:w="1040" w:type="dxa"/>
            <w:gridSpan w:val="2"/>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1B98D91" w14:textId="77777777" w:rsidR="00D22731" w:rsidRDefault="00FF2E54">
            <w:pPr>
              <w:spacing w:before="55" w:after="30" w:line="200" w:lineRule="auto"/>
              <w:jc w:val="right"/>
            </w:pPr>
            <w:r>
              <w:rPr>
                <w:color w:val="000000"/>
                <w:sz w:val="20"/>
              </w:rPr>
              <w:t>165.6 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6789851" w14:textId="77777777" w:rsidR="00D22731" w:rsidRDefault="00D2273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782E74" w14:textId="77777777" w:rsidR="00D22731" w:rsidRDefault="00D22731"/>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6C9AC625" w14:textId="77777777" w:rsidR="00D22731" w:rsidRDefault="00D22731"/>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08B06784" w14:textId="77777777" w:rsidR="00D22731" w:rsidRDefault="00D22731"/>
        </w:tc>
        <w:tc>
          <w:tcPr>
            <w:tcW w:w="1040" w:type="dxa"/>
            <w:gridSpan w:val="2"/>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27FDFFB" w14:textId="77777777" w:rsidR="00D22731" w:rsidRDefault="00FF2E54">
            <w:pPr>
              <w:spacing w:before="55" w:after="30" w:line="200" w:lineRule="auto"/>
              <w:jc w:val="right"/>
            </w:pPr>
            <w:r>
              <w:rPr>
                <w:color w:val="000000"/>
                <w:sz w:val="20"/>
              </w:rPr>
              <w:t>165.6 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EC0A6C2" w14:textId="77777777" w:rsidR="00D22731" w:rsidRDefault="00D22731">
            <w:pPr>
              <w:spacing w:before="55" w:after="30" w:line="200" w:lineRule="auto"/>
            </w:pPr>
          </w:p>
        </w:tc>
        <w:tc>
          <w:tcPr>
            <w:tcW w:w="135" w:type="dxa"/>
            <w:tcBorders>
              <w:top w:val="nil"/>
              <w:left w:val="nil"/>
              <w:bottom w:val="nil"/>
              <w:right w:val="nil"/>
            </w:tcBorders>
            <w:shd w:val="clear" w:color="auto" w:fill="CCEEFF"/>
            <w:tcMar>
              <w:top w:w="0" w:type="dxa"/>
              <w:left w:w="0" w:type="dxa"/>
              <w:bottom w:w="0" w:type="dxa"/>
              <w:right w:w="0" w:type="dxa"/>
            </w:tcMar>
            <w:vAlign w:val="bottom"/>
          </w:tcPr>
          <w:p w14:paraId="2FCA1CA5" w14:textId="77777777" w:rsidR="00D22731" w:rsidRDefault="00D22731"/>
        </w:tc>
        <w:tc>
          <w:tcPr>
            <w:tcW w:w="1040" w:type="dxa"/>
            <w:gridSpan w:val="2"/>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B9BA4F" w14:textId="77777777" w:rsidR="00D22731" w:rsidRDefault="00FF2E54">
            <w:pPr>
              <w:spacing w:before="55" w:after="30" w:line="200" w:lineRule="auto"/>
              <w:jc w:val="right"/>
            </w:pPr>
            <w:r>
              <w:rPr>
                <w:color w:val="000000"/>
                <w:sz w:val="20"/>
              </w:rPr>
              <w:t>174.8 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B2D56C5" w14:textId="77777777" w:rsidR="00D22731" w:rsidRDefault="00D22731">
            <w:pPr>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6696F7" w14:textId="77777777" w:rsidR="00D22731" w:rsidRDefault="00D22731"/>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14:paraId="4BBA3B93" w14:textId="77777777" w:rsidR="00D22731" w:rsidRDefault="00D22731"/>
        </w:tc>
        <w:tc>
          <w:tcPr>
            <w:tcW w:w="345" w:type="dxa"/>
            <w:tcBorders>
              <w:top w:val="nil"/>
              <w:left w:val="nil"/>
              <w:bottom w:val="nil"/>
              <w:right w:val="nil"/>
            </w:tcBorders>
            <w:shd w:val="clear" w:color="auto" w:fill="CCEEFF"/>
            <w:tcMar>
              <w:top w:w="0" w:type="dxa"/>
              <w:left w:w="0" w:type="dxa"/>
              <w:bottom w:w="0" w:type="dxa"/>
              <w:right w:w="0" w:type="dxa"/>
            </w:tcMar>
            <w:vAlign w:val="bottom"/>
          </w:tcPr>
          <w:p w14:paraId="428C58EF" w14:textId="77777777" w:rsidR="00D22731" w:rsidRDefault="00D22731"/>
        </w:tc>
        <w:tc>
          <w:tcPr>
            <w:tcW w:w="1040" w:type="dxa"/>
            <w:gridSpan w:val="2"/>
            <w:tcBorders>
              <w:top w:val="doub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D3C9D32" w14:textId="77777777" w:rsidR="00D22731" w:rsidRDefault="00FF2E54">
            <w:pPr>
              <w:spacing w:before="55" w:after="30" w:line="200" w:lineRule="auto"/>
              <w:jc w:val="right"/>
            </w:pPr>
            <w:r>
              <w:rPr>
                <w:color w:val="000000"/>
                <w:sz w:val="20"/>
              </w:rPr>
              <w:t>174.8 </w:t>
            </w:r>
          </w:p>
        </w:tc>
        <w:tc>
          <w:tcPr>
            <w:tcW w:w="1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9674EDF" w14:textId="77777777" w:rsidR="00D22731" w:rsidRDefault="00D22731">
            <w:pPr>
              <w:spacing w:before="55" w:after="30" w:line="200" w:lineRule="auto"/>
            </w:pPr>
          </w:p>
        </w:tc>
      </w:tr>
    </w:tbl>
    <w:p w14:paraId="60CC5A1E" w14:textId="77777777" w:rsidR="00D22731" w:rsidRDefault="00D22731">
      <w:pPr>
        <w:spacing w:before="100" w:line="248" w:lineRule="auto"/>
        <w:rPr>
          <w:sz w:val="20"/>
        </w:rPr>
      </w:pPr>
    </w:p>
    <w:p w14:paraId="1AAA178E" w14:textId="77777777" w:rsidR="00D22731" w:rsidRDefault="00FF2E54">
      <w:pPr>
        <w:spacing w:line="248" w:lineRule="auto"/>
        <w:rPr>
          <w:sz w:val="20"/>
        </w:rPr>
      </w:pPr>
      <w:r>
        <w:rPr>
          <w:sz w:val="20"/>
        </w:rPr>
        <w:t>(a) To exclude $50.0 million of stock-based compensation and $2.8 million of amortization of acquired intangible assets, offset by a $1.1 million gain on intellectual property matter, in the three months ended September 30, 2020.</w:t>
      </w:r>
    </w:p>
    <w:p w14:paraId="0A565039" w14:textId="77777777" w:rsidR="00D22731" w:rsidRDefault="00FF2E54">
      <w:pPr>
        <w:spacing w:line="248" w:lineRule="auto"/>
        <w:rPr>
          <w:sz w:val="20"/>
        </w:rPr>
      </w:pPr>
      <w:r>
        <w:rPr>
          <w:sz w:val="20"/>
        </w:rPr>
        <w:t>(b) To exclude $42.4 million of stock-based compensation and $2.2 million of amortization of acquired intangible assets in the three months ended September 30, 2019.</w:t>
      </w:r>
    </w:p>
    <w:p w14:paraId="2C503F93" w14:textId="77777777" w:rsidR="00D22731" w:rsidRDefault="00FF2E54">
      <w:pPr>
        <w:spacing w:line="248" w:lineRule="auto"/>
        <w:rPr>
          <w:sz w:val="20"/>
        </w:rPr>
      </w:pPr>
      <w:r>
        <w:rPr>
          <w:sz w:val="20"/>
        </w:rPr>
        <w:t>(c) To exclude a $3.8 million impairment charge on an investment in a privately held company.</w:t>
      </w:r>
    </w:p>
    <w:p w14:paraId="1DA3ABF8" w14:textId="77777777" w:rsidR="00D22731" w:rsidRDefault="00FF2E54">
      <w:pPr>
        <w:spacing w:line="248" w:lineRule="auto"/>
        <w:rPr>
          <w:sz w:val="20"/>
        </w:rPr>
      </w:pPr>
      <w:r>
        <w:rPr>
          <w:sz w:val="20"/>
        </w:rPr>
        <w:t>(d) Non-GAAP financial information is adjusted to an effective tax rate of 19% and 24% in the three months ended 2020 and 2019, respectively, on a non-GAAP basis, which differs from the GAAP effective tax rate.</w:t>
      </w:r>
    </w:p>
    <w:p w14:paraId="2B08FA19" w14:textId="77777777" w:rsidR="00D22731" w:rsidRDefault="00D22731">
      <w:pPr>
        <w:spacing w:line="248" w:lineRule="auto"/>
        <w:rPr>
          <w:b/>
          <w:sz w:val="18"/>
          <w:vertAlign w:val="superscript"/>
        </w:rPr>
      </w:pPr>
    </w:p>
    <w:p w14:paraId="126F62FB" w14:textId="77777777" w:rsidR="00D22731" w:rsidRDefault="00FF2E54">
      <w:pPr>
        <w:keepNext/>
        <w:spacing w:after="100" w:line="248" w:lineRule="auto"/>
        <w:rPr>
          <w:b/>
          <w:sz w:val="20"/>
        </w:rPr>
      </w:pPr>
      <w:r>
        <w:rPr>
          <w:b/>
          <w:sz w:val="20"/>
        </w:rPr>
        <w:lastRenderedPageBreak/>
        <w:t>Reconciliation of total revenue to total billings</w:t>
      </w:r>
      <w:r>
        <w:rPr>
          <w:b/>
          <w:sz w:val="20"/>
          <w:vertAlign w:val="superscript"/>
        </w:rPr>
        <w:t>1</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163"/>
        <w:gridCol w:w="1097"/>
        <w:gridCol w:w="102"/>
        <w:gridCol w:w="77"/>
        <w:gridCol w:w="163"/>
        <w:gridCol w:w="1097"/>
        <w:gridCol w:w="102"/>
      </w:tblGrid>
      <w:tr w:rsidR="00D22731" w14:paraId="10CD7CB8" w14:textId="77777777">
        <w:trPr>
          <w:cantSplit/>
          <w:trHeight w:hRule="exact" w:val="300"/>
          <w:jc w:val="center"/>
        </w:trPr>
        <w:tc>
          <w:tcPr>
            <w:tcW w:w="7380" w:type="dxa"/>
            <w:tcBorders>
              <w:top w:val="nil"/>
              <w:left w:val="nil"/>
              <w:bottom w:val="nil"/>
              <w:right w:val="nil"/>
            </w:tcBorders>
            <w:tcMar>
              <w:top w:w="0" w:type="dxa"/>
              <w:left w:w="0" w:type="dxa"/>
              <w:bottom w:w="0" w:type="dxa"/>
              <w:right w:w="0" w:type="dxa"/>
            </w:tcMar>
            <w:vAlign w:val="bottom"/>
          </w:tcPr>
          <w:p w14:paraId="5634FF1D" w14:textId="77777777" w:rsidR="00D22731" w:rsidRDefault="00D22731">
            <w:pPr>
              <w:keepNext/>
            </w:pPr>
          </w:p>
        </w:tc>
        <w:tc>
          <w:tcPr>
            <w:tcW w:w="2745" w:type="dxa"/>
            <w:gridSpan w:val="7"/>
            <w:tcBorders>
              <w:top w:val="nil"/>
              <w:left w:val="nil"/>
              <w:bottom w:val="nil"/>
              <w:right w:val="nil"/>
            </w:tcBorders>
            <w:tcMar>
              <w:top w:w="0" w:type="dxa"/>
              <w:left w:w="53" w:type="dxa"/>
              <w:bottom w:w="0" w:type="dxa"/>
              <w:right w:w="53" w:type="dxa"/>
            </w:tcMar>
            <w:vAlign w:val="bottom"/>
          </w:tcPr>
          <w:p w14:paraId="4A2BE3C3" w14:textId="77777777" w:rsidR="00D22731" w:rsidRDefault="00FF2E54">
            <w:pPr>
              <w:keepNext/>
              <w:spacing w:before="75" w:after="30" w:line="200" w:lineRule="auto"/>
              <w:jc w:val="center"/>
            </w:pPr>
            <w:r>
              <w:rPr>
                <w:b/>
                <w:color w:val="000000"/>
                <w:sz w:val="20"/>
              </w:rPr>
              <w:t>Three Months Ended</w:t>
            </w:r>
          </w:p>
        </w:tc>
      </w:tr>
      <w:tr w:rsidR="00D22731" w14:paraId="31E8FC47" w14:textId="77777777">
        <w:trPr>
          <w:cantSplit/>
          <w:trHeight w:hRule="exact" w:val="645"/>
          <w:jc w:val="center"/>
        </w:trPr>
        <w:tc>
          <w:tcPr>
            <w:tcW w:w="7380" w:type="dxa"/>
            <w:tcBorders>
              <w:top w:val="nil"/>
              <w:left w:val="nil"/>
              <w:bottom w:val="nil"/>
              <w:right w:val="nil"/>
            </w:tcBorders>
            <w:tcMar>
              <w:top w:w="0" w:type="dxa"/>
              <w:left w:w="0" w:type="dxa"/>
              <w:bottom w:w="0" w:type="dxa"/>
              <w:right w:w="0" w:type="dxa"/>
            </w:tcMar>
            <w:vAlign w:val="bottom"/>
          </w:tcPr>
          <w:p w14:paraId="36366042" w14:textId="77777777" w:rsidR="00D22731" w:rsidRDefault="00D22731">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F178D68" w14:textId="77777777" w:rsidR="00D22731" w:rsidRDefault="00FF2E54">
            <w:pPr>
              <w:keepNext/>
              <w:spacing w:before="55" w:after="30" w:line="200" w:lineRule="auto"/>
              <w:jc w:val="center"/>
            </w:pPr>
            <w:r>
              <w:rPr>
                <w:b/>
                <w:color w:val="000000"/>
                <w:sz w:val="20"/>
              </w:rPr>
              <w:t>September 30,</w:t>
            </w:r>
            <w:r>
              <w:br/>
            </w:r>
            <w:r>
              <w:rPr>
                <w:b/>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598A8EC" w14:textId="77777777" w:rsidR="00D22731" w:rsidRDefault="00D22731">
            <w:pPr>
              <w:keepNext/>
            </w:pPr>
          </w:p>
        </w:tc>
        <w:tc>
          <w:tcPr>
            <w:tcW w:w="13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C952CEA" w14:textId="77777777" w:rsidR="00D22731" w:rsidRDefault="00FF2E54">
            <w:pPr>
              <w:keepNext/>
              <w:spacing w:before="55" w:after="30" w:line="200" w:lineRule="auto"/>
              <w:jc w:val="center"/>
            </w:pPr>
            <w:r>
              <w:rPr>
                <w:b/>
                <w:color w:val="000000"/>
                <w:sz w:val="20"/>
              </w:rPr>
              <w:t>September 30,</w:t>
            </w:r>
            <w:r>
              <w:br/>
            </w:r>
            <w:r>
              <w:rPr>
                <w:b/>
                <w:color w:val="000000"/>
                <w:sz w:val="20"/>
              </w:rPr>
              <w:t>2019</w:t>
            </w:r>
          </w:p>
        </w:tc>
      </w:tr>
      <w:tr w:rsidR="00D22731" w14:paraId="5CE91A44" w14:textId="77777777">
        <w:trPr>
          <w:cantSplit/>
          <w:trHeight w:hRule="exact" w:val="300"/>
          <w:jc w:val="center"/>
        </w:trPr>
        <w:tc>
          <w:tcPr>
            <w:tcW w:w="7380" w:type="dxa"/>
            <w:tcBorders>
              <w:top w:val="nil"/>
              <w:left w:val="nil"/>
              <w:bottom w:val="nil"/>
              <w:right w:val="nil"/>
            </w:tcBorders>
            <w:shd w:val="clear" w:color="auto" w:fill="CCEEFF"/>
            <w:tcMar>
              <w:top w:w="0" w:type="dxa"/>
              <w:left w:w="53" w:type="dxa"/>
              <w:bottom w:w="0" w:type="dxa"/>
              <w:right w:w="53" w:type="dxa"/>
            </w:tcMar>
            <w:vAlign w:val="bottom"/>
          </w:tcPr>
          <w:p w14:paraId="5222FF97" w14:textId="77777777" w:rsidR="00D22731" w:rsidRDefault="00FF2E54">
            <w:pPr>
              <w:keepNext/>
              <w:spacing w:before="75" w:after="30" w:line="200" w:lineRule="auto"/>
            </w:pPr>
            <w:r>
              <w:rPr>
                <w:color w:val="000000"/>
                <w:sz w:val="20"/>
              </w:rPr>
              <w:t>Total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3B42EDB"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27649B8" w14:textId="77777777" w:rsidR="00D22731" w:rsidRDefault="00FF2E54">
            <w:pPr>
              <w:keepNext/>
              <w:spacing w:before="55" w:after="30" w:line="200" w:lineRule="auto"/>
              <w:jc w:val="right"/>
            </w:pPr>
            <w:r>
              <w:rPr>
                <w:color w:val="000000"/>
                <w:sz w:val="20"/>
              </w:rPr>
              <w:t>651.1 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EF70099" w14:textId="77777777" w:rsidR="00D22731" w:rsidRDefault="00D22731">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DE9E84" w14:textId="77777777" w:rsidR="00D22731" w:rsidRDefault="00D22731">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B73D284" w14:textId="77777777" w:rsidR="00D22731" w:rsidRDefault="00FF2E54">
            <w:pPr>
              <w:keepNext/>
              <w:spacing w:before="55" w:after="30" w:line="200" w:lineRule="auto"/>
            </w:pPr>
            <w:r>
              <w:rPr>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560045E" w14:textId="77777777" w:rsidR="00D22731" w:rsidRDefault="00FF2E54">
            <w:pPr>
              <w:keepNext/>
              <w:spacing w:before="55" w:after="30" w:line="200" w:lineRule="auto"/>
              <w:jc w:val="right"/>
            </w:pPr>
            <w:r>
              <w:rPr>
                <w:color w:val="000000"/>
                <w:sz w:val="20"/>
              </w:rPr>
              <w:t>548.1 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F947213" w14:textId="77777777" w:rsidR="00D22731" w:rsidRDefault="00D22731">
            <w:pPr>
              <w:keepNext/>
              <w:spacing w:before="55" w:after="30" w:line="200" w:lineRule="auto"/>
            </w:pPr>
          </w:p>
        </w:tc>
      </w:tr>
      <w:tr w:rsidR="00D22731" w14:paraId="6575B44F" w14:textId="77777777">
        <w:trPr>
          <w:cantSplit/>
          <w:trHeight w:hRule="exact" w:val="300"/>
          <w:jc w:val="center"/>
        </w:trPr>
        <w:tc>
          <w:tcPr>
            <w:tcW w:w="7380" w:type="dxa"/>
            <w:tcBorders>
              <w:top w:val="nil"/>
              <w:left w:val="nil"/>
              <w:bottom w:val="nil"/>
              <w:right w:val="nil"/>
            </w:tcBorders>
            <w:shd w:val="clear" w:color="auto" w:fill="FFFFFF"/>
            <w:tcMar>
              <w:top w:w="0" w:type="dxa"/>
              <w:left w:w="53" w:type="dxa"/>
              <w:bottom w:w="0" w:type="dxa"/>
              <w:right w:w="53" w:type="dxa"/>
            </w:tcMar>
            <w:vAlign w:val="bottom"/>
          </w:tcPr>
          <w:p w14:paraId="75A19AF6" w14:textId="77777777" w:rsidR="00D22731" w:rsidRDefault="00FF2E54">
            <w:pPr>
              <w:keepNext/>
              <w:spacing w:before="75" w:after="30" w:line="200" w:lineRule="auto"/>
              <w:ind w:left="135"/>
            </w:pPr>
            <w:r>
              <w:rPr>
                <w:color w:val="000000"/>
                <w:sz w:val="20"/>
              </w:rPr>
              <w:t>Add: Change in deferred revenue</w:t>
            </w: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53C2BDA9" w14:textId="77777777" w:rsidR="00D22731" w:rsidRDefault="00FF2E54">
            <w:pPr>
              <w:keepNext/>
              <w:spacing w:before="75" w:after="30" w:line="200" w:lineRule="auto"/>
              <w:jc w:val="right"/>
            </w:pPr>
            <w:r>
              <w:rPr>
                <w:color w:val="000000"/>
                <w:sz w:val="20"/>
              </w:rPr>
              <w:t>98.9 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0F2E49E" w14:textId="77777777" w:rsidR="00D22731" w:rsidRDefault="00D22731">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3974A4" w14:textId="77777777" w:rsidR="00D22731" w:rsidRDefault="00D22731">
            <w:pPr>
              <w:keepNex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14:paraId="043C7925" w14:textId="77777777" w:rsidR="00D22731" w:rsidRDefault="00FF2E54">
            <w:pPr>
              <w:keepNext/>
              <w:spacing w:before="75" w:after="30" w:line="200" w:lineRule="auto"/>
              <w:jc w:val="right"/>
            </w:pPr>
            <w:r>
              <w:rPr>
                <w:color w:val="000000"/>
                <w:sz w:val="20"/>
              </w:rPr>
              <w:t>78.5 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003172" w14:textId="77777777" w:rsidR="00D22731" w:rsidRDefault="00D22731">
            <w:pPr>
              <w:keepNext/>
              <w:spacing w:before="75" w:after="30" w:line="200" w:lineRule="auto"/>
            </w:pPr>
          </w:p>
        </w:tc>
      </w:tr>
      <w:tr w:rsidR="00D22731" w14:paraId="00A03B77" w14:textId="77777777">
        <w:trPr>
          <w:cantSplit/>
          <w:trHeight w:hRule="exact" w:val="300"/>
          <w:jc w:val="center"/>
        </w:trPr>
        <w:tc>
          <w:tcPr>
            <w:tcW w:w="7380" w:type="dxa"/>
            <w:tcBorders>
              <w:top w:val="nil"/>
              <w:left w:val="nil"/>
              <w:bottom w:val="nil"/>
              <w:right w:val="nil"/>
            </w:tcBorders>
            <w:shd w:val="clear" w:color="auto" w:fill="CCEEFF"/>
            <w:tcMar>
              <w:top w:w="0" w:type="dxa"/>
              <w:left w:w="53" w:type="dxa"/>
              <w:bottom w:w="0" w:type="dxa"/>
              <w:right w:w="53" w:type="dxa"/>
            </w:tcMar>
            <w:vAlign w:val="bottom"/>
          </w:tcPr>
          <w:p w14:paraId="6F9328FE" w14:textId="77777777" w:rsidR="00D22731" w:rsidRDefault="00FF2E54">
            <w:pPr>
              <w:keepNext/>
              <w:spacing w:before="75" w:after="30" w:line="200" w:lineRule="auto"/>
              <w:ind w:left="135"/>
            </w:pPr>
            <w:r>
              <w:rPr>
                <w:color w:val="000000"/>
                <w:sz w:val="20"/>
              </w:rPr>
              <w:t>Less: Deferred revenue balance acquired in business acquisition</w:t>
            </w: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B98807F" w14:textId="77777777" w:rsidR="00D22731" w:rsidRDefault="00FF2E54">
            <w:pPr>
              <w:keepNext/>
              <w:spacing w:before="75" w:after="30" w:line="200" w:lineRule="auto"/>
              <w:jc w:val="right"/>
            </w:pPr>
            <w:r>
              <w:rPr>
                <w:color w:val="000000"/>
                <w:sz w:val="20"/>
              </w:rPr>
              <w:t>(0.2)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4867B74" w14:textId="77777777" w:rsidR="00D22731" w:rsidRDefault="00D22731">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3AD998" w14:textId="77777777" w:rsidR="00D22731" w:rsidRDefault="00D22731">
            <w:pPr>
              <w:keepNext/>
            </w:pPr>
          </w:p>
        </w:tc>
        <w:tc>
          <w:tcPr>
            <w:tcW w:w="12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ABA8EDC" w14:textId="77777777" w:rsidR="00D22731" w:rsidRDefault="00FF2E54">
            <w:pPr>
              <w:keepNext/>
              <w:spacing w:before="75" w:after="30" w:line="200" w:lineRule="auto"/>
              <w:jc w:val="right"/>
            </w:pPr>
            <w:r>
              <w:rPr>
                <w:color w:val="000000"/>
                <w:sz w:val="20"/>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2076450" w14:textId="77777777" w:rsidR="00D22731" w:rsidRDefault="00D22731">
            <w:pPr>
              <w:keepNext/>
              <w:spacing w:before="75" w:after="30" w:line="200" w:lineRule="auto"/>
            </w:pPr>
          </w:p>
        </w:tc>
      </w:tr>
      <w:tr w:rsidR="00D22731" w14:paraId="719AD9A6" w14:textId="77777777">
        <w:trPr>
          <w:cantSplit/>
          <w:trHeight w:hRule="exact" w:val="300"/>
          <w:jc w:val="center"/>
        </w:trPr>
        <w:tc>
          <w:tcPr>
            <w:tcW w:w="7380" w:type="dxa"/>
            <w:tcBorders>
              <w:top w:val="nil"/>
              <w:left w:val="nil"/>
              <w:bottom w:val="nil"/>
              <w:right w:val="nil"/>
            </w:tcBorders>
            <w:shd w:val="clear" w:color="auto" w:fill="FFFFFF"/>
            <w:tcMar>
              <w:top w:w="0" w:type="dxa"/>
              <w:left w:w="53" w:type="dxa"/>
              <w:bottom w:w="0" w:type="dxa"/>
              <w:right w:w="53" w:type="dxa"/>
            </w:tcMar>
            <w:vAlign w:val="bottom"/>
          </w:tcPr>
          <w:p w14:paraId="1E15F503" w14:textId="77777777" w:rsidR="00D22731" w:rsidRDefault="00FF2E54">
            <w:pPr>
              <w:spacing w:before="75" w:after="30" w:line="200" w:lineRule="auto"/>
            </w:pPr>
            <w:r>
              <w:rPr>
                <w:color w:val="000000"/>
                <w:sz w:val="20"/>
              </w:rPr>
              <w:t>Total billings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B653115" w14:textId="77777777" w:rsidR="00D22731" w:rsidRDefault="00FF2E54">
            <w:pPr>
              <w:spacing w:before="55" w:after="30" w:line="200" w:lineRule="auto"/>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418D26E" w14:textId="77777777" w:rsidR="00D22731" w:rsidRDefault="00FF2E54">
            <w:pPr>
              <w:spacing w:before="55" w:after="30" w:line="200" w:lineRule="auto"/>
              <w:jc w:val="right"/>
            </w:pPr>
            <w:r>
              <w:rPr>
                <w:color w:val="000000"/>
                <w:sz w:val="20"/>
              </w:rPr>
              <w:t>749.8 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4D6F06" w14:textId="77777777" w:rsidR="00D22731" w:rsidRDefault="00D22731">
            <w:pPr>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A90157" w14:textId="77777777" w:rsidR="00D22731" w:rsidRDefault="00D22731"/>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EA51702" w14:textId="77777777" w:rsidR="00D22731" w:rsidRDefault="00FF2E54">
            <w:pPr>
              <w:spacing w:before="55" w:after="30" w:line="200" w:lineRule="auto"/>
            </w:pPr>
            <w:r>
              <w:rPr>
                <w:color w:val="000000"/>
                <w:sz w:val="20"/>
              </w:rPr>
              <w:t>$</w:t>
            </w:r>
          </w:p>
        </w:tc>
        <w:tc>
          <w:tcPr>
            <w:tcW w:w="10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E708E9B" w14:textId="77777777" w:rsidR="00D22731" w:rsidRDefault="00FF2E54">
            <w:pPr>
              <w:spacing w:before="55" w:after="30" w:line="200" w:lineRule="auto"/>
              <w:jc w:val="right"/>
            </w:pPr>
            <w:r>
              <w:rPr>
                <w:color w:val="000000"/>
                <w:sz w:val="20"/>
              </w:rPr>
              <w:t>626.6 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F1B9E75" w14:textId="77777777" w:rsidR="00D22731" w:rsidRDefault="00D22731">
            <w:pPr>
              <w:spacing w:before="55" w:after="30" w:line="200" w:lineRule="auto"/>
            </w:pPr>
          </w:p>
        </w:tc>
      </w:tr>
    </w:tbl>
    <w:p w14:paraId="5C9CABC4" w14:textId="77777777" w:rsidR="00D22731" w:rsidRDefault="00D22731">
      <w:pPr>
        <w:spacing w:before="100" w:line="248" w:lineRule="auto"/>
        <w:jc w:val="center"/>
        <w:rPr>
          <w:sz w:val="20"/>
        </w:rPr>
      </w:pPr>
    </w:p>
    <w:p w14:paraId="01765ECA" w14:textId="77777777" w:rsidR="00D22731" w:rsidRDefault="00FF2E54">
      <w:pPr>
        <w:spacing w:line="248" w:lineRule="auto"/>
        <w:rPr>
          <w:b/>
          <w:sz w:val="18"/>
          <w:vertAlign w:val="superscript"/>
        </w:rPr>
      </w:pPr>
      <w:r>
        <w:rPr>
          <w:b/>
          <w:sz w:val="20"/>
          <w:vertAlign w:val="superscript"/>
        </w:rPr>
        <w:t>1</w:t>
      </w:r>
      <w:r>
        <w:rPr>
          <w:sz w:val="20"/>
        </w:rPr>
        <w:t xml:space="preserve"> During the third quarter, Fortinet identified and made an immaterial correction to the recognition of revenue related to certain service contracts, increasing previously reported amounts. The financial results presented for 2019 and 2020 reflect the effects of the correction.</w:t>
      </w:r>
    </w:p>
    <w:p w14:paraId="351F2408" w14:textId="77777777" w:rsidR="00D22731" w:rsidRDefault="00D22731">
      <w:pPr>
        <w:spacing w:line="248" w:lineRule="auto"/>
        <w:jc w:val="center"/>
        <w:rPr>
          <w:sz w:val="20"/>
        </w:rPr>
      </w:pPr>
    </w:p>
    <w:p w14:paraId="06B606AD" w14:textId="77777777" w:rsidR="00D22731" w:rsidRDefault="00D22731">
      <w:pPr>
        <w:spacing w:line="248" w:lineRule="auto"/>
        <w:jc w:val="center"/>
        <w:rPr>
          <w:sz w:val="20"/>
        </w:rPr>
      </w:pPr>
    </w:p>
    <w:p w14:paraId="102AC992" w14:textId="77777777" w:rsidR="00D22731" w:rsidRDefault="00D22731">
      <w:pPr>
        <w:spacing w:after="100" w:line="248" w:lineRule="auto"/>
        <w:jc w:val="center"/>
        <w:rPr>
          <w:sz w:val="20"/>
        </w:rPr>
      </w:pPr>
    </w:p>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77"/>
        <w:gridCol w:w="3672"/>
      </w:tblGrid>
      <w:tr w:rsidR="00D22731" w14:paraId="23434998"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54839009" w14:textId="77777777" w:rsidR="00D22731" w:rsidRDefault="00FF2E54">
            <w:pPr>
              <w:keepNext/>
              <w:spacing w:before="75" w:after="30" w:line="200" w:lineRule="auto"/>
            </w:pPr>
            <w:r>
              <w:rPr>
                <w:rFonts w:ascii="Arial" w:eastAsia="Arial" w:hAnsi="Arial" w:cs="Arial"/>
                <w:b/>
                <w:color w:val="000000"/>
                <w:sz w:val="22"/>
              </w:rPr>
              <w:t>Investor Contact:</w:t>
            </w:r>
          </w:p>
        </w:tc>
        <w:tc>
          <w:tcPr>
            <w:tcW w:w="75" w:type="dxa"/>
            <w:tcBorders>
              <w:top w:val="nil"/>
              <w:left w:val="nil"/>
              <w:bottom w:val="nil"/>
              <w:right w:val="nil"/>
            </w:tcBorders>
            <w:tcMar>
              <w:top w:w="0" w:type="dxa"/>
              <w:left w:w="0" w:type="dxa"/>
              <w:bottom w:w="0" w:type="dxa"/>
              <w:right w:w="0" w:type="dxa"/>
            </w:tcMar>
            <w:vAlign w:val="bottom"/>
          </w:tcPr>
          <w:p w14:paraId="56398EFC" w14:textId="77777777" w:rsidR="00D22731" w:rsidRDefault="00D22731">
            <w:pPr>
              <w:keepNext/>
            </w:pPr>
          </w:p>
        </w:tc>
        <w:tc>
          <w:tcPr>
            <w:tcW w:w="3600" w:type="dxa"/>
            <w:tcBorders>
              <w:top w:val="nil"/>
              <w:left w:val="nil"/>
              <w:bottom w:val="nil"/>
              <w:right w:val="nil"/>
            </w:tcBorders>
            <w:tcMar>
              <w:top w:w="0" w:type="dxa"/>
              <w:left w:w="53" w:type="dxa"/>
              <w:bottom w:w="0" w:type="dxa"/>
              <w:right w:w="53" w:type="dxa"/>
            </w:tcMar>
            <w:vAlign w:val="bottom"/>
          </w:tcPr>
          <w:p w14:paraId="792F364E" w14:textId="77777777" w:rsidR="00D22731" w:rsidRDefault="00FF2E54">
            <w:pPr>
              <w:keepNext/>
              <w:spacing w:before="75" w:after="30" w:line="200" w:lineRule="auto"/>
            </w:pPr>
            <w:r>
              <w:rPr>
                <w:rFonts w:ascii="Arial" w:eastAsia="Arial" w:hAnsi="Arial" w:cs="Arial"/>
                <w:b/>
                <w:color w:val="000000"/>
                <w:sz w:val="22"/>
              </w:rPr>
              <w:t>Media Contact:</w:t>
            </w:r>
          </w:p>
        </w:tc>
      </w:tr>
      <w:tr w:rsidR="00D22731" w14:paraId="52F5BD36" w14:textId="77777777">
        <w:trPr>
          <w:cantSplit/>
          <w:trHeight w:hRule="exact" w:val="300"/>
        </w:trPr>
        <w:tc>
          <w:tcPr>
            <w:tcW w:w="3600" w:type="dxa"/>
            <w:tcBorders>
              <w:top w:val="nil"/>
              <w:left w:val="nil"/>
              <w:bottom w:val="nil"/>
              <w:right w:val="nil"/>
            </w:tcBorders>
            <w:tcMar>
              <w:top w:w="0" w:type="dxa"/>
              <w:left w:w="0" w:type="dxa"/>
              <w:bottom w:w="0" w:type="dxa"/>
              <w:right w:w="0" w:type="dxa"/>
            </w:tcMar>
            <w:vAlign w:val="bottom"/>
          </w:tcPr>
          <w:p w14:paraId="676B1E6A" w14:textId="77777777" w:rsidR="00D22731" w:rsidRDefault="00D22731">
            <w:pPr>
              <w:keepNext/>
            </w:pPr>
          </w:p>
        </w:tc>
        <w:tc>
          <w:tcPr>
            <w:tcW w:w="75" w:type="dxa"/>
            <w:tcBorders>
              <w:top w:val="nil"/>
              <w:left w:val="nil"/>
              <w:bottom w:val="nil"/>
              <w:right w:val="nil"/>
            </w:tcBorders>
            <w:tcMar>
              <w:top w:w="0" w:type="dxa"/>
              <w:left w:w="0" w:type="dxa"/>
              <w:bottom w:w="0" w:type="dxa"/>
              <w:right w:w="0" w:type="dxa"/>
            </w:tcMar>
            <w:vAlign w:val="bottom"/>
          </w:tcPr>
          <w:p w14:paraId="137AAC51" w14:textId="77777777" w:rsidR="00D22731" w:rsidRDefault="00D22731">
            <w:pPr>
              <w:keepNext/>
            </w:pPr>
          </w:p>
        </w:tc>
        <w:tc>
          <w:tcPr>
            <w:tcW w:w="3600" w:type="dxa"/>
            <w:tcBorders>
              <w:top w:val="nil"/>
              <w:left w:val="nil"/>
              <w:bottom w:val="nil"/>
              <w:right w:val="nil"/>
            </w:tcBorders>
            <w:tcMar>
              <w:top w:w="0" w:type="dxa"/>
              <w:left w:w="0" w:type="dxa"/>
              <w:bottom w:w="0" w:type="dxa"/>
              <w:right w:w="0" w:type="dxa"/>
            </w:tcMar>
            <w:vAlign w:val="bottom"/>
          </w:tcPr>
          <w:p w14:paraId="643150CD" w14:textId="77777777" w:rsidR="00D22731" w:rsidRDefault="00D22731">
            <w:pPr>
              <w:keepNext/>
            </w:pPr>
          </w:p>
        </w:tc>
      </w:tr>
      <w:tr w:rsidR="00D22731" w14:paraId="6CBA077A"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38689A4F" w14:textId="77777777" w:rsidR="00D22731" w:rsidRDefault="00FF2E54">
            <w:pPr>
              <w:keepNext/>
              <w:spacing w:before="75" w:after="30" w:line="200" w:lineRule="auto"/>
            </w:pPr>
            <w:r>
              <w:rPr>
                <w:rFonts w:ascii="Arial" w:eastAsia="Arial" w:hAnsi="Arial" w:cs="Arial"/>
                <w:color w:val="000000"/>
                <w:sz w:val="22"/>
              </w:rPr>
              <w:t xml:space="preserve">Peter Salkowski </w:t>
            </w:r>
          </w:p>
        </w:tc>
        <w:tc>
          <w:tcPr>
            <w:tcW w:w="75" w:type="dxa"/>
            <w:tcBorders>
              <w:top w:val="nil"/>
              <w:left w:val="nil"/>
              <w:bottom w:val="nil"/>
              <w:right w:val="nil"/>
            </w:tcBorders>
            <w:tcMar>
              <w:top w:w="0" w:type="dxa"/>
              <w:left w:w="0" w:type="dxa"/>
              <w:bottom w:w="0" w:type="dxa"/>
              <w:right w:w="0" w:type="dxa"/>
            </w:tcMar>
            <w:vAlign w:val="bottom"/>
          </w:tcPr>
          <w:p w14:paraId="1FF48C70" w14:textId="77777777" w:rsidR="00D22731" w:rsidRDefault="00D22731">
            <w:pPr>
              <w:keepNext/>
            </w:pPr>
          </w:p>
        </w:tc>
        <w:tc>
          <w:tcPr>
            <w:tcW w:w="3600" w:type="dxa"/>
            <w:tcBorders>
              <w:top w:val="nil"/>
              <w:left w:val="nil"/>
              <w:bottom w:val="nil"/>
              <w:right w:val="nil"/>
            </w:tcBorders>
            <w:tcMar>
              <w:top w:w="0" w:type="dxa"/>
              <w:left w:w="53" w:type="dxa"/>
              <w:bottom w:w="0" w:type="dxa"/>
              <w:right w:w="53" w:type="dxa"/>
            </w:tcMar>
            <w:vAlign w:val="bottom"/>
          </w:tcPr>
          <w:p w14:paraId="03BC5FF6" w14:textId="77777777" w:rsidR="00D22731" w:rsidRDefault="00FF2E54">
            <w:pPr>
              <w:keepNext/>
              <w:spacing w:before="75" w:after="30" w:line="200" w:lineRule="auto"/>
            </w:pPr>
            <w:r>
              <w:rPr>
                <w:rFonts w:ascii="Arial" w:eastAsia="Arial" w:hAnsi="Arial" w:cs="Arial"/>
                <w:color w:val="000000"/>
                <w:sz w:val="22"/>
              </w:rPr>
              <w:t>Sandra Wheatley</w:t>
            </w:r>
          </w:p>
        </w:tc>
      </w:tr>
      <w:tr w:rsidR="00D22731" w14:paraId="11D6040D"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37BDCC7B" w14:textId="77777777" w:rsidR="00D22731" w:rsidRDefault="00FF2E54">
            <w:pPr>
              <w:keepNext/>
              <w:spacing w:before="75" w:after="30" w:line="200" w:lineRule="auto"/>
            </w:pPr>
            <w:r>
              <w:rPr>
                <w:rFonts w:ascii="Arial" w:eastAsia="Arial" w:hAnsi="Arial" w:cs="Arial"/>
                <w:color w:val="000000"/>
                <w:sz w:val="22"/>
              </w:rPr>
              <w:t>Fortinet, Inc.</w:t>
            </w:r>
          </w:p>
        </w:tc>
        <w:tc>
          <w:tcPr>
            <w:tcW w:w="75" w:type="dxa"/>
            <w:tcBorders>
              <w:top w:val="nil"/>
              <w:left w:val="nil"/>
              <w:bottom w:val="nil"/>
              <w:right w:val="nil"/>
            </w:tcBorders>
            <w:tcMar>
              <w:top w:w="0" w:type="dxa"/>
              <w:left w:w="0" w:type="dxa"/>
              <w:bottom w:w="0" w:type="dxa"/>
              <w:right w:w="0" w:type="dxa"/>
            </w:tcMar>
            <w:vAlign w:val="bottom"/>
          </w:tcPr>
          <w:p w14:paraId="075A5996" w14:textId="77777777" w:rsidR="00D22731" w:rsidRDefault="00D22731">
            <w:pPr>
              <w:keepNext/>
            </w:pPr>
          </w:p>
        </w:tc>
        <w:tc>
          <w:tcPr>
            <w:tcW w:w="3600" w:type="dxa"/>
            <w:tcBorders>
              <w:top w:val="nil"/>
              <w:left w:val="nil"/>
              <w:bottom w:val="nil"/>
              <w:right w:val="nil"/>
            </w:tcBorders>
            <w:tcMar>
              <w:top w:w="0" w:type="dxa"/>
              <w:left w:w="53" w:type="dxa"/>
              <w:bottom w:w="0" w:type="dxa"/>
              <w:right w:w="53" w:type="dxa"/>
            </w:tcMar>
            <w:vAlign w:val="bottom"/>
          </w:tcPr>
          <w:p w14:paraId="302B8D3C" w14:textId="77777777" w:rsidR="00D22731" w:rsidRDefault="00FF2E54">
            <w:pPr>
              <w:keepNext/>
              <w:spacing w:before="75" w:after="30" w:line="200" w:lineRule="auto"/>
            </w:pPr>
            <w:r>
              <w:rPr>
                <w:rFonts w:ascii="Arial" w:eastAsia="Arial" w:hAnsi="Arial" w:cs="Arial"/>
                <w:color w:val="000000"/>
                <w:sz w:val="22"/>
              </w:rPr>
              <w:t>Fortinet, Inc.</w:t>
            </w:r>
          </w:p>
        </w:tc>
      </w:tr>
      <w:tr w:rsidR="00D22731" w14:paraId="251C22C8"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5A66249D" w14:textId="77777777" w:rsidR="00D22731" w:rsidRDefault="00FF2E54">
            <w:pPr>
              <w:keepNext/>
              <w:spacing w:before="75" w:after="30" w:line="200" w:lineRule="auto"/>
            </w:pPr>
            <w:r>
              <w:rPr>
                <w:rFonts w:ascii="Arial" w:eastAsia="Arial" w:hAnsi="Arial" w:cs="Arial"/>
                <w:color w:val="000000"/>
                <w:sz w:val="22"/>
              </w:rPr>
              <w:t>408-331-4595</w:t>
            </w:r>
          </w:p>
        </w:tc>
        <w:tc>
          <w:tcPr>
            <w:tcW w:w="75" w:type="dxa"/>
            <w:tcBorders>
              <w:top w:val="nil"/>
              <w:left w:val="nil"/>
              <w:bottom w:val="nil"/>
              <w:right w:val="nil"/>
            </w:tcBorders>
            <w:tcMar>
              <w:top w:w="0" w:type="dxa"/>
              <w:left w:w="0" w:type="dxa"/>
              <w:bottom w:w="0" w:type="dxa"/>
              <w:right w:w="0" w:type="dxa"/>
            </w:tcMar>
            <w:vAlign w:val="bottom"/>
          </w:tcPr>
          <w:p w14:paraId="1B97763A" w14:textId="77777777" w:rsidR="00D22731" w:rsidRDefault="00D22731">
            <w:pPr>
              <w:keepNext/>
            </w:pPr>
          </w:p>
        </w:tc>
        <w:tc>
          <w:tcPr>
            <w:tcW w:w="3600" w:type="dxa"/>
            <w:tcBorders>
              <w:top w:val="nil"/>
              <w:left w:val="nil"/>
              <w:bottom w:val="nil"/>
              <w:right w:val="nil"/>
            </w:tcBorders>
            <w:tcMar>
              <w:top w:w="0" w:type="dxa"/>
              <w:left w:w="53" w:type="dxa"/>
              <w:bottom w:w="0" w:type="dxa"/>
              <w:right w:w="53" w:type="dxa"/>
            </w:tcMar>
            <w:vAlign w:val="bottom"/>
          </w:tcPr>
          <w:p w14:paraId="1C9F44B9" w14:textId="77777777" w:rsidR="00D22731" w:rsidRDefault="00FF2E54">
            <w:pPr>
              <w:keepNext/>
              <w:spacing w:before="75" w:after="30" w:line="200" w:lineRule="auto"/>
            </w:pPr>
            <w:r>
              <w:rPr>
                <w:rFonts w:ascii="Arial" w:eastAsia="Arial" w:hAnsi="Arial" w:cs="Arial"/>
                <w:color w:val="000000"/>
                <w:sz w:val="22"/>
              </w:rPr>
              <w:t>408-391-9408</w:t>
            </w:r>
          </w:p>
        </w:tc>
      </w:tr>
      <w:tr w:rsidR="00D22731" w14:paraId="4C68F4E6" w14:textId="77777777">
        <w:trPr>
          <w:cantSplit/>
          <w:trHeight w:hRule="exact" w:val="300"/>
        </w:trPr>
        <w:tc>
          <w:tcPr>
            <w:tcW w:w="3600" w:type="dxa"/>
            <w:tcBorders>
              <w:top w:val="nil"/>
              <w:left w:val="nil"/>
              <w:bottom w:val="nil"/>
              <w:right w:val="nil"/>
            </w:tcBorders>
            <w:tcMar>
              <w:top w:w="0" w:type="dxa"/>
              <w:left w:w="53" w:type="dxa"/>
              <w:bottom w:w="0" w:type="dxa"/>
              <w:right w:w="53" w:type="dxa"/>
            </w:tcMar>
            <w:vAlign w:val="bottom"/>
          </w:tcPr>
          <w:p w14:paraId="436F27A0" w14:textId="77777777" w:rsidR="00D22731" w:rsidRDefault="00FF2E54">
            <w:pPr>
              <w:spacing w:before="75" w:after="30" w:line="200" w:lineRule="auto"/>
            </w:pPr>
            <w:r>
              <w:rPr>
                <w:rFonts w:ascii="Arial" w:eastAsia="Arial" w:hAnsi="Arial" w:cs="Arial"/>
                <w:color w:val="000000"/>
                <w:sz w:val="22"/>
              </w:rPr>
              <w:t>psalkowski@fortinet.com</w:t>
            </w:r>
          </w:p>
        </w:tc>
        <w:tc>
          <w:tcPr>
            <w:tcW w:w="75" w:type="dxa"/>
            <w:tcBorders>
              <w:top w:val="nil"/>
              <w:left w:val="nil"/>
              <w:bottom w:val="nil"/>
              <w:right w:val="nil"/>
            </w:tcBorders>
            <w:tcMar>
              <w:top w:w="0" w:type="dxa"/>
              <w:left w:w="0" w:type="dxa"/>
              <w:bottom w:w="0" w:type="dxa"/>
              <w:right w:w="0" w:type="dxa"/>
            </w:tcMar>
            <w:vAlign w:val="bottom"/>
          </w:tcPr>
          <w:p w14:paraId="1A4FFE38" w14:textId="77777777" w:rsidR="00D22731" w:rsidRDefault="00D22731"/>
        </w:tc>
        <w:tc>
          <w:tcPr>
            <w:tcW w:w="3600" w:type="dxa"/>
            <w:tcBorders>
              <w:top w:val="nil"/>
              <w:left w:val="nil"/>
              <w:bottom w:val="nil"/>
              <w:right w:val="nil"/>
            </w:tcBorders>
            <w:tcMar>
              <w:top w:w="0" w:type="dxa"/>
              <w:left w:w="53" w:type="dxa"/>
              <w:bottom w:w="0" w:type="dxa"/>
              <w:right w:w="53" w:type="dxa"/>
            </w:tcMar>
            <w:vAlign w:val="bottom"/>
          </w:tcPr>
          <w:p w14:paraId="09D85CB3" w14:textId="77777777" w:rsidR="00D22731" w:rsidRDefault="00FF2E54">
            <w:pPr>
              <w:spacing w:before="75" w:after="30" w:line="200" w:lineRule="auto"/>
            </w:pPr>
            <w:r>
              <w:rPr>
                <w:rFonts w:ascii="Arial" w:eastAsia="Arial" w:hAnsi="Arial" w:cs="Arial"/>
                <w:color w:val="000000"/>
                <w:sz w:val="22"/>
              </w:rPr>
              <w:t>swheatley@fortinet.com</w:t>
            </w:r>
          </w:p>
        </w:tc>
      </w:tr>
    </w:tbl>
    <w:p w14:paraId="71880C65" w14:textId="77777777" w:rsidR="00D22731" w:rsidRDefault="00D22731">
      <w:pPr>
        <w:spacing w:before="100" w:line="248" w:lineRule="auto"/>
        <w:rPr>
          <w:sz w:val="20"/>
        </w:rPr>
      </w:pPr>
    </w:p>
    <w:p w14:paraId="0B506DAA" w14:textId="77777777" w:rsidR="00D22731" w:rsidRDefault="00D22731">
      <w:pPr>
        <w:spacing w:line="248" w:lineRule="auto"/>
        <w:rPr>
          <w:sz w:val="20"/>
        </w:rPr>
      </w:pPr>
    </w:p>
    <w:p w14:paraId="278BC6AF" w14:textId="77777777" w:rsidR="00D22731" w:rsidRDefault="00D22731">
      <w:pPr>
        <w:spacing w:line="248" w:lineRule="auto"/>
        <w:rPr>
          <w:sz w:val="20"/>
        </w:rPr>
      </w:pPr>
    </w:p>
    <w:sectPr w:rsidR="00D22731">
      <w:pgSz w:w="12240" w:h="15840"/>
      <w:pgMar w:top="855" w:right="1215" w:bottom="855" w:left="90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01DE" w14:textId="77777777" w:rsidR="004F67F7" w:rsidRDefault="00FF2E54">
      <w:r>
        <w:separator/>
      </w:r>
    </w:p>
  </w:endnote>
  <w:endnote w:type="continuationSeparator" w:id="0">
    <w:p w14:paraId="5FCC8AD3" w14:textId="77777777" w:rsidR="004F67F7" w:rsidRDefault="00F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4865" w14:textId="77777777" w:rsidR="00D22731" w:rsidRDefault="00D22731">
    <w:pPr>
      <w:spacing w:line="248" w:lineRule="auto"/>
      <w:ind w:left="-810" w:right="-9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DBFE" w14:textId="77777777" w:rsidR="004F67F7" w:rsidRDefault="00FF2E54">
      <w:r>
        <w:separator/>
      </w:r>
    </w:p>
  </w:footnote>
  <w:footnote w:type="continuationSeparator" w:id="0">
    <w:p w14:paraId="4A841BFD" w14:textId="77777777" w:rsidR="004F67F7" w:rsidRDefault="00FF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95ED" w14:textId="77777777" w:rsidR="00D22731" w:rsidRDefault="00D22731">
    <w:pPr>
      <w:spacing w:line="248" w:lineRule="auto"/>
      <w:ind w:left="-810" w:right="-9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B"/>
    <w:multiLevelType w:val="multilevel"/>
    <w:tmpl w:val="00000001"/>
    <w:lvl w:ilvl="0">
      <w:start w:val="1"/>
      <w:numFmt w:val="decimal"/>
      <w:lvlText w:val="•"/>
      <w:lvlJc w:val="left"/>
      <w:pPr>
        <w:tabs>
          <w:tab w:val="num" w:pos="144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2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2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4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5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5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5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5D"/>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6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6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4F67F7"/>
    <w:rsid w:val="00717E8B"/>
    <w:rsid w:val="00A77B3E"/>
    <w:rsid w:val="00CA2A55"/>
    <w:rsid w:val="00D22731"/>
    <w:rsid w:val="00FD4751"/>
    <w:rsid w:val="00F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0CA84"/>
  <w15:docId w15:val="{48EEA574-343B-4EEE-B584-F4A281D4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iscSYMBOL">
    <w:name w:val="DiscSYMBO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4774</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FTNT Q3-2020 EX 99.1</vt:lpstr>
    </vt:vector>
  </TitlesOfParts>
  <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FTNT Q3-2020 EX 99.1</dc:title>
  <dc:creator>Andrew Miller</dc:creator>
  <cp:lastModifiedBy>Akima</cp:lastModifiedBy>
  <cp:revision>2</cp:revision>
  <dcterms:created xsi:type="dcterms:W3CDTF">2020-11-03T14:32:00Z</dcterms:created>
  <dcterms:modified xsi:type="dcterms:W3CDTF">2020-11-03T14:32:00Z</dcterms:modified>
</cp:coreProperties>
</file>