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1682" w14:textId="77777777" w:rsidR="003677C9" w:rsidRPr="003677C9" w:rsidRDefault="003677C9" w:rsidP="003677C9">
      <w:pPr>
        <w:spacing w:line="360" w:lineRule="auto"/>
        <w:rPr>
          <w:b/>
          <w:bCs/>
          <w:color w:val="0303B8" w:themeColor="text1"/>
          <w:sz w:val="28"/>
          <w:szCs w:val="28"/>
          <w:lang w:val="de-DE"/>
        </w:rPr>
      </w:pPr>
      <w:r w:rsidRPr="003677C9">
        <w:rPr>
          <w:b/>
          <w:bCs/>
          <w:color w:val="0303B8" w:themeColor="text1"/>
          <w:sz w:val="28"/>
          <w:szCs w:val="28"/>
          <w:lang w:val="de-DE"/>
        </w:rPr>
        <w:t xml:space="preserve">Dekarbonisierung thermischer Prozessindustrie mit GEA </w:t>
      </w:r>
      <w:proofErr w:type="spellStart"/>
      <w:r w:rsidRPr="003677C9">
        <w:rPr>
          <w:b/>
          <w:bCs/>
          <w:color w:val="0303B8" w:themeColor="text1"/>
          <w:sz w:val="28"/>
          <w:szCs w:val="28"/>
          <w:lang w:val="de-DE"/>
        </w:rPr>
        <w:t>meVap</w:t>
      </w:r>
      <w:proofErr w:type="spellEnd"/>
      <w:r w:rsidRPr="003677C9">
        <w:rPr>
          <w:b/>
          <w:bCs/>
          <w:color w:val="0303B8" w:themeColor="text1"/>
          <w:sz w:val="28"/>
          <w:szCs w:val="28"/>
          <w:lang w:val="de-DE"/>
        </w:rPr>
        <w:t>®</w:t>
      </w:r>
    </w:p>
    <w:p w14:paraId="061902B0" w14:textId="70C05F1C" w:rsidR="000E1D8F" w:rsidRPr="000E1D8F" w:rsidRDefault="000E1D8F" w:rsidP="000E1D8F">
      <w:pPr>
        <w:spacing w:line="360" w:lineRule="auto"/>
        <w:rPr>
          <w:b/>
          <w:bCs/>
          <w:color w:val="0303B8" w:themeColor="text1"/>
          <w:sz w:val="28"/>
          <w:szCs w:val="28"/>
          <w:lang w:val="de-DE"/>
        </w:rPr>
      </w:pPr>
    </w:p>
    <w:p w14:paraId="43AA428A" w14:textId="65E74F08" w:rsidR="003677C9" w:rsidRDefault="00D61C42" w:rsidP="003677C9">
      <w:pPr>
        <w:spacing w:line="360" w:lineRule="auto"/>
        <w:rPr>
          <w:rFonts w:cs="Arial"/>
          <w:sz w:val="24"/>
          <w:lang w:val="de-DE"/>
        </w:rPr>
      </w:pPr>
      <w:bookmarkStart w:id="0" w:name="_Hlk221525104"/>
      <w:r w:rsidRPr="00580874">
        <w:rPr>
          <w:b/>
          <w:bCs/>
          <w:color w:val="0303B8" w:themeColor="text1"/>
          <w:sz w:val="24"/>
          <w:lang w:val="de-DE"/>
        </w:rPr>
        <w:t xml:space="preserve">Düsseldorf, </w:t>
      </w:r>
      <w:r w:rsidR="00C71E23">
        <w:rPr>
          <w:b/>
          <w:bCs/>
          <w:color w:val="0303B8" w:themeColor="text1"/>
          <w:sz w:val="24"/>
          <w:lang w:val="de-DE"/>
        </w:rPr>
        <w:t>5</w:t>
      </w:r>
      <w:r w:rsidR="00C02206">
        <w:rPr>
          <w:b/>
          <w:bCs/>
          <w:color w:val="0303B8" w:themeColor="text1"/>
          <w:sz w:val="24"/>
          <w:lang w:val="de-DE"/>
        </w:rPr>
        <w:t xml:space="preserve">. Mai </w:t>
      </w:r>
      <w:r w:rsidRPr="00580874">
        <w:rPr>
          <w:b/>
          <w:bCs/>
          <w:color w:val="0303B8" w:themeColor="text1"/>
          <w:sz w:val="24"/>
          <w:lang w:val="de-DE"/>
        </w:rPr>
        <w:t xml:space="preserve">2026 </w:t>
      </w:r>
      <w:r w:rsidR="00580874" w:rsidRPr="00580874">
        <w:rPr>
          <w:b/>
          <w:bCs/>
          <w:color w:val="0303B8" w:themeColor="text1"/>
          <w:sz w:val="24"/>
          <w:lang w:val="de-DE"/>
        </w:rPr>
        <w:t>–</w:t>
      </w:r>
      <w:bookmarkEnd w:id="0"/>
      <w:r w:rsidR="00C02206">
        <w:rPr>
          <w:b/>
          <w:bCs/>
          <w:color w:val="0303B8" w:themeColor="text1"/>
          <w:sz w:val="24"/>
          <w:lang w:val="de-DE"/>
        </w:rPr>
        <w:t xml:space="preserve"> </w:t>
      </w:r>
      <w:r w:rsidR="003677C9" w:rsidRPr="003677C9">
        <w:rPr>
          <w:rFonts w:cs="Arial"/>
          <w:sz w:val="24"/>
          <w:lang w:val="de-DE"/>
        </w:rPr>
        <w:t xml:space="preserve">Mit </w:t>
      </w:r>
      <w:proofErr w:type="spellStart"/>
      <w:r w:rsidR="003677C9" w:rsidRPr="003677C9">
        <w:rPr>
          <w:rFonts w:cs="Arial"/>
          <w:sz w:val="24"/>
          <w:lang w:val="de-DE"/>
        </w:rPr>
        <w:t>meVap</w:t>
      </w:r>
      <w:proofErr w:type="spellEnd"/>
      <w:r w:rsidR="003677C9" w:rsidRPr="003677C9">
        <w:rPr>
          <w:rFonts w:cs="Arial"/>
          <w:sz w:val="24"/>
          <w:lang w:val="de-DE"/>
        </w:rPr>
        <w:t xml:space="preserve">® führt der Maschinen- und Anlagenbauer und Lösungsanbieter GEA eine neue Produktfamilie zur Dekarbonisierung thermischer Prozessindustrien in den Markt ein. Basierend auf der </w:t>
      </w:r>
      <w:proofErr w:type="spellStart"/>
      <w:r w:rsidR="003677C9" w:rsidRPr="003677C9">
        <w:rPr>
          <w:rFonts w:cs="Arial"/>
          <w:sz w:val="24"/>
          <w:lang w:val="de-DE"/>
        </w:rPr>
        <w:t>Mechanical</w:t>
      </w:r>
      <w:proofErr w:type="spellEnd"/>
      <w:r w:rsidR="003677C9" w:rsidRPr="003677C9">
        <w:rPr>
          <w:rFonts w:cs="Arial"/>
          <w:sz w:val="24"/>
          <w:lang w:val="de-DE"/>
        </w:rPr>
        <w:t xml:space="preserve"> </w:t>
      </w:r>
      <w:proofErr w:type="spellStart"/>
      <w:r w:rsidR="003677C9" w:rsidRPr="003677C9">
        <w:rPr>
          <w:rFonts w:cs="Arial"/>
          <w:sz w:val="24"/>
          <w:lang w:val="de-DE"/>
        </w:rPr>
        <w:t>Vapor</w:t>
      </w:r>
      <w:proofErr w:type="spellEnd"/>
      <w:r w:rsidR="003677C9" w:rsidRPr="003677C9">
        <w:rPr>
          <w:rFonts w:cs="Arial"/>
          <w:sz w:val="24"/>
          <w:lang w:val="de-DE"/>
        </w:rPr>
        <w:t xml:space="preserve"> </w:t>
      </w:r>
      <w:proofErr w:type="spellStart"/>
      <w:r w:rsidR="003677C9" w:rsidRPr="003677C9">
        <w:rPr>
          <w:rFonts w:cs="Arial"/>
          <w:sz w:val="24"/>
          <w:lang w:val="de-DE"/>
        </w:rPr>
        <w:t>Recompression</w:t>
      </w:r>
      <w:proofErr w:type="spellEnd"/>
      <w:r w:rsidR="003677C9" w:rsidRPr="003677C9">
        <w:rPr>
          <w:rFonts w:cs="Arial"/>
          <w:sz w:val="24"/>
          <w:lang w:val="de-DE"/>
        </w:rPr>
        <w:t xml:space="preserve"> (MVR)-Technologie bietet das GEA </w:t>
      </w:r>
      <w:proofErr w:type="spellStart"/>
      <w:r w:rsidR="003677C9" w:rsidRPr="003677C9">
        <w:rPr>
          <w:rFonts w:cs="Arial"/>
          <w:sz w:val="24"/>
          <w:lang w:val="de-DE"/>
        </w:rPr>
        <w:t>meVap</w:t>
      </w:r>
      <w:proofErr w:type="spellEnd"/>
      <w:r w:rsidR="003677C9" w:rsidRPr="003677C9">
        <w:rPr>
          <w:rFonts w:cs="Arial"/>
          <w:sz w:val="24"/>
          <w:lang w:val="de-DE"/>
        </w:rPr>
        <w:t xml:space="preserve">®-Portfolio hocheffiziente Lösungen für Verdampfung, Destillation, Kristallisation und industrielle Dampferzeugung. Das </w:t>
      </w:r>
      <w:proofErr w:type="spellStart"/>
      <w:r w:rsidR="003677C9" w:rsidRPr="003677C9">
        <w:rPr>
          <w:rFonts w:cs="Arial"/>
          <w:sz w:val="24"/>
          <w:lang w:val="de-DE"/>
        </w:rPr>
        <w:t>meVap</w:t>
      </w:r>
      <w:proofErr w:type="spellEnd"/>
      <w:r w:rsidR="003677C9" w:rsidRPr="003677C9">
        <w:rPr>
          <w:rFonts w:cs="Arial"/>
          <w:sz w:val="24"/>
          <w:lang w:val="de-DE"/>
        </w:rPr>
        <w:t>®-Konzept ersetzt fossil befeuerten Dampf durch elektrisch angetriebene Dampfkompression und ermöglicht so eine erhebliche CO</w:t>
      </w:r>
      <w:r w:rsidR="003677C9" w:rsidRPr="003677C9">
        <w:rPr>
          <w:rFonts w:ascii="Cambria Math" w:hAnsi="Cambria Math" w:cs="Cambria Math"/>
          <w:sz w:val="24"/>
          <w:lang w:val="de-DE"/>
        </w:rPr>
        <w:t>₂</w:t>
      </w:r>
      <w:r w:rsidR="003677C9" w:rsidRPr="003677C9">
        <w:rPr>
          <w:rFonts w:cs="Arial"/>
          <w:sz w:val="24"/>
          <w:lang w:val="de-DE"/>
        </w:rPr>
        <w:t>-Reduzierung, niedrigere Betriebskosten und langfristige Widerstandsfähigkeit für energieintensive Branchen wie Chemie, Lebensmittel, Getränke, Pharmazie und Umwelttechnik. Mit der neuen Produktfamilie stärkt GEA, aufbauend auf jahrzehntelanger Erfahrung und Hunderten von MVR-beheizten Anlagen weltweit, seine Position als globaler Vorreiter im Bereich energieeffizienter thermischer Verarbeitung.</w:t>
      </w:r>
    </w:p>
    <w:p w14:paraId="4F63A7E5" w14:textId="77777777" w:rsidR="003677C9" w:rsidRPr="003677C9" w:rsidRDefault="003677C9" w:rsidP="003677C9">
      <w:pPr>
        <w:spacing w:line="360" w:lineRule="auto"/>
        <w:rPr>
          <w:rFonts w:cs="Arial"/>
          <w:sz w:val="24"/>
          <w:lang w:val="de-DE"/>
        </w:rPr>
      </w:pPr>
    </w:p>
    <w:p w14:paraId="75C78BC9" w14:textId="77777777" w:rsidR="003677C9" w:rsidRPr="003677C9" w:rsidRDefault="003677C9" w:rsidP="003677C9">
      <w:pPr>
        <w:spacing w:line="360" w:lineRule="auto"/>
        <w:rPr>
          <w:rFonts w:cs="Arial"/>
          <w:b/>
          <w:bCs/>
          <w:color w:val="0303B8" w:themeColor="text1"/>
          <w:sz w:val="24"/>
          <w:lang w:val="de-DE"/>
        </w:rPr>
      </w:pPr>
      <w:r w:rsidRPr="003677C9">
        <w:rPr>
          <w:rFonts w:cs="Arial"/>
          <w:b/>
          <w:bCs/>
          <w:color w:val="0303B8" w:themeColor="text1"/>
          <w:sz w:val="24"/>
          <w:lang w:val="de-DE"/>
        </w:rPr>
        <w:t>Eine einheitliche Produktfamilie mit vier zukunftsfähigen Produkten</w:t>
      </w:r>
    </w:p>
    <w:p w14:paraId="7ACE5194" w14:textId="77777777" w:rsidR="003677C9" w:rsidRPr="003677C9" w:rsidRDefault="003677C9" w:rsidP="003677C9">
      <w:pPr>
        <w:spacing w:line="360" w:lineRule="auto"/>
        <w:rPr>
          <w:rFonts w:cs="Arial"/>
          <w:sz w:val="24"/>
          <w:lang w:val="de-DE"/>
        </w:rPr>
      </w:pPr>
    </w:p>
    <w:p w14:paraId="034A8E31" w14:textId="77777777" w:rsidR="003677C9" w:rsidRDefault="003677C9" w:rsidP="003677C9">
      <w:pPr>
        <w:spacing w:line="360" w:lineRule="auto"/>
        <w:rPr>
          <w:rFonts w:cs="Arial"/>
          <w:sz w:val="24"/>
          <w:lang w:val="de-DE"/>
        </w:rPr>
      </w:pPr>
      <w:r w:rsidRPr="003677C9">
        <w:rPr>
          <w:rFonts w:cs="Arial"/>
          <w:sz w:val="24"/>
          <w:lang w:val="de-DE"/>
        </w:rPr>
        <w:t xml:space="preserve">Die </w:t>
      </w:r>
      <w:proofErr w:type="spellStart"/>
      <w:r w:rsidRPr="003677C9">
        <w:rPr>
          <w:rFonts w:cs="Arial"/>
          <w:sz w:val="24"/>
          <w:lang w:val="de-DE"/>
        </w:rPr>
        <w:t>meVap</w:t>
      </w:r>
      <w:proofErr w:type="spellEnd"/>
      <w:r w:rsidRPr="003677C9">
        <w:rPr>
          <w:rFonts w:cs="Arial"/>
          <w:sz w:val="24"/>
          <w:lang w:val="de-DE"/>
        </w:rPr>
        <w:t xml:space="preserve">®-Produktinitiative führt eine harmonisierte Technologieplattform ein, die aus vier Produkten besteht: In allen vier Produktbereichen ist das verbindende Prinzip der Temperaturanstieg, der durch elektrisch angetriebene mechanische Ventilatoren erzeugt wird, was die thermische Effizienz steigert und die Abhängigkeit von fossilen Brennstoffen verringert. Die mechanische Dampfkompression ist die Kerntechnologie hinter jeder </w:t>
      </w:r>
      <w:proofErr w:type="spellStart"/>
      <w:r w:rsidRPr="003677C9">
        <w:rPr>
          <w:rFonts w:cs="Arial"/>
          <w:sz w:val="24"/>
          <w:lang w:val="de-DE"/>
        </w:rPr>
        <w:t>meVap</w:t>
      </w:r>
      <w:proofErr w:type="spellEnd"/>
      <w:r w:rsidRPr="003677C9">
        <w:rPr>
          <w:rFonts w:cs="Arial"/>
          <w:sz w:val="24"/>
          <w:lang w:val="de-DE"/>
        </w:rPr>
        <w:t>®-Anlage und etabliert sich zunehmend als erste Wahl für Verdampfung, Destillation und Kristallisation. Darüber hinaus wandelt unser fortschrittliches Hochtemperatur-Wärmepumpensystem Abwärme in wertvollen Prozessdampf um.</w:t>
      </w:r>
    </w:p>
    <w:p w14:paraId="50489C06" w14:textId="77777777" w:rsidR="003677C9" w:rsidRPr="003677C9" w:rsidRDefault="003677C9" w:rsidP="003677C9">
      <w:pPr>
        <w:spacing w:line="360" w:lineRule="auto"/>
        <w:rPr>
          <w:rFonts w:cs="Arial"/>
          <w:sz w:val="24"/>
          <w:lang w:val="de-DE"/>
        </w:rPr>
      </w:pPr>
    </w:p>
    <w:p w14:paraId="5E3D9E21" w14:textId="2C657C0C" w:rsidR="003677C9" w:rsidRDefault="003677C9" w:rsidP="003677C9">
      <w:pPr>
        <w:spacing w:line="360" w:lineRule="auto"/>
        <w:rPr>
          <w:rFonts w:cs="Arial"/>
          <w:sz w:val="24"/>
          <w:lang w:val="de-DE"/>
        </w:rPr>
      </w:pPr>
      <w:r w:rsidRPr="003677C9">
        <w:rPr>
          <w:rFonts w:cs="Arial"/>
          <w:sz w:val="24"/>
          <w:lang w:val="de-DE"/>
        </w:rPr>
        <w:t xml:space="preserve">Erstes Produkt von GEA </w:t>
      </w:r>
      <w:proofErr w:type="spellStart"/>
      <w:r w:rsidRPr="003677C9">
        <w:rPr>
          <w:rFonts w:cs="Arial"/>
          <w:sz w:val="24"/>
          <w:lang w:val="de-DE"/>
        </w:rPr>
        <w:t>meVap</w:t>
      </w:r>
      <w:proofErr w:type="spellEnd"/>
      <w:r w:rsidRPr="003677C9">
        <w:rPr>
          <w:rFonts w:cs="Arial"/>
          <w:sz w:val="24"/>
          <w:lang w:val="de-DE"/>
        </w:rPr>
        <w:t xml:space="preserve">® ist </w:t>
      </w:r>
      <w:proofErr w:type="spellStart"/>
      <w:r w:rsidRPr="003677C9">
        <w:rPr>
          <w:rFonts w:cs="Arial"/>
          <w:b/>
          <w:bCs/>
          <w:sz w:val="24"/>
          <w:lang w:val="de-DE"/>
        </w:rPr>
        <w:t>meVap</w:t>
      </w:r>
      <w:proofErr w:type="spellEnd"/>
      <w:r w:rsidRPr="003677C9">
        <w:rPr>
          <w:rFonts w:cs="Arial"/>
          <w:b/>
          <w:bCs/>
          <w:sz w:val="24"/>
          <w:lang w:val="de-DE"/>
        </w:rPr>
        <w:t xml:space="preserve">® Evaporation. </w:t>
      </w:r>
      <w:r w:rsidRPr="003677C9">
        <w:rPr>
          <w:rFonts w:cs="Arial"/>
          <w:sz w:val="24"/>
          <w:lang w:val="de-DE"/>
        </w:rPr>
        <w:t>Hierbei handelt es sich um elektrifizierte Verdampfungssysteme auf MVR-Basis, die die kontinuierliche Rückführung von Prozessdampf ermöglichen und sowohl den Energiebedarf als auch den CO</w:t>
      </w:r>
      <w:r w:rsidRPr="003677C9">
        <w:rPr>
          <w:rFonts w:ascii="Cambria Math" w:hAnsi="Cambria Math" w:cs="Cambria Math"/>
          <w:sz w:val="24"/>
          <w:lang w:val="de-DE"/>
        </w:rPr>
        <w:t>₂</w:t>
      </w:r>
      <w:r w:rsidRPr="003677C9">
        <w:rPr>
          <w:rFonts w:cs="Arial"/>
          <w:sz w:val="24"/>
          <w:lang w:val="de-DE"/>
        </w:rPr>
        <w:t>-Fußabdruck reduzieren.</w:t>
      </w:r>
    </w:p>
    <w:p w14:paraId="0480CD8C" w14:textId="77777777" w:rsidR="003677C9" w:rsidRPr="003677C9" w:rsidRDefault="003677C9" w:rsidP="003677C9">
      <w:pPr>
        <w:spacing w:line="360" w:lineRule="auto"/>
        <w:rPr>
          <w:rFonts w:cs="Arial"/>
          <w:sz w:val="24"/>
          <w:lang w:val="de-DE"/>
        </w:rPr>
      </w:pPr>
    </w:p>
    <w:p w14:paraId="7CE837E5" w14:textId="77777777" w:rsidR="003677C9" w:rsidRDefault="003677C9" w:rsidP="003677C9">
      <w:pPr>
        <w:spacing w:line="360" w:lineRule="auto"/>
        <w:rPr>
          <w:rFonts w:cs="Arial"/>
          <w:sz w:val="24"/>
          <w:lang w:val="de-DE"/>
        </w:rPr>
      </w:pPr>
      <w:r w:rsidRPr="003677C9">
        <w:rPr>
          <w:rFonts w:cs="Arial"/>
          <w:sz w:val="24"/>
          <w:lang w:val="de-DE"/>
        </w:rPr>
        <w:lastRenderedPageBreak/>
        <w:t xml:space="preserve">Zweites Produkt von GEA </w:t>
      </w:r>
      <w:proofErr w:type="spellStart"/>
      <w:r w:rsidRPr="003677C9">
        <w:rPr>
          <w:rFonts w:cs="Arial"/>
          <w:sz w:val="24"/>
          <w:lang w:val="de-DE"/>
        </w:rPr>
        <w:t>meVap</w:t>
      </w:r>
      <w:proofErr w:type="spellEnd"/>
      <w:r w:rsidRPr="003677C9">
        <w:rPr>
          <w:rFonts w:cs="Arial"/>
          <w:sz w:val="24"/>
          <w:lang w:val="de-DE"/>
        </w:rPr>
        <w:t xml:space="preserve">® ist </w:t>
      </w:r>
      <w:proofErr w:type="spellStart"/>
      <w:r w:rsidRPr="003677C9">
        <w:rPr>
          <w:rFonts w:cs="Arial"/>
          <w:b/>
          <w:bCs/>
          <w:sz w:val="24"/>
          <w:lang w:val="de-DE"/>
        </w:rPr>
        <w:t>meVap</w:t>
      </w:r>
      <w:proofErr w:type="spellEnd"/>
      <w:r w:rsidRPr="003677C9">
        <w:rPr>
          <w:rFonts w:cs="Arial"/>
          <w:b/>
          <w:bCs/>
          <w:sz w:val="24"/>
          <w:lang w:val="de-DE"/>
        </w:rPr>
        <w:t xml:space="preserve">®-Destillation. </w:t>
      </w:r>
      <w:r w:rsidRPr="003677C9">
        <w:rPr>
          <w:rFonts w:cs="Arial"/>
          <w:sz w:val="24"/>
          <w:lang w:val="de-DE"/>
        </w:rPr>
        <w:t xml:space="preserve">GEA </w:t>
      </w:r>
      <w:proofErr w:type="spellStart"/>
      <w:r w:rsidRPr="003677C9">
        <w:rPr>
          <w:rFonts w:cs="Arial"/>
          <w:sz w:val="24"/>
          <w:lang w:val="de-DE"/>
        </w:rPr>
        <w:t>meVap</w:t>
      </w:r>
      <w:proofErr w:type="spellEnd"/>
      <w:r w:rsidRPr="003677C9">
        <w:rPr>
          <w:rFonts w:cs="Arial"/>
          <w:sz w:val="24"/>
          <w:lang w:val="de-DE"/>
        </w:rPr>
        <w:t>®-Destillation sind MVR-basierte Destillationslösungen, die für die Kompression im Primär- oder Sekundärkreislauf zur Wiederverwendung von Prozessdampf ausgelegt sind und den Energieverbrauch deutlich senken.</w:t>
      </w:r>
    </w:p>
    <w:p w14:paraId="0C41A1C9" w14:textId="77777777" w:rsidR="003677C9" w:rsidRPr="003677C9" w:rsidRDefault="003677C9" w:rsidP="003677C9">
      <w:pPr>
        <w:spacing w:line="360" w:lineRule="auto"/>
        <w:rPr>
          <w:rFonts w:cs="Arial"/>
          <w:sz w:val="24"/>
          <w:lang w:val="de-DE"/>
        </w:rPr>
      </w:pPr>
    </w:p>
    <w:p w14:paraId="73B55036" w14:textId="77777777" w:rsidR="003677C9" w:rsidRDefault="003677C9" w:rsidP="003677C9">
      <w:pPr>
        <w:spacing w:line="360" w:lineRule="auto"/>
        <w:rPr>
          <w:rFonts w:cs="Arial"/>
          <w:sz w:val="24"/>
          <w:lang w:val="de-DE"/>
        </w:rPr>
      </w:pPr>
      <w:r w:rsidRPr="003677C9">
        <w:rPr>
          <w:rFonts w:cs="Arial"/>
          <w:sz w:val="24"/>
          <w:lang w:val="de-DE"/>
        </w:rPr>
        <w:t xml:space="preserve">Drittes Produkt in der GEA </w:t>
      </w:r>
      <w:proofErr w:type="spellStart"/>
      <w:r w:rsidRPr="003677C9">
        <w:rPr>
          <w:rFonts w:cs="Arial"/>
          <w:sz w:val="24"/>
          <w:lang w:val="de-DE"/>
        </w:rPr>
        <w:t>meVap</w:t>
      </w:r>
      <w:proofErr w:type="spellEnd"/>
      <w:r w:rsidRPr="003677C9">
        <w:rPr>
          <w:rFonts w:cs="Arial"/>
          <w:sz w:val="24"/>
          <w:lang w:val="de-DE"/>
        </w:rPr>
        <w:t xml:space="preserve">®-Produktfamilie ist die </w:t>
      </w:r>
      <w:proofErr w:type="spellStart"/>
      <w:r w:rsidRPr="003677C9">
        <w:rPr>
          <w:rFonts w:cs="Arial"/>
          <w:sz w:val="24"/>
          <w:lang w:val="de-DE"/>
        </w:rPr>
        <w:t>m</w:t>
      </w:r>
      <w:r w:rsidRPr="003677C9">
        <w:rPr>
          <w:rFonts w:cs="Arial"/>
          <w:b/>
          <w:bCs/>
          <w:sz w:val="24"/>
          <w:lang w:val="de-DE"/>
        </w:rPr>
        <w:t>eVap</w:t>
      </w:r>
      <w:proofErr w:type="spellEnd"/>
      <w:r w:rsidRPr="003677C9">
        <w:rPr>
          <w:rFonts w:cs="Arial"/>
          <w:b/>
          <w:bCs/>
          <w:sz w:val="24"/>
          <w:lang w:val="de-DE"/>
        </w:rPr>
        <w:t xml:space="preserve">®-Kristallisation. </w:t>
      </w:r>
      <w:r w:rsidRPr="003677C9">
        <w:rPr>
          <w:rFonts w:cs="Arial"/>
          <w:sz w:val="24"/>
          <w:lang w:val="de-DE"/>
        </w:rPr>
        <w:t xml:space="preserve">Das sind hocheffiziente Kristallisationssysteme, die </w:t>
      </w:r>
      <w:proofErr w:type="spellStart"/>
      <w:r w:rsidRPr="003677C9">
        <w:rPr>
          <w:rFonts w:cs="Arial"/>
          <w:sz w:val="24"/>
          <w:lang w:val="de-DE"/>
        </w:rPr>
        <w:t>rekomprimierten</w:t>
      </w:r>
      <w:proofErr w:type="spellEnd"/>
      <w:r w:rsidRPr="003677C9">
        <w:rPr>
          <w:rFonts w:cs="Arial"/>
          <w:sz w:val="24"/>
          <w:lang w:val="de-DE"/>
        </w:rPr>
        <w:t xml:space="preserve"> Dampf als Hauptwärmequelle nutzen und eine stabile Kristallbildung, reduzierte Betriebskosten sowie eine herausragende thermische Leistung gewährleisten.</w:t>
      </w:r>
    </w:p>
    <w:p w14:paraId="07022F87" w14:textId="77777777" w:rsidR="003677C9" w:rsidRPr="003677C9" w:rsidRDefault="003677C9" w:rsidP="003677C9">
      <w:pPr>
        <w:spacing w:line="360" w:lineRule="auto"/>
        <w:rPr>
          <w:rFonts w:cs="Arial"/>
          <w:sz w:val="24"/>
          <w:lang w:val="de-DE"/>
        </w:rPr>
      </w:pPr>
    </w:p>
    <w:p w14:paraId="0DD329EC" w14:textId="77777777" w:rsidR="003677C9" w:rsidRDefault="003677C9" w:rsidP="003677C9">
      <w:pPr>
        <w:spacing w:line="360" w:lineRule="auto"/>
        <w:rPr>
          <w:rFonts w:cs="Arial"/>
          <w:sz w:val="24"/>
          <w:lang w:val="de-DE"/>
        </w:rPr>
      </w:pPr>
      <w:r w:rsidRPr="003677C9">
        <w:rPr>
          <w:rFonts w:cs="Arial"/>
          <w:sz w:val="24"/>
          <w:lang w:val="de-DE"/>
        </w:rPr>
        <w:t xml:space="preserve">Viertes Produkt schließlich ist die </w:t>
      </w:r>
      <w:proofErr w:type="spellStart"/>
      <w:r w:rsidRPr="003677C9">
        <w:rPr>
          <w:rFonts w:cs="Arial"/>
          <w:b/>
          <w:bCs/>
          <w:sz w:val="24"/>
          <w:lang w:val="de-DE"/>
        </w:rPr>
        <w:t>meVap</w:t>
      </w:r>
      <w:proofErr w:type="spellEnd"/>
      <w:r w:rsidRPr="003677C9">
        <w:rPr>
          <w:rFonts w:cs="Arial"/>
          <w:b/>
          <w:bCs/>
          <w:sz w:val="24"/>
          <w:lang w:val="de-DE"/>
        </w:rPr>
        <w:t xml:space="preserve">® Kompression. </w:t>
      </w:r>
      <w:r w:rsidRPr="003677C9">
        <w:rPr>
          <w:rFonts w:cs="Arial"/>
          <w:sz w:val="24"/>
          <w:lang w:val="de-DE"/>
        </w:rPr>
        <w:t>Das ist eine industrielle Hochtemperatur-Wärmepumpenlösung der nächsten Generation, die Abwärme mit niedrigem Temperaturniveau in wertvollen Prozessdampf umwandelt – ein wesentlicher Faktor für CO</w:t>
      </w:r>
      <w:r w:rsidRPr="003677C9">
        <w:rPr>
          <w:rFonts w:ascii="Cambria Math" w:hAnsi="Cambria Math" w:cs="Cambria Math"/>
          <w:sz w:val="24"/>
          <w:lang w:val="de-DE"/>
        </w:rPr>
        <w:t>₂</w:t>
      </w:r>
      <w:r w:rsidRPr="003677C9">
        <w:rPr>
          <w:rFonts w:cs="Arial"/>
          <w:sz w:val="24"/>
          <w:lang w:val="de-DE"/>
        </w:rPr>
        <w:t>-neutrale industrielle Betriebsabläufe.</w:t>
      </w:r>
    </w:p>
    <w:p w14:paraId="093C6CD4" w14:textId="77777777" w:rsidR="003677C9" w:rsidRPr="003677C9" w:rsidRDefault="003677C9" w:rsidP="003677C9">
      <w:pPr>
        <w:spacing w:line="360" w:lineRule="auto"/>
        <w:rPr>
          <w:rFonts w:cs="Arial"/>
          <w:sz w:val="24"/>
          <w:lang w:val="de-DE"/>
        </w:rPr>
      </w:pPr>
    </w:p>
    <w:p w14:paraId="78FBF169" w14:textId="77777777" w:rsidR="003677C9" w:rsidRPr="003677C9" w:rsidRDefault="003677C9" w:rsidP="003677C9">
      <w:pPr>
        <w:spacing w:line="360" w:lineRule="auto"/>
        <w:rPr>
          <w:rFonts w:cs="Arial"/>
          <w:b/>
          <w:bCs/>
          <w:color w:val="0303B8" w:themeColor="text1"/>
          <w:sz w:val="24"/>
          <w:lang w:val="de-DE"/>
        </w:rPr>
      </w:pPr>
      <w:r w:rsidRPr="003677C9">
        <w:rPr>
          <w:rFonts w:cs="Arial"/>
          <w:b/>
          <w:bCs/>
          <w:color w:val="0303B8" w:themeColor="text1"/>
          <w:sz w:val="24"/>
          <w:lang w:val="de-DE"/>
        </w:rPr>
        <w:t>Dekarbonisierung durch Elektrifizierung und intelligente Wärmeintegration</w:t>
      </w:r>
    </w:p>
    <w:p w14:paraId="01C0346B" w14:textId="77777777" w:rsidR="003677C9" w:rsidRPr="003677C9" w:rsidRDefault="003677C9" w:rsidP="003677C9">
      <w:pPr>
        <w:spacing w:line="360" w:lineRule="auto"/>
        <w:rPr>
          <w:rFonts w:cs="Arial"/>
          <w:sz w:val="24"/>
          <w:lang w:val="de-DE"/>
        </w:rPr>
      </w:pPr>
    </w:p>
    <w:p w14:paraId="74694F90" w14:textId="77777777" w:rsidR="003677C9" w:rsidRPr="003677C9" w:rsidRDefault="003677C9" w:rsidP="003677C9">
      <w:pPr>
        <w:spacing w:line="360" w:lineRule="auto"/>
        <w:rPr>
          <w:rFonts w:cs="Arial"/>
          <w:sz w:val="24"/>
          <w:lang w:val="de-DE"/>
        </w:rPr>
      </w:pPr>
      <w:r w:rsidRPr="003677C9">
        <w:rPr>
          <w:rFonts w:cs="Arial"/>
          <w:sz w:val="24"/>
          <w:lang w:val="de-DE"/>
        </w:rPr>
        <w:t xml:space="preserve">Das </w:t>
      </w:r>
      <w:proofErr w:type="spellStart"/>
      <w:r w:rsidRPr="003677C9">
        <w:rPr>
          <w:rFonts w:cs="Arial"/>
          <w:sz w:val="24"/>
          <w:lang w:val="de-DE"/>
        </w:rPr>
        <w:t>meVap</w:t>
      </w:r>
      <w:proofErr w:type="spellEnd"/>
      <w:r w:rsidRPr="003677C9">
        <w:rPr>
          <w:rFonts w:cs="Arial"/>
          <w:sz w:val="24"/>
          <w:lang w:val="de-DE"/>
        </w:rPr>
        <w:t xml:space="preserve">®-Portfolio ermöglicht Kunden: </w:t>
      </w:r>
    </w:p>
    <w:p w14:paraId="071E426C" w14:textId="77777777" w:rsidR="003677C9" w:rsidRPr="003677C9" w:rsidRDefault="003677C9" w:rsidP="003677C9">
      <w:pPr>
        <w:numPr>
          <w:ilvl w:val="0"/>
          <w:numId w:val="36"/>
        </w:numPr>
        <w:spacing w:after="160" w:line="360" w:lineRule="auto"/>
        <w:rPr>
          <w:rFonts w:cs="Arial"/>
          <w:sz w:val="24"/>
          <w:lang w:val="de-DE"/>
        </w:rPr>
      </w:pPr>
      <w:r w:rsidRPr="003677C9">
        <w:rPr>
          <w:rFonts w:cs="Arial"/>
          <w:b/>
          <w:bCs/>
          <w:sz w:val="24"/>
          <w:lang w:val="de-DE"/>
        </w:rPr>
        <w:t>den Energieverbrauch zu senken</w:t>
      </w:r>
      <w:r w:rsidRPr="003677C9">
        <w:rPr>
          <w:rFonts w:cs="Arial"/>
          <w:sz w:val="24"/>
          <w:lang w:val="de-DE"/>
        </w:rPr>
        <w:t xml:space="preserve"> und die thermische Effizienz durch Dampfwiederverwendung zu verbessern</w:t>
      </w:r>
    </w:p>
    <w:p w14:paraId="2EE6ED7F" w14:textId="77777777" w:rsidR="003677C9" w:rsidRPr="003677C9" w:rsidRDefault="003677C9" w:rsidP="003677C9">
      <w:pPr>
        <w:numPr>
          <w:ilvl w:val="0"/>
          <w:numId w:val="36"/>
        </w:numPr>
        <w:spacing w:after="160" w:line="360" w:lineRule="auto"/>
        <w:rPr>
          <w:rFonts w:cs="Arial"/>
          <w:sz w:val="24"/>
          <w:lang w:val="de-DE"/>
        </w:rPr>
      </w:pPr>
      <w:r w:rsidRPr="003677C9">
        <w:rPr>
          <w:rFonts w:cs="Arial"/>
          <w:b/>
          <w:bCs/>
          <w:sz w:val="24"/>
          <w:lang w:val="de-DE"/>
        </w:rPr>
        <w:t>die Abhängigkeit von fossilen Brennstoffen zu minimieren</w:t>
      </w:r>
      <w:r w:rsidRPr="003677C9">
        <w:rPr>
          <w:rFonts w:cs="Arial"/>
          <w:sz w:val="24"/>
          <w:lang w:val="de-DE"/>
        </w:rPr>
        <w:t xml:space="preserve"> durch elektrifizierte Dampferzeugung</w:t>
      </w:r>
    </w:p>
    <w:p w14:paraId="6C31E6D1" w14:textId="77777777" w:rsidR="003677C9" w:rsidRPr="003677C9" w:rsidRDefault="003677C9" w:rsidP="003677C9">
      <w:pPr>
        <w:numPr>
          <w:ilvl w:val="0"/>
          <w:numId w:val="36"/>
        </w:numPr>
        <w:spacing w:after="160" w:line="360" w:lineRule="auto"/>
        <w:rPr>
          <w:rFonts w:cs="Arial"/>
          <w:sz w:val="24"/>
          <w:lang w:val="de-DE"/>
        </w:rPr>
      </w:pPr>
      <w:r w:rsidRPr="003677C9">
        <w:rPr>
          <w:rFonts w:cs="Arial"/>
          <w:b/>
          <w:bCs/>
          <w:sz w:val="24"/>
          <w:lang w:val="de-DE"/>
        </w:rPr>
        <w:t>Abwärme zurückgewinnen und wiederverwenden</w:t>
      </w:r>
      <w:r w:rsidRPr="003677C9">
        <w:rPr>
          <w:rFonts w:cs="Arial"/>
          <w:sz w:val="24"/>
          <w:lang w:val="de-DE"/>
        </w:rPr>
        <w:t xml:space="preserve"> für den internen oder externen Dampfbedarf</w:t>
      </w:r>
    </w:p>
    <w:p w14:paraId="5170DD48" w14:textId="77777777" w:rsidR="003677C9" w:rsidRPr="003677C9" w:rsidRDefault="003677C9" w:rsidP="003677C9">
      <w:pPr>
        <w:numPr>
          <w:ilvl w:val="0"/>
          <w:numId w:val="36"/>
        </w:numPr>
        <w:spacing w:after="160" w:line="360" w:lineRule="auto"/>
        <w:rPr>
          <w:rFonts w:cs="Arial"/>
          <w:sz w:val="24"/>
          <w:lang w:val="de-DE"/>
        </w:rPr>
      </w:pPr>
      <w:r w:rsidRPr="003677C9">
        <w:rPr>
          <w:rFonts w:cs="Arial"/>
          <w:b/>
          <w:bCs/>
          <w:sz w:val="24"/>
          <w:lang w:val="de-DE"/>
        </w:rPr>
        <w:t>einen stabilen, robusten Anlagenbetrieb erreichen</w:t>
      </w:r>
      <w:r w:rsidRPr="003677C9">
        <w:rPr>
          <w:rFonts w:cs="Arial"/>
          <w:sz w:val="24"/>
          <w:lang w:val="de-DE"/>
        </w:rPr>
        <w:t xml:space="preserve"> mit hoher Verfügbarkeit und bewährtem technischen Know-how</w:t>
      </w:r>
    </w:p>
    <w:p w14:paraId="71E5E8A6" w14:textId="77777777" w:rsidR="003677C9" w:rsidRPr="003677C9" w:rsidRDefault="003677C9" w:rsidP="003677C9">
      <w:pPr>
        <w:spacing w:line="360" w:lineRule="auto"/>
        <w:rPr>
          <w:rFonts w:cs="Arial"/>
          <w:sz w:val="24"/>
          <w:lang w:val="de-DE"/>
        </w:rPr>
      </w:pPr>
      <w:r w:rsidRPr="003677C9">
        <w:rPr>
          <w:rFonts w:cs="Arial"/>
          <w:sz w:val="24"/>
          <w:lang w:val="de-DE"/>
        </w:rPr>
        <w:t xml:space="preserve">GEA legt Wert auf einen ganzheitlichen Ansatz, der </w:t>
      </w:r>
      <w:r w:rsidRPr="003677C9">
        <w:rPr>
          <w:rFonts w:cs="Arial"/>
          <w:b/>
          <w:bCs/>
          <w:sz w:val="24"/>
          <w:lang w:val="de-DE"/>
        </w:rPr>
        <w:t>Prozesstechnik, einfache Bedienung, Benutzerfreundlichkeit und digitale Support-Tools</w:t>
      </w:r>
      <w:r w:rsidRPr="003677C9">
        <w:rPr>
          <w:rFonts w:cs="Arial"/>
          <w:sz w:val="24"/>
          <w:lang w:val="de-DE"/>
        </w:rPr>
        <w:t xml:space="preserve"> kombiniert und so eine konstante Anlagenleistung über den gesamten Lebenszyklus gewährleistet.</w:t>
      </w:r>
    </w:p>
    <w:p w14:paraId="1C1B0BD0" w14:textId="77777777" w:rsidR="003677C9" w:rsidRPr="003677C9" w:rsidRDefault="003677C9" w:rsidP="003677C9">
      <w:pPr>
        <w:spacing w:line="360" w:lineRule="auto"/>
        <w:rPr>
          <w:rFonts w:cs="Arial"/>
          <w:sz w:val="24"/>
          <w:lang w:val="de-DE"/>
        </w:rPr>
      </w:pPr>
    </w:p>
    <w:p w14:paraId="4DF0B1E5" w14:textId="6BA965BE" w:rsidR="00580874" w:rsidRPr="003677C9" w:rsidRDefault="00580874" w:rsidP="00580874">
      <w:pPr>
        <w:spacing w:line="360" w:lineRule="auto"/>
        <w:rPr>
          <w:rFonts w:cs="Arial"/>
          <w:b/>
          <w:bCs/>
          <w:color w:val="0303B8" w:themeColor="text1"/>
          <w:sz w:val="24"/>
          <w:lang w:val="de-DE"/>
        </w:rPr>
      </w:pPr>
      <w:r w:rsidRPr="003677C9">
        <w:rPr>
          <w:rFonts w:cs="Arial"/>
          <w:b/>
          <w:bCs/>
          <w:color w:val="0303B8" w:themeColor="text1"/>
          <w:sz w:val="24"/>
          <w:lang w:val="de-DE"/>
        </w:rPr>
        <w:lastRenderedPageBreak/>
        <w:t>Foto</w:t>
      </w:r>
      <w:r w:rsidR="00142904">
        <w:rPr>
          <w:rFonts w:cs="Arial"/>
          <w:b/>
          <w:bCs/>
          <w:color w:val="0303B8" w:themeColor="text1"/>
          <w:sz w:val="24"/>
          <w:lang w:val="de-DE"/>
        </w:rPr>
        <w:t>s/Grafiken</w:t>
      </w:r>
    </w:p>
    <w:p w14:paraId="3E24D6AA" w14:textId="77777777" w:rsidR="00580874" w:rsidRPr="004A64D6" w:rsidRDefault="00580874" w:rsidP="00580874">
      <w:pPr>
        <w:spacing w:line="360" w:lineRule="auto"/>
        <w:rPr>
          <w:rFonts w:cs="Arial"/>
          <w:color w:val="auto"/>
          <w:sz w:val="24"/>
          <w:lang w:val="de-DE"/>
        </w:rPr>
      </w:pPr>
    </w:p>
    <w:p w14:paraId="4C5ACE23" w14:textId="7800B607" w:rsidR="00580874" w:rsidRPr="00142904" w:rsidRDefault="00142904" w:rsidP="00580874">
      <w:pPr>
        <w:spacing w:line="360" w:lineRule="auto"/>
        <w:rPr>
          <w:rFonts w:cs="Arial"/>
          <w:b/>
          <w:bCs/>
          <w:color w:val="auto"/>
          <w:sz w:val="24"/>
          <w:lang w:val="de-DE"/>
        </w:rPr>
      </w:pPr>
      <w:r w:rsidRPr="00142904">
        <w:rPr>
          <w:rFonts w:cs="Arial"/>
          <w:b/>
          <w:bCs/>
          <w:color w:val="auto"/>
          <w:sz w:val="24"/>
          <w:lang w:val="de-DE"/>
        </w:rPr>
        <w:t>Foto 1:</w:t>
      </w:r>
    </w:p>
    <w:p w14:paraId="0D159D47" w14:textId="77777777" w:rsidR="00142904" w:rsidRDefault="00142904" w:rsidP="00580874">
      <w:pPr>
        <w:spacing w:line="360" w:lineRule="auto"/>
        <w:rPr>
          <w:rFonts w:cs="Arial"/>
          <w:color w:val="auto"/>
          <w:sz w:val="24"/>
          <w:lang w:val="de-DE"/>
        </w:rPr>
      </w:pPr>
    </w:p>
    <w:p w14:paraId="6E3FFCB4" w14:textId="7C73E044" w:rsidR="00142904" w:rsidRPr="00142904" w:rsidRDefault="00142904" w:rsidP="00142904">
      <w:pPr>
        <w:spacing w:line="360" w:lineRule="auto"/>
        <w:rPr>
          <w:rFonts w:cs="Arial"/>
          <w:color w:val="auto"/>
          <w:sz w:val="24"/>
          <w:lang w:val="de-DE"/>
        </w:rPr>
      </w:pPr>
      <w:r w:rsidRPr="00142904">
        <w:rPr>
          <w:rFonts w:cs="Arial"/>
          <w:noProof/>
          <w:color w:val="auto"/>
          <w:sz w:val="24"/>
          <w:lang w:val="de-DE"/>
        </w:rPr>
        <w:drawing>
          <wp:inline distT="0" distB="0" distL="0" distR="0" wp14:anchorId="4287C93D" wp14:editId="78D41D45">
            <wp:extent cx="6480175" cy="3644900"/>
            <wp:effectExtent l="0" t="0" r="0" b="0"/>
            <wp:docPr id="7372951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4A178950" w14:textId="77777777" w:rsidR="00142904" w:rsidRDefault="00142904" w:rsidP="00580874">
      <w:pPr>
        <w:spacing w:line="360" w:lineRule="auto"/>
        <w:rPr>
          <w:rFonts w:cs="Arial"/>
          <w:color w:val="auto"/>
          <w:sz w:val="24"/>
          <w:lang w:val="de-DE"/>
        </w:rPr>
      </w:pPr>
    </w:p>
    <w:p w14:paraId="1104838C" w14:textId="4DF86B52" w:rsidR="00142904" w:rsidRPr="00142904" w:rsidRDefault="00142904" w:rsidP="00580874">
      <w:pPr>
        <w:spacing w:line="360" w:lineRule="auto"/>
        <w:rPr>
          <w:rFonts w:cs="Arial"/>
          <w:color w:val="auto"/>
          <w:sz w:val="24"/>
          <w:lang w:val="de-DE"/>
        </w:rPr>
      </w:pPr>
      <w:r>
        <w:rPr>
          <w:rFonts w:cs="Arial"/>
          <w:color w:val="auto"/>
          <w:sz w:val="24"/>
          <w:lang w:val="de-DE"/>
        </w:rPr>
        <w:t xml:space="preserve">Foto 1, Bildunterschrift: </w:t>
      </w:r>
      <w:proofErr w:type="spellStart"/>
      <w:r w:rsidRPr="00142904">
        <w:rPr>
          <w:rFonts w:cs="Arial"/>
          <w:sz w:val="24"/>
          <w:lang w:val="de-DE"/>
        </w:rPr>
        <w:t>meVap</w:t>
      </w:r>
      <w:proofErr w:type="spellEnd"/>
      <w:r w:rsidRPr="00142904">
        <w:rPr>
          <w:rFonts w:cs="Arial"/>
          <w:sz w:val="24"/>
          <w:lang w:val="de-DE"/>
        </w:rPr>
        <w:t xml:space="preserve">® Evaporation </w:t>
      </w:r>
      <w:proofErr w:type="spellStart"/>
      <w:r w:rsidRPr="00142904">
        <w:rPr>
          <w:rFonts w:cs="Arial"/>
          <w:sz w:val="24"/>
          <w:lang w:val="de-DE"/>
        </w:rPr>
        <w:t>by</w:t>
      </w:r>
      <w:proofErr w:type="spellEnd"/>
      <w:r w:rsidRPr="00142904">
        <w:rPr>
          <w:rFonts w:cs="Arial"/>
          <w:sz w:val="24"/>
          <w:lang w:val="de-DE"/>
        </w:rPr>
        <w:t xml:space="preserve"> GEA. (Foto: GEA)</w:t>
      </w:r>
    </w:p>
    <w:p w14:paraId="506A0677" w14:textId="77777777" w:rsidR="00580874" w:rsidRDefault="00580874" w:rsidP="00580874">
      <w:pPr>
        <w:spacing w:line="360" w:lineRule="auto"/>
        <w:rPr>
          <w:rFonts w:cs="Arial"/>
          <w:color w:val="auto"/>
          <w:sz w:val="24"/>
          <w:lang w:val="de-DE"/>
        </w:rPr>
      </w:pPr>
    </w:p>
    <w:p w14:paraId="4C618D88" w14:textId="77777777" w:rsidR="00142904" w:rsidRDefault="00142904" w:rsidP="00580874">
      <w:pPr>
        <w:spacing w:line="360" w:lineRule="auto"/>
        <w:rPr>
          <w:rFonts w:cs="Arial"/>
          <w:color w:val="auto"/>
          <w:sz w:val="24"/>
          <w:lang w:val="de-DE"/>
        </w:rPr>
      </w:pPr>
    </w:p>
    <w:p w14:paraId="1561E926" w14:textId="77777777" w:rsidR="00142904" w:rsidRDefault="00142904" w:rsidP="00580874">
      <w:pPr>
        <w:spacing w:line="360" w:lineRule="auto"/>
        <w:rPr>
          <w:rFonts w:cs="Arial"/>
          <w:color w:val="auto"/>
          <w:sz w:val="24"/>
          <w:lang w:val="de-DE"/>
        </w:rPr>
      </w:pPr>
    </w:p>
    <w:p w14:paraId="167274C7" w14:textId="77777777" w:rsidR="00142904" w:rsidRDefault="00142904" w:rsidP="00580874">
      <w:pPr>
        <w:spacing w:line="360" w:lineRule="auto"/>
        <w:rPr>
          <w:rFonts w:cs="Arial"/>
          <w:color w:val="auto"/>
          <w:sz w:val="24"/>
          <w:lang w:val="de-DE"/>
        </w:rPr>
      </w:pPr>
    </w:p>
    <w:p w14:paraId="778D9D32" w14:textId="77777777" w:rsidR="00142904" w:rsidRDefault="00142904" w:rsidP="00580874">
      <w:pPr>
        <w:spacing w:line="360" w:lineRule="auto"/>
        <w:rPr>
          <w:rFonts w:cs="Arial"/>
          <w:color w:val="auto"/>
          <w:sz w:val="24"/>
          <w:lang w:val="de-DE"/>
        </w:rPr>
      </w:pPr>
    </w:p>
    <w:p w14:paraId="0B8AA531" w14:textId="77777777" w:rsidR="00142904" w:rsidRDefault="00142904" w:rsidP="00580874">
      <w:pPr>
        <w:spacing w:line="360" w:lineRule="auto"/>
        <w:rPr>
          <w:rFonts w:cs="Arial"/>
          <w:color w:val="auto"/>
          <w:sz w:val="24"/>
          <w:lang w:val="de-DE"/>
        </w:rPr>
      </w:pPr>
    </w:p>
    <w:p w14:paraId="706EEFD1" w14:textId="77777777" w:rsidR="00142904" w:rsidRDefault="00142904" w:rsidP="00580874">
      <w:pPr>
        <w:spacing w:line="360" w:lineRule="auto"/>
        <w:rPr>
          <w:rFonts w:cs="Arial"/>
          <w:color w:val="auto"/>
          <w:sz w:val="24"/>
          <w:lang w:val="de-DE"/>
        </w:rPr>
      </w:pPr>
    </w:p>
    <w:p w14:paraId="0C62DAA2" w14:textId="77777777" w:rsidR="00142904" w:rsidRDefault="00142904" w:rsidP="00580874">
      <w:pPr>
        <w:spacing w:line="360" w:lineRule="auto"/>
        <w:rPr>
          <w:rFonts w:cs="Arial"/>
          <w:color w:val="auto"/>
          <w:sz w:val="24"/>
          <w:lang w:val="de-DE"/>
        </w:rPr>
      </w:pPr>
    </w:p>
    <w:p w14:paraId="504757C6" w14:textId="77777777" w:rsidR="00142904" w:rsidRDefault="00142904" w:rsidP="00580874">
      <w:pPr>
        <w:spacing w:line="360" w:lineRule="auto"/>
        <w:rPr>
          <w:rFonts w:cs="Arial"/>
          <w:color w:val="auto"/>
          <w:sz w:val="24"/>
          <w:lang w:val="de-DE"/>
        </w:rPr>
      </w:pPr>
    </w:p>
    <w:p w14:paraId="63BBCCB4" w14:textId="77777777" w:rsidR="00142904" w:rsidRDefault="00142904" w:rsidP="00580874">
      <w:pPr>
        <w:spacing w:line="360" w:lineRule="auto"/>
        <w:rPr>
          <w:rFonts w:cs="Arial"/>
          <w:color w:val="auto"/>
          <w:sz w:val="24"/>
          <w:lang w:val="de-DE"/>
        </w:rPr>
      </w:pPr>
    </w:p>
    <w:p w14:paraId="0EA5C5CB" w14:textId="77777777" w:rsidR="00142904" w:rsidRDefault="00142904" w:rsidP="00580874">
      <w:pPr>
        <w:spacing w:line="360" w:lineRule="auto"/>
        <w:rPr>
          <w:rFonts w:cs="Arial"/>
          <w:color w:val="auto"/>
          <w:sz w:val="24"/>
          <w:lang w:val="de-DE"/>
        </w:rPr>
      </w:pPr>
    </w:p>
    <w:p w14:paraId="3D3494EA" w14:textId="77777777" w:rsidR="00142904" w:rsidRDefault="00142904" w:rsidP="00580874">
      <w:pPr>
        <w:spacing w:line="360" w:lineRule="auto"/>
        <w:rPr>
          <w:rFonts w:cs="Arial"/>
          <w:color w:val="auto"/>
          <w:sz w:val="24"/>
          <w:lang w:val="de-DE"/>
        </w:rPr>
      </w:pPr>
    </w:p>
    <w:p w14:paraId="258EA91D" w14:textId="08A1AB48" w:rsidR="00142904" w:rsidRPr="00142904" w:rsidRDefault="00142904" w:rsidP="00580874">
      <w:pPr>
        <w:spacing w:line="360" w:lineRule="auto"/>
        <w:rPr>
          <w:rFonts w:cs="Arial"/>
          <w:b/>
          <w:bCs/>
          <w:color w:val="auto"/>
          <w:sz w:val="24"/>
          <w:lang w:val="de-DE"/>
        </w:rPr>
      </w:pPr>
      <w:r w:rsidRPr="00142904">
        <w:rPr>
          <w:rFonts w:cs="Arial"/>
          <w:b/>
          <w:bCs/>
          <w:color w:val="auto"/>
          <w:sz w:val="24"/>
          <w:lang w:val="de-DE"/>
        </w:rPr>
        <w:lastRenderedPageBreak/>
        <w:t>Foto 2/Grafik:</w:t>
      </w:r>
    </w:p>
    <w:p w14:paraId="17B7C81D" w14:textId="77777777" w:rsidR="00142904" w:rsidRDefault="00142904" w:rsidP="00580874">
      <w:pPr>
        <w:spacing w:line="360" w:lineRule="auto"/>
        <w:rPr>
          <w:rFonts w:cs="Arial"/>
          <w:color w:val="auto"/>
          <w:sz w:val="24"/>
          <w:lang w:val="de-DE"/>
        </w:rPr>
      </w:pPr>
    </w:p>
    <w:p w14:paraId="354308EE" w14:textId="542F2E95" w:rsidR="00142904" w:rsidRPr="00142904" w:rsidRDefault="00142904" w:rsidP="00142904">
      <w:pPr>
        <w:spacing w:line="360" w:lineRule="auto"/>
        <w:rPr>
          <w:rFonts w:cs="Arial"/>
          <w:color w:val="auto"/>
          <w:sz w:val="24"/>
          <w:lang w:val="de-DE"/>
        </w:rPr>
      </w:pPr>
      <w:r w:rsidRPr="00142904">
        <w:rPr>
          <w:rFonts w:cs="Arial"/>
          <w:noProof/>
          <w:color w:val="auto"/>
          <w:sz w:val="24"/>
          <w:lang w:val="de-DE"/>
        </w:rPr>
        <w:drawing>
          <wp:inline distT="0" distB="0" distL="0" distR="0" wp14:anchorId="73FFBEAE" wp14:editId="3A57C50C">
            <wp:extent cx="6480175" cy="3644900"/>
            <wp:effectExtent l="0" t="0" r="0" b="0"/>
            <wp:docPr id="11099436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027B54E8" w14:textId="14BFF487" w:rsidR="00142904" w:rsidRPr="00142904" w:rsidRDefault="00142904" w:rsidP="00580874">
      <w:pPr>
        <w:spacing w:line="360" w:lineRule="auto"/>
        <w:rPr>
          <w:rFonts w:cs="Arial"/>
          <w:color w:val="auto"/>
          <w:sz w:val="24"/>
          <w:lang w:val="de-DE"/>
        </w:rPr>
      </w:pPr>
      <w:r>
        <w:rPr>
          <w:rFonts w:cs="Arial"/>
          <w:color w:val="auto"/>
          <w:sz w:val="24"/>
          <w:lang w:val="de-DE"/>
        </w:rPr>
        <w:t xml:space="preserve">Foto 2/Grafik, Bildunterschrift: </w:t>
      </w:r>
      <w:proofErr w:type="spellStart"/>
      <w:r w:rsidRPr="00142904">
        <w:rPr>
          <w:rFonts w:cs="Arial"/>
          <w:sz w:val="24"/>
          <w:lang w:val="de-DE"/>
        </w:rPr>
        <w:t>meVap</w:t>
      </w:r>
      <w:proofErr w:type="spellEnd"/>
      <w:r w:rsidRPr="00142904">
        <w:rPr>
          <w:rFonts w:cs="Arial"/>
          <w:sz w:val="24"/>
          <w:lang w:val="de-DE"/>
        </w:rPr>
        <w:t xml:space="preserve">® Kompression </w:t>
      </w:r>
      <w:proofErr w:type="spellStart"/>
      <w:r w:rsidRPr="00142904">
        <w:rPr>
          <w:rFonts w:cs="Arial"/>
          <w:sz w:val="24"/>
          <w:lang w:val="de-DE"/>
        </w:rPr>
        <w:t>by</w:t>
      </w:r>
      <w:proofErr w:type="spellEnd"/>
      <w:r w:rsidRPr="00142904">
        <w:rPr>
          <w:rFonts w:cs="Arial"/>
          <w:sz w:val="24"/>
          <w:lang w:val="de-DE"/>
        </w:rPr>
        <w:t xml:space="preserve"> GEA. (Foto/Grafik: GEA)</w:t>
      </w:r>
    </w:p>
    <w:p w14:paraId="63D8F7B1" w14:textId="77777777" w:rsidR="00142904" w:rsidRDefault="00142904" w:rsidP="00580874">
      <w:pPr>
        <w:spacing w:line="360" w:lineRule="auto"/>
        <w:rPr>
          <w:rFonts w:cs="Arial"/>
          <w:color w:val="auto"/>
          <w:sz w:val="24"/>
          <w:lang w:val="de-DE"/>
        </w:rPr>
      </w:pPr>
    </w:p>
    <w:p w14:paraId="4031CDC3" w14:textId="52A2F3A6" w:rsidR="004C5F95" w:rsidRPr="004C5F95" w:rsidRDefault="004C5F95" w:rsidP="00580874">
      <w:pPr>
        <w:spacing w:line="360" w:lineRule="auto"/>
        <w:rPr>
          <w:color w:val="0303B8" w:themeColor="text1"/>
          <w:lang w:val="de-DE"/>
        </w:rPr>
      </w:pPr>
      <w:r w:rsidRPr="004C5F95">
        <w:rPr>
          <w:b/>
          <w:bCs/>
          <w:color w:val="0303B8" w:themeColor="text1"/>
          <w:lang w:val="de-DE"/>
        </w:rPr>
        <w:t>Über GEA</w:t>
      </w:r>
    </w:p>
    <w:p w14:paraId="51AF7F17" w14:textId="77777777" w:rsidR="004C5F95" w:rsidRPr="004C5F95" w:rsidRDefault="004C5F95" w:rsidP="004C5F95">
      <w:pPr>
        <w:rPr>
          <w:lang w:val="de-DE"/>
        </w:rPr>
      </w:pPr>
      <w:r w:rsidRPr="004C5F95">
        <w:rPr>
          <w:lang w:val="de-DE"/>
        </w:rPr>
        <w:t>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w:t>
      </w:r>
    </w:p>
    <w:p w14:paraId="54AB799C" w14:textId="77777777" w:rsidR="004C5F95" w:rsidRPr="004C5F95" w:rsidRDefault="004C5F95" w:rsidP="004C5F95">
      <w:pPr>
        <w:rPr>
          <w:lang w:val="de-DE"/>
        </w:rPr>
      </w:pPr>
      <w:r w:rsidRPr="004C5F95">
        <w:rPr>
          <w:lang w:val="de-DE"/>
        </w:rPr>
        <w:t> </w:t>
      </w:r>
    </w:p>
    <w:p w14:paraId="516530DC" w14:textId="77777777" w:rsidR="004C5F95" w:rsidRPr="004C5F95" w:rsidRDefault="004C5F95" w:rsidP="004C5F95">
      <w:pPr>
        <w:rPr>
          <w:lang w:val="de-DE"/>
        </w:rPr>
      </w:pPr>
      <w:r w:rsidRPr="004C5F95">
        <w:rPr>
          <w:lang w:val="de-DE"/>
        </w:rPr>
        <w:t xml:space="preserve">Mit mehr als 18.000 Beschäftigten erwirtschaftete der Konzern im Geschäftsjahr 2025 in über 150 Ländern einen Umsatz von rund 5,5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4C5F95">
        <w:rPr>
          <w:lang w:val="de-DE"/>
        </w:rPr>
        <w:t>for</w:t>
      </w:r>
      <w:proofErr w:type="spellEnd"/>
      <w:r w:rsidRPr="004C5F95">
        <w:rPr>
          <w:lang w:val="de-DE"/>
        </w:rPr>
        <w:t xml:space="preserve"> a </w:t>
      </w:r>
      <w:proofErr w:type="spellStart"/>
      <w:r w:rsidRPr="004C5F95">
        <w:rPr>
          <w:lang w:val="de-DE"/>
        </w:rPr>
        <w:t>better</w:t>
      </w:r>
      <w:proofErr w:type="spellEnd"/>
      <w:r w:rsidRPr="004C5F95">
        <w:rPr>
          <w:lang w:val="de-DE"/>
        </w:rPr>
        <w:t xml:space="preserve"> </w:t>
      </w:r>
      <w:proofErr w:type="spellStart"/>
      <w:r w:rsidRPr="004C5F95">
        <w:rPr>
          <w:lang w:val="de-DE"/>
        </w:rPr>
        <w:t>world</w:t>
      </w:r>
      <w:proofErr w:type="spellEnd"/>
      <w:r w:rsidRPr="004C5F95">
        <w:rPr>
          <w:lang w:val="de-DE"/>
        </w:rPr>
        <w:t>“. </w:t>
      </w:r>
    </w:p>
    <w:p w14:paraId="321043EF" w14:textId="77777777" w:rsidR="004C5F95" w:rsidRPr="004C5F95" w:rsidRDefault="004C5F95" w:rsidP="004C5F95">
      <w:pPr>
        <w:rPr>
          <w:lang w:val="de-DE"/>
        </w:rPr>
      </w:pPr>
      <w:r w:rsidRPr="004C5F95">
        <w:rPr>
          <w:lang w:val="de-DE"/>
        </w:rPr>
        <w:t> </w:t>
      </w:r>
    </w:p>
    <w:p w14:paraId="350B03C3" w14:textId="77777777" w:rsidR="004C5F95" w:rsidRPr="004C5F95" w:rsidRDefault="004C5F95" w:rsidP="004C5F95">
      <w:pPr>
        <w:rPr>
          <w:lang w:val="de-DE"/>
        </w:rPr>
      </w:pPr>
      <w:r w:rsidRPr="004C5F95">
        <w:rPr>
          <w:lang w:val="de-DE"/>
        </w:rPr>
        <w:lastRenderedPageBreak/>
        <w:t xml:space="preserve">GEA ist im DAX und im STOXX® Europe 600 Index notiert und ist darüber hinaus Bestandteil der führenden Nachhaltigkeitsindizes DAX 50 ESG, MSCI Global </w:t>
      </w:r>
      <w:proofErr w:type="spellStart"/>
      <w:r w:rsidRPr="004C5F95">
        <w:rPr>
          <w:lang w:val="de-DE"/>
        </w:rPr>
        <w:t>Sustainability</w:t>
      </w:r>
      <w:proofErr w:type="spellEnd"/>
      <w:r w:rsidRPr="004C5F95">
        <w:rPr>
          <w:lang w:val="de-DE"/>
        </w:rPr>
        <w:t xml:space="preserve"> sowie Dow Jones Best-in-Class World und Best-in-Class Europe. </w:t>
      </w:r>
    </w:p>
    <w:p w14:paraId="029C24D0" w14:textId="77777777" w:rsidR="004C5F95" w:rsidRPr="004C5F95" w:rsidRDefault="004C5F95" w:rsidP="004C5F95">
      <w:pPr>
        <w:rPr>
          <w:lang w:val="de-DE"/>
        </w:rPr>
      </w:pPr>
      <w:r w:rsidRPr="004C5F95">
        <w:rPr>
          <w:lang w:val="de-DE"/>
        </w:rPr>
        <w:t> </w:t>
      </w:r>
    </w:p>
    <w:p w14:paraId="3B3CF24A" w14:textId="77777777" w:rsidR="004C5F95" w:rsidRPr="004C5F95" w:rsidRDefault="004C5F95" w:rsidP="004C5F95">
      <w:pPr>
        <w:rPr>
          <w:lang w:val="de-DE"/>
        </w:rPr>
      </w:pPr>
      <w:r w:rsidRPr="004C5F95">
        <w:rPr>
          <w:lang w:val="de-DE"/>
        </w:rPr>
        <w:t> Weitere Informationen finden Sie im Internet unter </w:t>
      </w:r>
      <w:hyperlink r:id="rId13" w:tooltip="https://www.gea.com/de/index.jsp" w:history="1">
        <w:r w:rsidRPr="004C5F95">
          <w:rPr>
            <w:rStyle w:val="Hyperlink"/>
            <w:lang w:val="de-DE"/>
          </w:rPr>
          <w:t>gea.com</w:t>
        </w:r>
      </w:hyperlink>
      <w:r w:rsidRPr="004C5F95">
        <w:rPr>
          <w:lang w:val="de-DE"/>
        </w:rPr>
        <w:t>.</w:t>
      </w:r>
    </w:p>
    <w:p w14:paraId="2C27D99A" w14:textId="77777777" w:rsidR="004C5F95" w:rsidRPr="004C5F95" w:rsidRDefault="004C5F95" w:rsidP="004C5F95">
      <w:pPr>
        <w:rPr>
          <w:lang w:val="de-DE"/>
        </w:rPr>
      </w:pP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6C939DF5" w14:textId="77777777" w:rsidR="00FD1352" w:rsidRPr="00250190" w:rsidRDefault="00FD1352" w:rsidP="00FD1352">
      <w:pPr>
        <w:pStyle w:val="Boilerplate"/>
        <w:rPr>
          <w:lang w:val="de-DE"/>
        </w:rPr>
      </w:pPr>
    </w:p>
    <w:p w14:paraId="761FA8C0" w14:textId="052331D1" w:rsidR="00FD1352" w:rsidRPr="00266CE0" w:rsidRDefault="00FD1352" w:rsidP="00FD1352">
      <w:pPr>
        <w:pBdr>
          <w:top w:val="single" w:sz="4" w:space="1" w:color="0303B8" w:themeColor="text1"/>
        </w:pBdr>
        <w:rPr>
          <w:rStyle w:val="Untertitel1Subline"/>
        </w:rPr>
      </w:pPr>
      <w:r w:rsidRPr="00266CE0">
        <w:rPr>
          <w:rStyle w:val="Untertitel1Subline"/>
          <w:bCs/>
        </w:rPr>
        <w:t>HINWEIS FÜR REDAKT</w:t>
      </w:r>
      <w:r w:rsidR="001C463C">
        <w:rPr>
          <w:rStyle w:val="Untertitel1Subline"/>
          <w:bCs/>
        </w:rPr>
        <w:t>IONEN:</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4"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5"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6"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7"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7A334414" w14:textId="77777777" w:rsidR="006F0B3A" w:rsidRDefault="006F0B3A" w:rsidP="00FD1352">
      <w:pPr>
        <w:pStyle w:val="Boilerplate"/>
        <w:rPr>
          <w:b/>
          <w:bCs/>
          <w:color w:val="0303B8" w:themeColor="text1"/>
          <w:lang w:val="de-DE"/>
        </w:rPr>
      </w:pPr>
    </w:p>
    <w:p w14:paraId="2260FCD9" w14:textId="77777777" w:rsidR="00580874" w:rsidRDefault="00580874" w:rsidP="00FD1352">
      <w:pPr>
        <w:pStyle w:val="Boilerplate"/>
        <w:rPr>
          <w:b/>
          <w:bCs/>
          <w:color w:val="0303B8" w:themeColor="text1"/>
          <w:lang w:val="de-DE"/>
        </w:rPr>
      </w:pPr>
    </w:p>
    <w:p w14:paraId="5839C8F5" w14:textId="77777777" w:rsidR="006F0B3A" w:rsidRDefault="006F0B3A" w:rsidP="00FD1352">
      <w:pPr>
        <w:pStyle w:val="Boilerplate"/>
        <w:rPr>
          <w:b/>
          <w:bCs/>
          <w:color w:val="0303B8" w:themeColor="text1"/>
          <w:lang w:val="de-DE"/>
        </w:rPr>
      </w:pPr>
    </w:p>
    <w:p w14:paraId="768DBA4B" w14:textId="1BC7BA1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1" w:name="_Hlk111819806"/>
      <w:r w:rsidRPr="00250190">
        <w:rPr>
          <w:color w:val="808080" w:themeColor="background1" w:themeShade="80"/>
          <w:sz w:val="18"/>
          <w:szCs w:val="18"/>
          <w:lang w:val="de-DE"/>
        </w:rPr>
        <w:t>Dr. Michael Golek</w:t>
      </w:r>
    </w:p>
    <w:bookmarkEnd w:id="1"/>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2" w:name="_Hlk111819835"/>
      <w:r w:rsidRPr="00250190">
        <w:rPr>
          <w:color w:val="808080" w:themeColor="background1" w:themeShade="80"/>
          <w:sz w:val="18"/>
          <w:szCs w:val="18"/>
          <w:lang w:val="de-DE"/>
        </w:rPr>
        <w:t>Telefon +49 211 91361505</w:t>
      </w:r>
    </w:p>
    <w:bookmarkEnd w:id="2"/>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2"/>
      <w:footerReference w:type="even" r:id="rId23"/>
      <w:footerReference w:type="default" r:id="rId24"/>
      <w:headerReference w:type="first" r:id="rId25"/>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D30F" w14:textId="77777777" w:rsidR="008B77F9" w:rsidRDefault="008B77F9" w:rsidP="00E668F9">
      <w:r>
        <w:separator/>
      </w:r>
    </w:p>
  </w:endnote>
  <w:endnote w:type="continuationSeparator" w:id="0">
    <w:p w14:paraId="4FE81EBA" w14:textId="77777777" w:rsidR="008B77F9" w:rsidRDefault="008B77F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uzeile"/>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uzeile"/>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27F" w14:textId="77777777" w:rsidR="008B77F9" w:rsidRDefault="008B77F9" w:rsidP="00E668F9">
      <w:r>
        <w:separator/>
      </w:r>
    </w:p>
  </w:footnote>
  <w:footnote w:type="continuationSeparator" w:id="0">
    <w:p w14:paraId="1AE225E8" w14:textId="77777777" w:rsidR="008B77F9" w:rsidRDefault="008B77F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2AA59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A110D0"/>
    <w:multiLevelType w:val="multilevel"/>
    <w:tmpl w:val="3D6C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1" w15:restartNumberingAfterBreak="0">
    <w:nsid w:val="73A95B6C"/>
    <w:multiLevelType w:val="multilevel"/>
    <w:tmpl w:val="1EE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3"/>
  </w:num>
  <w:num w:numId="5" w16cid:durableId="1264994109">
    <w:abstractNumId w:val="26"/>
  </w:num>
  <w:num w:numId="6" w16cid:durableId="1879514577">
    <w:abstractNumId w:val="30"/>
  </w:num>
  <w:num w:numId="7" w16cid:durableId="994841010">
    <w:abstractNumId w:val="28"/>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2"/>
  </w:num>
  <w:num w:numId="32" w16cid:durableId="109514244">
    <w:abstractNumId w:val="27"/>
  </w:num>
  <w:num w:numId="33" w16cid:durableId="491022258">
    <w:abstractNumId w:val="24"/>
  </w:num>
  <w:num w:numId="34" w16cid:durableId="778256126">
    <w:abstractNumId w:val="25"/>
  </w:num>
  <w:num w:numId="35" w16cid:durableId="1231162026">
    <w:abstractNumId w:val="31"/>
  </w:num>
  <w:num w:numId="36" w16cid:durableId="17030461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0A2"/>
    <w:rsid w:val="00034520"/>
    <w:rsid w:val="00034BD1"/>
    <w:rsid w:val="000370A3"/>
    <w:rsid w:val="00040396"/>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3206"/>
    <w:rsid w:val="000D7155"/>
    <w:rsid w:val="000E03D1"/>
    <w:rsid w:val="000E1D8F"/>
    <w:rsid w:val="000E1DFF"/>
    <w:rsid w:val="000E2047"/>
    <w:rsid w:val="000E2B95"/>
    <w:rsid w:val="000E4A29"/>
    <w:rsid w:val="000E500C"/>
    <w:rsid w:val="000E59AF"/>
    <w:rsid w:val="000E6556"/>
    <w:rsid w:val="000F0BF0"/>
    <w:rsid w:val="000F3439"/>
    <w:rsid w:val="000F5917"/>
    <w:rsid w:val="000F61A1"/>
    <w:rsid w:val="00102728"/>
    <w:rsid w:val="00103DAA"/>
    <w:rsid w:val="00103E24"/>
    <w:rsid w:val="00103E81"/>
    <w:rsid w:val="001043C9"/>
    <w:rsid w:val="00104987"/>
    <w:rsid w:val="00104EFE"/>
    <w:rsid w:val="00105943"/>
    <w:rsid w:val="001114DF"/>
    <w:rsid w:val="00112BB6"/>
    <w:rsid w:val="001143EE"/>
    <w:rsid w:val="00117389"/>
    <w:rsid w:val="001176E9"/>
    <w:rsid w:val="00120F2C"/>
    <w:rsid w:val="00121507"/>
    <w:rsid w:val="00121545"/>
    <w:rsid w:val="00121A27"/>
    <w:rsid w:val="001221AD"/>
    <w:rsid w:val="00124AD8"/>
    <w:rsid w:val="00125CD4"/>
    <w:rsid w:val="00125DC9"/>
    <w:rsid w:val="00127806"/>
    <w:rsid w:val="001317BD"/>
    <w:rsid w:val="00132F77"/>
    <w:rsid w:val="00134F5D"/>
    <w:rsid w:val="00135725"/>
    <w:rsid w:val="001372AD"/>
    <w:rsid w:val="00142545"/>
    <w:rsid w:val="00142904"/>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08E"/>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463C"/>
    <w:rsid w:val="001C7904"/>
    <w:rsid w:val="001D234E"/>
    <w:rsid w:val="001D3EA4"/>
    <w:rsid w:val="001D60D8"/>
    <w:rsid w:val="001E0686"/>
    <w:rsid w:val="001E06DC"/>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47B"/>
    <w:rsid w:val="00210DAE"/>
    <w:rsid w:val="002118C3"/>
    <w:rsid w:val="00212797"/>
    <w:rsid w:val="00212AA8"/>
    <w:rsid w:val="00220028"/>
    <w:rsid w:val="002216CF"/>
    <w:rsid w:val="00221C32"/>
    <w:rsid w:val="00221F43"/>
    <w:rsid w:val="002225DB"/>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221"/>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306A"/>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A35"/>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7C9"/>
    <w:rsid w:val="00367F6C"/>
    <w:rsid w:val="00370F73"/>
    <w:rsid w:val="00371AC0"/>
    <w:rsid w:val="003722F2"/>
    <w:rsid w:val="00374CA4"/>
    <w:rsid w:val="00375EBC"/>
    <w:rsid w:val="0037736B"/>
    <w:rsid w:val="00377669"/>
    <w:rsid w:val="00380078"/>
    <w:rsid w:val="00380E0C"/>
    <w:rsid w:val="00381D06"/>
    <w:rsid w:val="003823AC"/>
    <w:rsid w:val="00382E05"/>
    <w:rsid w:val="003836E7"/>
    <w:rsid w:val="00383A61"/>
    <w:rsid w:val="00384D62"/>
    <w:rsid w:val="0038546B"/>
    <w:rsid w:val="00385942"/>
    <w:rsid w:val="00385A1E"/>
    <w:rsid w:val="00385C0E"/>
    <w:rsid w:val="003878B3"/>
    <w:rsid w:val="003912AD"/>
    <w:rsid w:val="00391B5D"/>
    <w:rsid w:val="00391D0B"/>
    <w:rsid w:val="0039377C"/>
    <w:rsid w:val="003967C4"/>
    <w:rsid w:val="0039710D"/>
    <w:rsid w:val="003A193F"/>
    <w:rsid w:val="003A2C16"/>
    <w:rsid w:val="003A3804"/>
    <w:rsid w:val="003A5CB9"/>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4687"/>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2A0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1FD2"/>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53C"/>
    <w:rsid w:val="004A3D72"/>
    <w:rsid w:val="004A4CDB"/>
    <w:rsid w:val="004A5437"/>
    <w:rsid w:val="004A64D6"/>
    <w:rsid w:val="004A75E4"/>
    <w:rsid w:val="004B05A4"/>
    <w:rsid w:val="004B1AC5"/>
    <w:rsid w:val="004B1EA2"/>
    <w:rsid w:val="004B21ED"/>
    <w:rsid w:val="004B2326"/>
    <w:rsid w:val="004B2B0F"/>
    <w:rsid w:val="004B44B0"/>
    <w:rsid w:val="004B517E"/>
    <w:rsid w:val="004B65D6"/>
    <w:rsid w:val="004B74C7"/>
    <w:rsid w:val="004B750D"/>
    <w:rsid w:val="004B7782"/>
    <w:rsid w:val="004C0DC3"/>
    <w:rsid w:val="004C3164"/>
    <w:rsid w:val="004C3832"/>
    <w:rsid w:val="004C5F95"/>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4C0A"/>
    <w:rsid w:val="00515B15"/>
    <w:rsid w:val="005168EA"/>
    <w:rsid w:val="0051696D"/>
    <w:rsid w:val="00521C71"/>
    <w:rsid w:val="00525CE7"/>
    <w:rsid w:val="005267FB"/>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0874"/>
    <w:rsid w:val="00580DAD"/>
    <w:rsid w:val="00582310"/>
    <w:rsid w:val="0058262D"/>
    <w:rsid w:val="0058343C"/>
    <w:rsid w:val="00583616"/>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E7ADD"/>
    <w:rsid w:val="005F050B"/>
    <w:rsid w:val="005F4024"/>
    <w:rsid w:val="00601A56"/>
    <w:rsid w:val="00601EE5"/>
    <w:rsid w:val="00602CAB"/>
    <w:rsid w:val="006030C7"/>
    <w:rsid w:val="006042AC"/>
    <w:rsid w:val="00604314"/>
    <w:rsid w:val="006053C6"/>
    <w:rsid w:val="00605821"/>
    <w:rsid w:val="00606519"/>
    <w:rsid w:val="00606750"/>
    <w:rsid w:val="00606AE5"/>
    <w:rsid w:val="00607DF2"/>
    <w:rsid w:val="0061035B"/>
    <w:rsid w:val="006173ED"/>
    <w:rsid w:val="00617B2F"/>
    <w:rsid w:val="00617C0E"/>
    <w:rsid w:val="0062457C"/>
    <w:rsid w:val="00624D67"/>
    <w:rsid w:val="006260A0"/>
    <w:rsid w:val="00626D91"/>
    <w:rsid w:val="006307C0"/>
    <w:rsid w:val="00630C42"/>
    <w:rsid w:val="00632E34"/>
    <w:rsid w:val="00633DBC"/>
    <w:rsid w:val="00637986"/>
    <w:rsid w:val="00640AC1"/>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188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0B3A"/>
    <w:rsid w:val="006F1824"/>
    <w:rsid w:val="006F2D6F"/>
    <w:rsid w:val="006F5C03"/>
    <w:rsid w:val="007005C8"/>
    <w:rsid w:val="00700839"/>
    <w:rsid w:val="00703076"/>
    <w:rsid w:val="0070355A"/>
    <w:rsid w:val="007046F8"/>
    <w:rsid w:val="007073B0"/>
    <w:rsid w:val="007108B7"/>
    <w:rsid w:val="00710C07"/>
    <w:rsid w:val="0071209F"/>
    <w:rsid w:val="00712908"/>
    <w:rsid w:val="00712920"/>
    <w:rsid w:val="00712CE5"/>
    <w:rsid w:val="0071327E"/>
    <w:rsid w:val="00714172"/>
    <w:rsid w:val="00714969"/>
    <w:rsid w:val="007154AE"/>
    <w:rsid w:val="00716F6D"/>
    <w:rsid w:val="007217C9"/>
    <w:rsid w:val="007221AD"/>
    <w:rsid w:val="007236D5"/>
    <w:rsid w:val="007243D3"/>
    <w:rsid w:val="00725B8E"/>
    <w:rsid w:val="00726B3A"/>
    <w:rsid w:val="00726F77"/>
    <w:rsid w:val="007312E1"/>
    <w:rsid w:val="007319BE"/>
    <w:rsid w:val="0073295D"/>
    <w:rsid w:val="00734998"/>
    <w:rsid w:val="00735565"/>
    <w:rsid w:val="00737098"/>
    <w:rsid w:val="0073738A"/>
    <w:rsid w:val="00737AFC"/>
    <w:rsid w:val="0074015C"/>
    <w:rsid w:val="0074025E"/>
    <w:rsid w:val="007409F6"/>
    <w:rsid w:val="00740D78"/>
    <w:rsid w:val="00740F20"/>
    <w:rsid w:val="00741C21"/>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57E"/>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42B"/>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7F7D61"/>
    <w:rsid w:val="00801454"/>
    <w:rsid w:val="00801F2F"/>
    <w:rsid w:val="0080441D"/>
    <w:rsid w:val="008132B8"/>
    <w:rsid w:val="008137B0"/>
    <w:rsid w:val="00814E71"/>
    <w:rsid w:val="008201A9"/>
    <w:rsid w:val="008234D5"/>
    <w:rsid w:val="00824596"/>
    <w:rsid w:val="00824948"/>
    <w:rsid w:val="008250E7"/>
    <w:rsid w:val="008256E1"/>
    <w:rsid w:val="00825E83"/>
    <w:rsid w:val="00827980"/>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3F9C"/>
    <w:rsid w:val="008B63F9"/>
    <w:rsid w:val="008B6B23"/>
    <w:rsid w:val="008B77F9"/>
    <w:rsid w:val="008B7B33"/>
    <w:rsid w:val="008C0D3C"/>
    <w:rsid w:val="008C1B80"/>
    <w:rsid w:val="008C1CC6"/>
    <w:rsid w:val="008C3A7F"/>
    <w:rsid w:val="008C43DF"/>
    <w:rsid w:val="008C45C1"/>
    <w:rsid w:val="008C4DEA"/>
    <w:rsid w:val="008C54B4"/>
    <w:rsid w:val="008C6043"/>
    <w:rsid w:val="008C6EE9"/>
    <w:rsid w:val="008D2A7D"/>
    <w:rsid w:val="008D3098"/>
    <w:rsid w:val="008D3893"/>
    <w:rsid w:val="008E00D5"/>
    <w:rsid w:val="008E010D"/>
    <w:rsid w:val="008E077A"/>
    <w:rsid w:val="008E0ADF"/>
    <w:rsid w:val="008E130D"/>
    <w:rsid w:val="008E2067"/>
    <w:rsid w:val="008E32FB"/>
    <w:rsid w:val="008E6E2E"/>
    <w:rsid w:val="008E73AD"/>
    <w:rsid w:val="008E79E9"/>
    <w:rsid w:val="008E7E88"/>
    <w:rsid w:val="008F3A51"/>
    <w:rsid w:val="008F42D9"/>
    <w:rsid w:val="00900EC4"/>
    <w:rsid w:val="00902075"/>
    <w:rsid w:val="0090233F"/>
    <w:rsid w:val="009042C5"/>
    <w:rsid w:val="00904F5F"/>
    <w:rsid w:val="00906ED6"/>
    <w:rsid w:val="00907568"/>
    <w:rsid w:val="00907AAC"/>
    <w:rsid w:val="00907B07"/>
    <w:rsid w:val="00913998"/>
    <w:rsid w:val="0091531B"/>
    <w:rsid w:val="00917B84"/>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A25"/>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650D"/>
    <w:rsid w:val="009D72BF"/>
    <w:rsid w:val="009E0A13"/>
    <w:rsid w:val="009E1001"/>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2744D"/>
    <w:rsid w:val="00A30D60"/>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5A69"/>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7D0"/>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2E71"/>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267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467B5"/>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2FD4"/>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E6B3B"/>
    <w:rsid w:val="00BF1D67"/>
    <w:rsid w:val="00BF3801"/>
    <w:rsid w:val="00C019D3"/>
    <w:rsid w:val="00C02206"/>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5C1D"/>
    <w:rsid w:val="00C6614E"/>
    <w:rsid w:val="00C66920"/>
    <w:rsid w:val="00C66D71"/>
    <w:rsid w:val="00C71044"/>
    <w:rsid w:val="00C711D0"/>
    <w:rsid w:val="00C71E23"/>
    <w:rsid w:val="00C728EF"/>
    <w:rsid w:val="00C7295C"/>
    <w:rsid w:val="00C72AE9"/>
    <w:rsid w:val="00C7318C"/>
    <w:rsid w:val="00C737FE"/>
    <w:rsid w:val="00C7496D"/>
    <w:rsid w:val="00C751C2"/>
    <w:rsid w:val="00C75523"/>
    <w:rsid w:val="00C77BE5"/>
    <w:rsid w:val="00C77E5E"/>
    <w:rsid w:val="00C80027"/>
    <w:rsid w:val="00C81558"/>
    <w:rsid w:val="00C837C1"/>
    <w:rsid w:val="00C854D5"/>
    <w:rsid w:val="00C85E3A"/>
    <w:rsid w:val="00C8639F"/>
    <w:rsid w:val="00C911D5"/>
    <w:rsid w:val="00C91626"/>
    <w:rsid w:val="00C937E1"/>
    <w:rsid w:val="00C93DB8"/>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106E"/>
    <w:rsid w:val="00CD47D3"/>
    <w:rsid w:val="00CD4933"/>
    <w:rsid w:val="00CD5DE6"/>
    <w:rsid w:val="00CD7A06"/>
    <w:rsid w:val="00CE080E"/>
    <w:rsid w:val="00CE0CDD"/>
    <w:rsid w:val="00CE2C81"/>
    <w:rsid w:val="00CE545B"/>
    <w:rsid w:val="00CE62C0"/>
    <w:rsid w:val="00CE7A6E"/>
    <w:rsid w:val="00CF17B1"/>
    <w:rsid w:val="00CF18CC"/>
    <w:rsid w:val="00CF2058"/>
    <w:rsid w:val="00CF3F93"/>
    <w:rsid w:val="00CF596F"/>
    <w:rsid w:val="00CF60CD"/>
    <w:rsid w:val="00D008DE"/>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391"/>
    <w:rsid w:val="00D47929"/>
    <w:rsid w:val="00D51905"/>
    <w:rsid w:val="00D524B6"/>
    <w:rsid w:val="00D527A3"/>
    <w:rsid w:val="00D53703"/>
    <w:rsid w:val="00D54DF3"/>
    <w:rsid w:val="00D603EA"/>
    <w:rsid w:val="00D614CF"/>
    <w:rsid w:val="00D61C42"/>
    <w:rsid w:val="00D620C7"/>
    <w:rsid w:val="00D6398B"/>
    <w:rsid w:val="00D7051E"/>
    <w:rsid w:val="00D70CA7"/>
    <w:rsid w:val="00D70F91"/>
    <w:rsid w:val="00D718F2"/>
    <w:rsid w:val="00D73956"/>
    <w:rsid w:val="00D75D80"/>
    <w:rsid w:val="00D75F46"/>
    <w:rsid w:val="00D8484F"/>
    <w:rsid w:val="00D85893"/>
    <w:rsid w:val="00D86DAC"/>
    <w:rsid w:val="00D90BFA"/>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2807"/>
    <w:rsid w:val="00E15C46"/>
    <w:rsid w:val="00E15D93"/>
    <w:rsid w:val="00E16D02"/>
    <w:rsid w:val="00E2198F"/>
    <w:rsid w:val="00E24B66"/>
    <w:rsid w:val="00E2534C"/>
    <w:rsid w:val="00E257A9"/>
    <w:rsid w:val="00E34F93"/>
    <w:rsid w:val="00E36710"/>
    <w:rsid w:val="00E36F1F"/>
    <w:rsid w:val="00E40C5A"/>
    <w:rsid w:val="00E42988"/>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47F5"/>
    <w:rsid w:val="00E668F9"/>
    <w:rsid w:val="00E66DBC"/>
    <w:rsid w:val="00E673CE"/>
    <w:rsid w:val="00E71EDA"/>
    <w:rsid w:val="00E76702"/>
    <w:rsid w:val="00E7706A"/>
    <w:rsid w:val="00E82F33"/>
    <w:rsid w:val="00E83337"/>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5525"/>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6CB"/>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8E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de/index.jsp" TargetMode="External"/><Relationship Id="rId18" Type="http://schemas.openxmlformats.org/officeDocument/2006/relationships/hyperlink" Target="https://www.linkedin.com/company/geagroup/posts/?feedView=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ea.com/en/company/media/features/index.j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ea.com/en/company/media/media-center/index.jsp" TargetMode="External"/><Relationship Id="rId20" Type="http://schemas.openxmlformats.org/officeDocument/2006/relationships/hyperlink" Target="http://www.youtube.com/user/TheGEA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ea.com/en/company/media/index.jsp"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about-us/index.jsp"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Props1.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dbe33b4-0329-4b33-86a3-6a5009facf62"/>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5135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5938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7</cp:revision>
  <cp:lastPrinted>2021-09-10T11:25:00Z</cp:lastPrinted>
  <dcterms:created xsi:type="dcterms:W3CDTF">2026-04-25T16:07:00Z</dcterms:created>
  <dcterms:modified xsi:type="dcterms:W3CDTF">2026-04-30T09:44:00Z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