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6A44C" w14:textId="396EA503" w:rsidR="00E67CD9" w:rsidRDefault="009B5B8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C0EE60" wp14:editId="5459795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52625" cy="342265"/>
            <wp:effectExtent l="0" t="0" r="9525" b="635"/>
            <wp:wrapTight wrapText="bothSides">
              <wp:wrapPolygon edited="0">
                <wp:start x="5690" y="0"/>
                <wp:lineTo x="0" y="1202"/>
                <wp:lineTo x="0" y="19236"/>
                <wp:lineTo x="5690" y="20438"/>
                <wp:lineTo x="6743" y="20438"/>
                <wp:lineTo x="21495" y="19236"/>
                <wp:lineTo x="21495" y="1202"/>
                <wp:lineTo x="6743" y="0"/>
                <wp:lineTo x="569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73D97" w14:textId="77777777" w:rsidR="00D75D49" w:rsidRDefault="00D75D49" w:rsidP="00D75D49">
      <w:pPr>
        <w:spacing w:line="264" w:lineRule="auto"/>
        <w:rPr>
          <w:rFonts w:ascii="Plain Thin" w:hAnsi="Plain Thin"/>
          <w:sz w:val="24"/>
          <w:szCs w:val="24"/>
        </w:rPr>
      </w:pPr>
    </w:p>
    <w:p w14:paraId="302BFFFE" w14:textId="747E9F6E" w:rsidR="00D75D49" w:rsidRPr="00D75D49" w:rsidRDefault="00D75D49" w:rsidP="00D75D49">
      <w:pPr>
        <w:spacing w:line="264" w:lineRule="auto"/>
        <w:rPr>
          <w:rFonts w:ascii="Plain Thin" w:hAnsi="Plain Thin"/>
          <w:sz w:val="24"/>
          <w:szCs w:val="24"/>
        </w:rPr>
      </w:pPr>
      <w:r>
        <w:rPr>
          <w:rFonts w:ascii="Plain Thin" w:hAnsi="Plain Thin"/>
          <w:sz w:val="24"/>
          <w:szCs w:val="24"/>
        </w:rPr>
        <w:t>PRESSEINFORMATION</w:t>
      </w:r>
    </w:p>
    <w:p w14:paraId="1AED2F1E" w14:textId="677F7D3C" w:rsidR="00D75D49" w:rsidRPr="00D75D49" w:rsidRDefault="00863132" w:rsidP="00D75D49">
      <w:pPr>
        <w:spacing w:line="264" w:lineRule="auto"/>
        <w:rPr>
          <w:sz w:val="32"/>
          <w:szCs w:val="32"/>
        </w:rPr>
      </w:pPr>
      <w:r>
        <w:rPr>
          <w:rFonts w:ascii="Plain Light" w:hAnsi="Plain Light"/>
          <w:b/>
          <w:bCs/>
          <w:sz w:val="40"/>
          <w:szCs w:val="40"/>
        </w:rPr>
        <w:t>2G in Innenräumen: Wer folgt dem „sächsischen Weg“?</w:t>
      </w:r>
      <w:r w:rsidR="00485B5A">
        <w:rPr>
          <w:rFonts w:ascii="Plain Light" w:hAnsi="Plain Light"/>
          <w:b/>
          <w:bCs/>
          <w:sz w:val="40"/>
          <w:szCs w:val="40"/>
        </w:rPr>
        <w:t xml:space="preserve"> ETL ADHOGA-</w:t>
      </w:r>
      <w:r w:rsidR="00565BBB">
        <w:rPr>
          <w:rFonts w:ascii="Plain Light" w:hAnsi="Plain Light"/>
          <w:b/>
          <w:bCs/>
          <w:sz w:val="40"/>
          <w:szCs w:val="40"/>
        </w:rPr>
        <w:t xml:space="preserve">Infografik </w:t>
      </w:r>
      <w:r w:rsidR="00522D10">
        <w:rPr>
          <w:rFonts w:ascii="Plain Light" w:hAnsi="Plain Light"/>
          <w:b/>
          <w:bCs/>
          <w:sz w:val="40"/>
          <w:szCs w:val="40"/>
        </w:rPr>
        <w:t xml:space="preserve">informiert über Corona-Regeln </w:t>
      </w:r>
      <w:r w:rsidR="000B782D">
        <w:rPr>
          <w:rFonts w:ascii="Plain Light" w:hAnsi="Plain Light"/>
          <w:b/>
          <w:bCs/>
          <w:sz w:val="40"/>
          <w:szCs w:val="40"/>
        </w:rPr>
        <w:t>für</w:t>
      </w:r>
      <w:r w:rsidR="00522D10">
        <w:rPr>
          <w:rFonts w:ascii="Plain Light" w:hAnsi="Plain Light"/>
          <w:b/>
          <w:bCs/>
          <w:sz w:val="40"/>
          <w:szCs w:val="40"/>
        </w:rPr>
        <w:t xml:space="preserve"> Gastronomie</w:t>
      </w:r>
      <w:r w:rsidR="000B782D">
        <w:rPr>
          <w:rFonts w:ascii="Plain Light" w:hAnsi="Plain Light"/>
          <w:b/>
          <w:bCs/>
          <w:sz w:val="40"/>
          <w:szCs w:val="40"/>
        </w:rPr>
        <w:t xml:space="preserve"> in einzelnen Bundesländern</w:t>
      </w:r>
    </w:p>
    <w:p w14:paraId="2C79CBF5" w14:textId="29F1EE7C" w:rsidR="007359D5" w:rsidRPr="00E67CD9" w:rsidRDefault="00210B56" w:rsidP="00E67CD9">
      <w:pPr>
        <w:spacing w:after="240"/>
        <w:rPr>
          <w:rFonts w:ascii="Plain Thin" w:hAnsi="Plain Thin"/>
          <w:b/>
          <w:bCs/>
          <w:i/>
          <w:iCs/>
        </w:rPr>
      </w:pPr>
      <w:r>
        <w:rPr>
          <w:rFonts w:ascii="Plain Thin" w:hAnsi="Plain Thin"/>
          <w:b/>
          <w:bCs/>
          <w:i/>
          <w:iCs/>
        </w:rPr>
        <w:t>Berlin/Essen. 15</w:t>
      </w:r>
      <w:r w:rsidR="00863132">
        <w:rPr>
          <w:rFonts w:ascii="Plain Thin" w:hAnsi="Plain Thin"/>
          <w:b/>
          <w:bCs/>
          <w:i/>
          <w:iCs/>
        </w:rPr>
        <w:t>.11</w:t>
      </w:r>
      <w:r w:rsidR="00703FB2">
        <w:rPr>
          <w:rFonts w:ascii="Plain Thin" w:hAnsi="Plain Thin"/>
          <w:b/>
          <w:bCs/>
          <w:i/>
          <w:iCs/>
        </w:rPr>
        <w:t>.</w:t>
      </w:r>
      <w:r w:rsidR="00522D10">
        <w:rPr>
          <w:rFonts w:ascii="Plain Thin" w:hAnsi="Plain Thin"/>
          <w:b/>
          <w:bCs/>
          <w:i/>
          <w:iCs/>
        </w:rPr>
        <w:t xml:space="preserve">2021. </w:t>
      </w:r>
      <w:r>
        <w:rPr>
          <w:rFonts w:ascii="Plain Thin" w:hAnsi="Plain Thin"/>
          <w:b/>
          <w:bCs/>
          <w:i/>
          <w:iCs/>
        </w:rPr>
        <w:t xml:space="preserve">Angesichts der rasant steigenden </w:t>
      </w:r>
      <w:r w:rsidR="00D25CB8">
        <w:rPr>
          <w:rFonts w:ascii="Plain Thin" w:hAnsi="Plain Thin"/>
          <w:b/>
          <w:bCs/>
          <w:i/>
          <w:iCs/>
        </w:rPr>
        <w:t xml:space="preserve">Corona-Infektionszahlen </w:t>
      </w:r>
      <w:r>
        <w:rPr>
          <w:rFonts w:ascii="Plain Thin" w:hAnsi="Plain Thin"/>
          <w:b/>
          <w:bCs/>
          <w:i/>
          <w:iCs/>
        </w:rPr>
        <w:t>und der sich auftürmenden „vierten Welle“ werden bundesweit die Regeln wieder verschärft. Seit dem 8. November gilt in Sachsen nun ein hartes 2G-Modell in Innenräumen. Damit dürfen u.a. Gastronomen n</w:t>
      </w:r>
      <w:r w:rsidR="000B782D">
        <w:rPr>
          <w:rFonts w:ascii="Plain Thin" w:hAnsi="Plain Thin"/>
          <w:b/>
          <w:bCs/>
          <w:i/>
          <w:iCs/>
        </w:rPr>
        <w:t xml:space="preserve">ur noch gegen Corona </w:t>
      </w:r>
      <w:r>
        <w:rPr>
          <w:rFonts w:ascii="Plain Thin" w:hAnsi="Plain Thin"/>
          <w:b/>
          <w:bCs/>
          <w:i/>
          <w:iCs/>
        </w:rPr>
        <w:t>geimpften</w:t>
      </w:r>
      <w:r w:rsidR="00522D10">
        <w:rPr>
          <w:rFonts w:ascii="Plain Thin" w:hAnsi="Plain Thin"/>
          <w:b/>
          <w:bCs/>
          <w:i/>
          <w:iCs/>
        </w:rPr>
        <w:t xml:space="preserve"> oder vom Virus genesenen Personen </w:t>
      </w:r>
      <w:r>
        <w:rPr>
          <w:rFonts w:ascii="Plain Thin" w:hAnsi="Plain Thin"/>
          <w:b/>
          <w:bCs/>
          <w:i/>
          <w:iCs/>
        </w:rPr>
        <w:t xml:space="preserve">Eintritt in ihre Lokalitäten </w:t>
      </w:r>
      <w:r w:rsidR="00522D10">
        <w:rPr>
          <w:rFonts w:ascii="Plain Thin" w:hAnsi="Plain Thin"/>
          <w:b/>
          <w:bCs/>
          <w:i/>
          <w:iCs/>
        </w:rPr>
        <w:t xml:space="preserve">gewähren. </w:t>
      </w:r>
      <w:r>
        <w:rPr>
          <w:rFonts w:ascii="Plain Thin" w:hAnsi="Plain Thin"/>
          <w:b/>
          <w:bCs/>
          <w:i/>
          <w:iCs/>
        </w:rPr>
        <w:t>Mit Brandenburg und Berlin schließen sich seit heute weitere Bundesländer an. Doch noch immer sind bundesweit einheitliche Corona-Regeln Fehlanzeige, was einen „Flickenteppich“ an Maßnahmen mit sich bringt. Mit einer</w:t>
      </w:r>
      <w:r w:rsidR="00522D10">
        <w:rPr>
          <w:rFonts w:ascii="Plain Thin" w:hAnsi="Plain Thin"/>
          <w:b/>
          <w:bCs/>
          <w:i/>
          <w:iCs/>
        </w:rPr>
        <w:t xml:space="preserve"> exklusive</w:t>
      </w:r>
      <w:r>
        <w:rPr>
          <w:rFonts w:ascii="Plain Thin" w:hAnsi="Plain Thin"/>
          <w:b/>
          <w:bCs/>
          <w:i/>
          <w:iCs/>
        </w:rPr>
        <w:t>n</w:t>
      </w:r>
      <w:r w:rsidR="00522D10">
        <w:rPr>
          <w:rFonts w:ascii="Plain Thin" w:hAnsi="Plain Thin"/>
          <w:b/>
          <w:bCs/>
          <w:i/>
          <w:iCs/>
        </w:rPr>
        <w:t xml:space="preserve"> und regelmäßig aktualisierte</w:t>
      </w:r>
      <w:r>
        <w:rPr>
          <w:rFonts w:ascii="Plain Thin" w:hAnsi="Plain Thin"/>
          <w:b/>
          <w:bCs/>
          <w:i/>
          <w:iCs/>
        </w:rPr>
        <w:t xml:space="preserve">n Infografik gibt </w:t>
      </w:r>
      <w:r w:rsidR="00522D10">
        <w:rPr>
          <w:rFonts w:ascii="Plain Thin" w:hAnsi="Plain Thin"/>
          <w:b/>
          <w:bCs/>
          <w:i/>
          <w:iCs/>
        </w:rPr>
        <w:t xml:space="preserve">ETL ADHOGA </w:t>
      </w:r>
      <w:r>
        <w:rPr>
          <w:rFonts w:ascii="Plain Thin" w:hAnsi="Plain Thin"/>
          <w:b/>
          <w:bCs/>
          <w:i/>
          <w:iCs/>
        </w:rPr>
        <w:t xml:space="preserve">auch weiterhin einen </w:t>
      </w:r>
      <w:r w:rsidR="00522D10">
        <w:rPr>
          <w:rFonts w:ascii="Plain Thin" w:hAnsi="Plain Thin"/>
          <w:b/>
          <w:bCs/>
          <w:i/>
          <w:iCs/>
        </w:rPr>
        <w:t>Überblick zum Stand der Corona-Verordnungen in den einzelnen Bundesländern.</w:t>
      </w:r>
    </w:p>
    <w:p w14:paraId="233CA814" w14:textId="20A2C37B" w:rsidR="001A4DD2" w:rsidRDefault="001A4DD2" w:rsidP="00960240">
      <w:pPr>
        <w:spacing w:line="240" w:lineRule="auto"/>
        <w:rPr>
          <w:rFonts w:ascii="Plain Thin" w:hAnsi="Plain Thin" w:cs="Times New Roman"/>
        </w:rPr>
      </w:pPr>
    </w:p>
    <w:p w14:paraId="1F3212A3" w14:textId="254BE354" w:rsidR="0055593A" w:rsidRDefault="0055593A" w:rsidP="0055593A">
      <w:pPr>
        <w:spacing w:line="240" w:lineRule="auto"/>
        <w:rPr>
          <w:rFonts w:ascii="Plain Thin" w:hAnsi="Plain Thin" w:cs="Times New Roman"/>
        </w:rPr>
      </w:pPr>
      <w:r w:rsidRPr="0055593A">
        <w:rPr>
          <w:rFonts w:ascii="Plain Thin" w:hAnsi="Plain Thin" w:cs="Times New Roman"/>
        </w:rPr>
        <w:t xml:space="preserve">Um Gastronomen, Clubbesitzern, Veranstaltern und Gästen einen Überblick über die geltenden Maßnahmen in den einzelnen Bundesländern zu verschaffen, integriert ETL ADHOGA die jeweilige Beschlusslage in ihre exklusive und wöchentlich aktualisierte Infografik. Ob </w:t>
      </w:r>
      <w:r w:rsidR="00D25CB8">
        <w:rPr>
          <w:rFonts w:ascii="Plain Thin" w:hAnsi="Plain Thin" w:cs="Times New Roman"/>
        </w:rPr>
        <w:t xml:space="preserve">hartes </w:t>
      </w:r>
      <w:r w:rsidRPr="0055593A">
        <w:rPr>
          <w:rFonts w:ascii="Plain Thin" w:hAnsi="Plain Thin" w:cs="Times New Roman"/>
        </w:rPr>
        <w:t>2G</w:t>
      </w:r>
      <w:r w:rsidR="00D25CB8">
        <w:rPr>
          <w:rFonts w:ascii="Plain Thin" w:hAnsi="Plain Thin" w:cs="Times New Roman"/>
        </w:rPr>
        <w:t>-Modell, 2G-Optionsmodell</w:t>
      </w:r>
      <w:r w:rsidRPr="0055593A">
        <w:rPr>
          <w:rFonts w:ascii="Plain Thin" w:hAnsi="Plain Thin" w:cs="Times New Roman"/>
        </w:rPr>
        <w:t xml:space="preserve">, 2G Plus, 3G oder ein ganz anderes </w:t>
      </w:r>
      <w:r w:rsidR="00D25CB8">
        <w:rPr>
          <w:rFonts w:ascii="Plain Thin" w:hAnsi="Plain Thin" w:cs="Times New Roman"/>
        </w:rPr>
        <w:t>System</w:t>
      </w:r>
      <w:r w:rsidRPr="0055593A">
        <w:rPr>
          <w:rFonts w:ascii="Plain Thin" w:hAnsi="Plain Thin" w:cs="Times New Roman"/>
        </w:rPr>
        <w:t xml:space="preserve"> – mit der frei verfügbaren Infografik von ETL ADHOGA bleibt der „Flickenteppich an Maßnahmen“ (ETL ADHOGA-Leiter Erich Nagl) übersichtlich.</w:t>
      </w:r>
    </w:p>
    <w:p w14:paraId="4CE6BCA6" w14:textId="7413A46B" w:rsidR="00D25CB8" w:rsidRDefault="00D25CB8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Während einige Länder wie Nordrhein-Westfalen noch auf das 3G-Modell setzen, nach dem sowohl Genese und Geimpfte als auch Getestete Zugang zu Veranstaltungen und Innenräumen haben, schränken andere Bundesländer mit verschiedenen Regularien den Zugang nicht-geimpfter oder genesener Personen ein. So</w:t>
      </w:r>
      <w:r w:rsidRPr="00D25CB8">
        <w:rPr>
          <w:rFonts w:ascii="Plain Thin" w:hAnsi="Plain Thin" w:cs="Times New Roman"/>
        </w:rPr>
        <w:t xml:space="preserve"> reagieren Sachsen, Brandenburg und Berlin mit einem harten 2G-Modell auf die bundesweit steigenden Infektionszahlen und die vor Ort eintretende alarmierende Auslastung der Intensivbetten. Andere Bundesländer wollen nachziehen. So kündigte Baden-Württembergs Ministerpräsident Winfried Kretschmann (Die Grünen) an, dass in seinem Bundesland in der kommenden Woche vorauss</w:t>
      </w:r>
      <w:r>
        <w:rPr>
          <w:rFonts w:ascii="Plain Thin" w:hAnsi="Plain Thin" w:cs="Times New Roman"/>
        </w:rPr>
        <w:t>ichtlich die Corona-"Alarmstufe</w:t>
      </w:r>
      <w:r w:rsidRPr="00D25CB8">
        <w:rPr>
          <w:rFonts w:ascii="Plain Thin" w:hAnsi="Plain Thin" w:cs="Times New Roman"/>
        </w:rPr>
        <w:t xml:space="preserve"> erreicht werde, was zum Umsetzen</w:t>
      </w:r>
      <w:r>
        <w:rPr>
          <w:rFonts w:ascii="Plain Thin" w:hAnsi="Plain Thin" w:cs="Times New Roman"/>
        </w:rPr>
        <w:t xml:space="preserve"> des harten 2G-Modells führen wird.</w:t>
      </w:r>
    </w:p>
    <w:p w14:paraId="1A152B9E" w14:textId="7B7B8693" w:rsidR="00D25CB8" w:rsidRDefault="0055593A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Bereits s</w:t>
      </w:r>
      <w:r w:rsidR="00A92EBF">
        <w:rPr>
          <w:rFonts w:ascii="Plain Thin" w:hAnsi="Plain Thin" w:cs="Times New Roman"/>
        </w:rPr>
        <w:t xml:space="preserve">eit dem 28. August </w:t>
      </w:r>
      <w:r>
        <w:rPr>
          <w:rFonts w:ascii="Plain Thin" w:hAnsi="Plain Thin" w:cs="Times New Roman"/>
        </w:rPr>
        <w:t xml:space="preserve">setzt die Hansestadt Hamburg </w:t>
      </w:r>
      <w:r w:rsidR="00D25CB8">
        <w:rPr>
          <w:rFonts w:ascii="Plain Thin" w:hAnsi="Plain Thin" w:cs="Times New Roman"/>
        </w:rPr>
        <w:t xml:space="preserve">auf </w:t>
      </w:r>
      <w:r>
        <w:rPr>
          <w:rFonts w:ascii="Plain Thin" w:hAnsi="Plain Thin" w:cs="Times New Roman"/>
        </w:rPr>
        <w:t xml:space="preserve">das 2G-Optionsmodell. </w:t>
      </w:r>
      <w:r w:rsidR="00A92EBF">
        <w:rPr>
          <w:rFonts w:ascii="Plain Thin" w:hAnsi="Plain Thin" w:cs="Times New Roman"/>
        </w:rPr>
        <w:t xml:space="preserve">Demnach können Veranstalter und Gastronomen den Zugang zu ihren Räumlichkeiten lediglich Geimpften und Genesenen Personen gestatten. Dafür fallen Corona-Beschränkungen wie die Maskenpflicht, begrenzte Personenkontingente und </w:t>
      </w:r>
      <w:r w:rsidR="00A92EBF">
        <w:rPr>
          <w:rFonts w:ascii="Plain Thin" w:hAnsi="Plain Thin" w:cs="Times New Roman"/>
        </w:rPr>
        <w:lastRenderedPageBreak/>
        <w:t xml:space="preserve">eingeschränkte Öffnungszeiten weg. </w:t>
      </w:r>
      <w:r>
        <w:rPr>
          <w:rFonts w:ascii="Plain Thin" w:hAnsi="Plain Thin" w:cs="Times New Roman"/>
        </w:rPr>
        <w:t xml:space="preserve">Erleichterungen, die </w:t>
      </w:r>
      <w:r w:rsidR="00D25CB8">
        <w:rPr>
          <w:rFonts w:ascii="Plain Thin" w:hAnsi="Plain Thin" w:cs="Times New Roman"/>
        </w:rPr>
        <w:t>anschließend</w:t>
      </w:r>
      <w:r>
        <w:rPr>
          <w:rFonts w:ascii="Plain Thin" w:hAnsi="Plain Thin" w:cs="Times New Roman"/>
        </w:rPr>
        <w:t xml:space="preserve"> auch für </w:t>
      </w:r>
      <w:proofErr w:type="spellStart"/>
      <w:r>
        <w:rPr>
          <w:rFonts w:ascii="Plain Thin" w:hAnsi="Plain Thin" w:cs="Times New Roman"/>
        </w:rPr>
        <w:t>Gastro</w:t>
      </w:r>
      <w:proofErr w:type="spellEnd"/>
      <w:r>
        <w:rPr>
          <w:rFonts w:ascii="Plain Thin" w:hAnsi="Plain Thin" w:cs="Times New Roman"/>
        </w:rPr>
        <w:t>-Betriebe in wei</w:t>
      </w:r>
      <w:r w:rsidR="00D25CB8">
        <w:rPr>
          <w:rFonts w:ascii="Plain Thin" w:hAnsi="Plain Thin" w:cs="Times New Roman"/>
        </w:rPr>
        <w:t>teren Bundesländern in Kraft tra</w:t>
      </w:r>
      <w:r>
        <w:rPr>
          <w:rFonts w:ascii="Plain Thin" w:hAnsi="Plain Thin" w:cs="Times New Roman"/>
        </w:rPr>
        <w:t xml:space="preserve">ten. </w:t>
      </w:r>
    </w:p>
    <w:p w14:paraId="0ED41DFE" w14:textId="747D2CD8" w:rsidR="001A4DD2" w:rsidRDefault="003A1495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Welches Modell auch immer umgesetzt wird – Die von der Pandemie ohnehin hart getroffenen</w:t>
      </w:r>
      <w:r w:rsidR="00A92EBF">
        <w:rPr>
          <w:rFonts w:ascii="Plain Thin" w:hAnsi="Plain Thin" w:cs="Times New Roman"/>
        </w:rPr>
        <w:t xml:space="preserve"> Restaurant-, Bar- und Clubbesitzer</w:t>
      </w:r>
      <w:r w:rsidR="00EC50CD">
        <w:rPr>
          <w:rFonts w:ascii="Plain Thin" w:hAnsi="Plain Thin" w:cs="Times New Roman"/>
        </w:rPr>
        <w:t xml:space="preserve"> </w:t>
      </w:r>
      <w:r>
        <w:rPr>
          <w:rFonts w:ascii="Plain Thin" w:hAnsi="Plain Thin" w:cs="Times New Roman"/>
        </w:rPr>
        <w:t>hoffen darauf,</w:t>
      </w:r>
      <w:r w:rsidR="00A92EBF">
        <w:rPr>
          <w:rFonts w:ascii="Plain Thin" w:hAnsi="Plain Thin" w:cs="Times New Roman"/>
        </w:rPr>
        <w:t xml:space="preserve"> durch </w:t>
      </w:r>
      <w:r>
        <w:rPr>
          <w:rFonts w:ascii="Plain Thin" w:hAnsi="Plain Thin" w:cs="Times New Roman"/>
        </w:rPr>
        <w:t>die Maßnahmen</w:t>
      </w:r>
      <w:r w:rsidR="00A92EBF">
        <w:rPr>
          <w:rFonts w:ascii="Plain Thin" w:hAnsi="Plain Thin" w:cs="Times New Roman"/>
        </w:rPr>
        <w:t xml:space="preserve"> einen erneuten </w:t>
      </w:r>
      <w:proofErr w:type="spellStart"/>
      <w:r w:rsidR="00A92EBF">
        <w:rPr>
          <w:rFonts w:ascii="Plain Thin" w:hAnsi="Plain Thin" w:cs="Times New Roman"/>
        </w:rPr>
        <w:t>Lockdown</w:t>
      </w:r>
      <w:proofErr w:type="spellEnd"/>
      <w:r w:rsidR="00A92EBF">
        <w:rPr>
          <w:rFonts w:ascii="Plain Thin" w:hAnsi="Plain Thin" w:cs="Times New Roman"/>
        </w:rPr>
        <w:t xml:space="preserve"> für die gebeutelte Branche </w:t>
      </w:r>
      <w:r w:rsidR="0055593A">
        <w:rPr>
          <w:rFonts w:ascii="Plain Thin" w:hAnsi="Plain Thin" w:cs="Times New Roman"/>
        </w:rPr>
        <w:t>vermeiden zu können.</w:t>
      </w:r>
    </w:p>
    <w:p w14:paraId="417A206F" w14:textId="1A427A8C" w:rsidR="002700E7" w:rsidRDefault="002700E7" w:rsidP="00960240">
      <w:pPr>
        <w:spacing w:line="240" w:lineRule="auto"/>
        <w:rPr>
          <w:rFonts w:ascii="Plain Thin" w:hAnsi="Plain Thin" w:cs="Times New Roman"/>
        </w:rPr>
      </w:pPr>
      <w:r>
        <w:rPr>
          <w:rFonts w:ascii="Plain Thin" w:hAnsi="Plain Thin" w:cs="Times New Roman"/>
        </w:rPr>
        <w:t>Die</w:t>
      </w:r>
      <w:r w:rsidR="00FB6090">
        <w:rPr>
          <w:rFonts w:ascii="Plain Thin" w:hAnsi="Plain Thin" w:cs="Times New Roman"/>
        </w:rPr>
        <w:t xml:space="preserve"> ETL ADHOGA</w:t>
      </w:r>
      <w:r w:rsidR="00461A8A">
        <w:rPr>
          <w:rFonts w:ascii="Plain Thin" w:hAnsi="Plain Thin" w:cs="Times New Roman"/>
        </w:rPr>
        <w:t>-</w:t>
      </w:r>
      <w:r>
        <w:rPr>
          <w:rFonts w:ascii="Plain Thin" w:hAnsi="Plain Thin" w:cs="Times New Roman"/>
        </w:rPr>
        <w:t>Infog</w:t>
      </w:r>
      <w:r w:rsidR="003B79F0">
        <w:rPr>
          <w:rFonts w:ascii="Plain Thin" w:hAnsi="Plain Thin" w:cs="Times New Roman"/>
        </w:rPr>
        <w:t xml:space="preserve">rafik steht hier </w:t>
      </w:r>
      <w:r w:rsidR="00240AE3">
        <w:rPr>
          <w:rFonts w:ascii="Plain Thin" w:hAnsi="Plain Thin" w:cs="Times New Roman"/>
        </w:rPr>
        <w:t xml:space="preserve">kostenlos </w:t>
      </w:r>
      <w:r w:rsidR="003B79F0">
        <w:rPr>
          <w:rFonts w:ascii="Plain Thin" w:hAnsi="Plain Thin" w:cs="Times New Roman"/>
        </w:rPr>
        <w:t xml:space="preserve">zur Verfügung: </w:t>
      </w:r>
    </w:p>
    <w:p w14:paraId="6FD2EB27" w14:textId="12027885" w:rsidR="002700E7" w:rsidRDefault="00176B80" w:rsidP="00960240">
      <w:pPr>
        <w:spacing w:line="240" w:lineRule="auto"/>
        <w:rPr>
          <w:rFonts w:ascii="Plain Thin" w:hAnsi="Plain Thin" w:cs="Times New Roman"/>
        </w:rPr>
      </w:pPr>
      <w:hyperlink r:id="rId5" w:history="1">
        <w:r w:rsidR="00B15485" w:rsidRPr="00945BE5">
          <w:rPr>
            <w:rStyle w:val="Hyperlink"/>
            <w:rFonts w:ascii="Plain Thin" w:hAnsi="Plain Thin" w:cs="Times New Roman"/>
          </w:rPr>
          <w:t>https://www.etl-adhoga.de/aktuelles/flickenteppich-statt-planungssicherheit-etl-adhoga-mit-infografik-zu-3g-regelungen-im-gastgewerbe</w:t>
        </w:r>
      </w:hyperlink>
    </w:p>
    <w:p w14:paraId="30BF360B" w14:textId="77777777" w:rsidR="00B15485" w:rsidRDefault="00B15485" w:rsidP="00960240">
      <w:pPr>
        <w:spacing w:line="240" w:lineRule="auto"/>
        <w:rPr>
          <w:rFonts w:ascii="Plain Thin" w:hAnsi="Plain Thin" w:cs="Times New Roman"/>
        </w:rPr>
      </w:pPr>
    </w:p>
    <w:p w14:paraId="6CBBB765" w14:textId="77777777" w:rsidR="00461A8A" w:rsidRPr="006E4CD1" w:rsidRDefault="00461A8A" w:rsidP="00461A8A">
      <w:pPr>
        <w:spacing w:line="240" w:lineRule="auto"/>
        <w:rPr>
          <w:rFonts w:ascii="Plain" w:eastAsia="Calibri" w:hAnsi="Plain" w:cs="Times New Roman"/>
          <w:b/>
          <w:bCs/>
        </w:rPr>
      </w:pPr>
      <w:r w:rsidRPr="006E4CD1">
        <w:rPr>
          <w:rFonts w:ascii="Plain" w:eastAsia="Calibri" w:hAnsi="Plain" w:cs="Times New Roman"/>
          <w:b/>
          <w:bCs/>
        </w:rPr>
        <w:t>Über ETL ADHOGA</w:t>
      </w:r>
    </w:p>
    <w:p w14:paraId="78779FC4" w14:textId="77777777" w:rsidR="00461A8A" w:rsidRPr="006E4CD1" w:rsidRDefault="00461A8A" w:rsidP="00461A8A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sz w:val="16"/>
          <w:szCs w:val="16"/>
        </w:rPr>
      </w:pPr>
      <w:r w:rsidRPr="006E4CD1">
        <w:rPr>
          <w:rFonts w:ascii="Plain Thin" w:eastAsia="Calibri" w:hAnsi="Plain Thin" w:cs="Times New Roman"/>
          <w:sz w:val="16"/>
          <w:szCs w:val="16"/>
        </w:rPr>
        <w:t>Die ETL ADHOGA Steuerberatungsgesellschaft AG ist als Teil der ETL-Gruppe auf die Beratung von Gastronomen und Hoteliers rund um die Themen Steuern, Recht und Unternehmensführung spezialisiert.</w:t>
      </w:r>
    </w:p>
    <w:p w14:paraId="203908A2" w14:textId="4364E44E" w:rsidR="00461A8A" w:rsidRPr="006E4CD1" w:rsidRDefault="00461A8A" w:rsidP="00461A8A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sz w:val="16"/>
          <w:szCs w:val="16"/>
        </w:rPr>
      </w:pPr>
      <w:r w:rsidRPr="006E4CD1">
        <w:rPr>
          <w:rFonts w:ascii="Plain Thin" w:eastAsia="Calibri" w:hAnsi="Plain Thin" w:cs="Times New Roman"/>
          <w:sz w:val="16"/>
          <w:szCs w:val="16"/>
        </w:rPr>
        <w:t>Zu den Leistungen von ADHOGA im Bereich der Steuerberatung für Hot</w:t>
      </w:r>
      <w:r w:rsidR="00176B80">
        <w:rPr>
          <w:rFonts w:ascii="Plain Thin" w:eastAsia="Calibri" w:hAnsi="Plain Thin" w:cs="Times New Roman"/>
          <w:sz w:val="16"/>
          <w:szCs w:val="16"/>
        </w:rPr>
        <w:t>els und Gaststätten zählen die k</w:t>
      </w:r>
      <w:r w:rsidRPr="006E4CD1">
        <w:rPr>
          <w:rFonts w:ascii="Plain Thin" w:eastAsia="Calibri" w:hAnsi="Plain Thin" w:cs="Times New Roman"/>
          <w:sz w:val="16"/>
          <w:szCs w:val="16"/>
        </w:rPr>
        <w:t xml:space="preserve">lassische Steuerberatung, Finanz- und Lohnbuchhaltung, Bilanzen und Steuererklärungen sowie betriebswirtschaftliche Beratung. Deutschlandweit verzeichnen die auf Hotellerie und Gastronomie spezialisierten Berater von ETL </w:t>
      </w:r>
      <w:r w:rsidR="00176B80">
        <w:rPr>
          <w:rFonts w:ascii="Plain Thin" w:eastAsia="Calibri" w:hAnsi="Plain Thin" w:cs="Times New Roman"/>
          <w:sz w:val="16"/>
          <w:szCs w:val="16"/>
        </w:rPr>
        <w:t>ADHOGA bereits über 1.000 Mandanten</w:t>
      </w:r>
      <w:r w:rsidRPr="006E4CD1">
        <w:rPr>
          <w:rFonts w:ascii="Plain Thin" w:eastAsia="Calibri" w:hAnsi="Plain Thin" w:cs="Times New Roman"/>
          <w:sz w:val="16"/>
          <w:szCs w:val="16"/>
        </w:rPr>
        <w:t>. Im Rahmen der gesamten ETL-Gruppe</w:t>
      </w:r>
      <w:r w:rsidR="00176B80">
        <w:rPr>
          <w:rFonts w:ascii="Plain Thin" w:eastAsia="Calibri" w:hAnsi="Plain Thin" w:cs="Times New Roman"/>
          <w:sz w:val="16"/>
          <w:szCs w:val="16"/>
        </w:rPr>
        <w:t xml:space="preserve"> werden</w:t>
      </w:r>
      <w:bookmarkStart w:id="0" w:name="_GoBack"/>
      <w:bookmarkEnd w:id="0"/>
      <w:r w:rsidRPr="006E4CD1">
        <w:rPr>
          <w:rFonts w:ascii="Plain Thin" w:eastAsia="Calibri" w:hAnsi="Plain Thin" w:cs="Times New Roman"/>
          <w:sz w:val="16"/>
          <w:szCs w:val="16"/>
        </w:rPr>
        <w:t xml:space="preserve"> über 4.000 Hotellerie- und Gastronomiebetriebe betreut.</w:t>
      </w:r>
    </w:p>
    <w:p w14:paraId="470CEE04" w14:textId="77777777" w:rsidR="00461A8A" w:rsidRPr="006E4CD1" w:rsidRDefault="00461A8A" w:rsidP="00461A8A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sz w:val="16"/>
          <w:szCs w:val="16"/>
        </w:rPr>
      </w:pPr>
    </w:p>
    <w:p w14:paraId="5613EE03" w14:textId="77777777" w:rsidR="00461A8A" w:rsidRPr="006E4CD1" w:rsidRDefault="00461A8A" w:rsidP="00461A8A">
      <w:pPr>
        <w:spacing w:before="360" w:after="0" w:line="240" w:lineRule="auto"/>
        <w:contextualSpacing/>
        <w:jc w:val="both"/>
        <w:rPr>
          <w:rFonts w:ascii="Plain Thin" w:eastAsia="Calibri" w:hAnsi="Plain Thin" w:cs="Times New Roman"/>
          <w:b/>
          <w:sz w:val="16"/>
          <w:szCs w:val="16"/>
        </w:rPr>
      </w:pPr>
      <w:r w:rsidRPr="006E4CD1">
        <w:rPr>
          <w:rFonts w:ascii="Plain Thin" w:eastAsia="Calibri" w:hAnsi="Plain Thin" w:cs="Times New Roman"/>
          <w:b/>
          <w:sz w:val="16"/>
          <w:szCs w:val="16"/>
        </w:rPr>
        <w:t>Pressekontakt</w:t>
      </w:r>
    </w:p>
    <w:p w14:paraId="559ECBC5" w14:textId="77777777" w:rsidR="00461A8A" w:rsidRPr="006E4CD1" w:rsidRDefault="00461A8A" w:rsidP="00461A8A">
      <w:pPr>
        <w:spacing w:after="0" w:line="240" w:lineRule="auto"/>
        <w:contextualSpacing/>
        <w:jc w:val="both"/>
        <w:rPr>
          <w:rFonts w:ascii="Plain Thin" w:eastAsia="Calibri" w:hAnsi="Plain Thin" w:cs="Calibri Light"/>
          <w:sz w:val="16"/>
          <w:szCs w:val="16"/>
        </w:rPr>
      </w:pPr>
      <w:r w:rsidRPr="006E4CD1">
        <w:rPr>
          <w:rFonts w:ascii="Plain Thin" w:eastAsia="Calibri" w:hAnsi="Plain Thin" w:cs="Calibri Light"/>
          <w:sz w:val="16"/>
          <w:szCs w:val="16"/>
        </w:rPr>
        <w:t>Danyal Alaybeyoglu, Tel.: 030 22 64 02 30, E-Mail: danyal.alaybeyoglu@etl.de, ETL, Mauerstraße 86-88, 10117 Berlin, www.etl.de</w:t>
      </w:r>
    </w:p>
    <w:p w14:paraId="47FC26DF" w14:textId="77777777" w:rsidR="00461A8A" w:rsidRPr="00C17B17" w:rsidRDefault="00461A8A" w:rsidP="00461A8A">
      <w:pPr>
        <w:rPr>
          <w:rFonts w:ascii="Plain Thin" w:hAnsi="Plain Thin"/>
        </w:rPr>
      </w:pPr>
    </w:p>
    <w:p w14:paraId="11741EDB" w14:textId="77777777" w:rsidR="002700E7" w:rsidRDefault="002700E7" w:rsidP="00960240">
      <w:pPr>
        <w:spacing w:line="240" w:lineRule="auto"/>
        <w:rPr>
          <w:rFonts w:ascii="Plain Thin" w:hAnsi="Plain Thin" w:cs="Times New Roman"/>
        </w:rPr>
      </w:pPr>
    </w:p>
    <w:p w14:paraId="12D2026E" w14:textId="77777777" w:rsidR="00960240" w:rsidRPr="00E67CD9" w:rsidRDefault="00960240">
      <w:pPr>
        <w:rPr>
          <w:rFonts w:ascii="Plain Thin" w:hAnsi="Plain Thin" w:cs="Times New Roman"/>
        </w:rPr>
      </w:pPr>
    </w:p>
    <w:sectPr w:rsidR="00960240" w:rsidRPr="00E67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in Thin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 Light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">
    <w:altName w:val="Calibri"/>
    <w:panose1 w:val="020B05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EC"/>
    <w:rsid w:val="00055310"/>
    <w:rsid w:val="000B782D"/>
    <w:rsid w:val="001604E4"/>
    <w:rsid w:val="00176B80"/>
    <w:rsid w:val="001A4DD2"/>
    <w:rsid w:val="00203F4E"/>
    <w:rsid w:val="00210B56"/>
    <w:rsid w:val="0023391D"/>
    <w:rsid w:val="00240AE3"/>
    <w:rsid w:val="002700E7"/>
    <w:rsid w:val="0027184A"/>
    <w:rsid w:val="00322A1B"/>
    <w:rsid w:val="003614DD"/>
    <w:rsid w:val="0036393A"/>
    <w:rsid w:val="0038768C"/>
    <w:rsid w:val="00394492"/>
    <w:rsid w:val="00397EE2"/>
    <w:rsid w:val="003A1495"/>
    <w:rsid w:val="003A753F"/>
    <w:rsid w:val="003B79F0"/>
    <w:rsid w:val="0042422E"/>
    <w:rsid w:val="0042455B"/>
    <w:rsid w:val="00461A8A"/>
    <w:rsid w:val="00485B5A"/>
    <w:rsid w:val="00490059"/>
    <w:rsid w:val="00522D10"/>
    <w:rsid w:val="00523D3B"/>
    <w:rsid w:val="0055593A"/>
    <w:rsid w:val="00565BBB"/>
    <w:rsid w:val="00602042"/>
    <w:rsid w:val="006633FE"/>
    <w:rsid w:val="00703FB2"/>
    <w:rsid w:val="007359D5"/>
    <w:rsid w:val="007425E9"/>
    <w:rsid w:val="007D59B9"/>
    <w:rsid w:val="007F27BB"/>
    <w:rsid w:val="0080083C"/>
    <w:rsid w:val="008605EC"/>
    <w:rsid w:val="00863132"/>
    <w:rsid w:val="00883B61"/>
    <w:rsid w:val="008955FA"/>
    <w:rsid w:val="008C2A16"/>
    <w:rsid w:val="008D40FA"/>
    <w:rsid w:val="00912AEC"/>
    <w:rsid w:val="00960240"/>
    <w:rsid w:val="009B5B86"/>
    <w:rsid w:val="009D53FB"/>
    <w:rsid w:val="009F5D32"/>
    <w:rsid w:val="00A92EBF"/>
    <w:rsid w:val="00AD3F06"/>
    <w:rsid w:val="00B1429D"/>
    <w:rsid w:val="00B15485"/>
    <w:rsid w:val="00BF17D5"/>
    <w:rsid w:val="00BF341B"/>
    <w:rsid w:val="00BF7119"/>
    <w:rsid w:val="00C645E0"/>
    <w:rsid w:val="00C7476F"/>
    <w:rsid w:val="00D25CB8"/>
    <w:rsid w:val="00D4135B"/>
    <w:rsid w:val="00D75D49"/>
    <w:rsid w:val="00DE7AD9"/>
    <w:rsid w:val="00DF6D9E"/>
    <w:rsid w:val="00E50E19"/>
    <w:rsid w:val="00E67CD9"/>
    <w:rsid w:val="00E802FF"/>
    <w:rsid w:val="00E812A1"/>
    <w:rsid w:val="00EC50CD"/>
    <w:rsid w:val="00F91306"/>
    <w:rsid w:val="00FA258F"/>
    <w:rsid w:val="00FB59B7"/>
    <w:rsid w:val="00FB6090"/>
    <w:rsid w:val="00FD484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F68D"/>
  <w15:chartTrackingRefBased/>
  <w15:docId w15:val="{45B0AFD6-F79B-42E1-B2C8-F834888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27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27B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605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l-adhoga.de/aktuelles/flickenteppich-statt-planungssicherheit-etl-adhoga-mit-infografik-zu-3g-regelungen-im-gastgewer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2021-08-20T06:51:00Z</cp:lastPrinted>
  <dcterms:created xsi:type="dcterms:W3CDTF">2021-08-20T07:06:00Z</dcterms:created>
  <dcterms:modified xsi:type="dcterms:W3CDTF">2021-11-15T08:26:00Z</dcterms:modified>
</cp:coreProperties>
</file>