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H1"/>
        <w:ind w:left="0"/>
        <w:rPr>
          <w:lang w:val="en-GB"/>
        </w:rPr>
      </w:pPr>
      <w:r>
        <w:rPr>
          <w:lang w:val="en-GB"/>
        </w:rPr>
        <w:t xml:space="preserve">Lindner auf der </w:t>
      </w:r>
      <w:proofErr w:type="spellStart"/>
      <w:r>
        <w:rPr>
          <w:lang w:val="en-GB"/>
        </w:rPr>
        <w:t>FeuerTrutz</w:t>
      </w:r>
      <w:proofErr w:type="spellEnd"/>
      <w:r>
        <w:rPr>
          <w:lang w:val="en-GB"/>
        </w:rPr>
        <w:t xml:space="preserve"> 2023 </w:t>
      </w:r>
    </w:p>
    <w:p>
      <w:pPr>
        <w:pStyle w:val="H2"/>
        <w:ind w:left="0"/>
        <w:rPr>
          <w:rFonts w:cs="Arial"/>
          <w:lang w:val="en-GB"/>
        </w:rPr>
      </w:pPr>
      <w:r>
        <w:rPr>
          <w:rFonts w:cs="Arial"/>
          <w:lang w:val="en-GB"/>
        </w:rPr>
        <w:t xml:space="preserve">MUTE+, </w:t>
      </w:r>
      <w:proofErr w:type="spellStart"/>
      <w:r>
        <w:rPr>
          <w:rFonts w:cs="Arial"/>
          <w:lang w:val="en-GB"/>
        </w:rPr>
        <w:t>Fireshield</w:t>
      </w:r>
      <w:proofErr w:type="spellEnd"/>
      <w:r>
        <w:rPr>
          <w:rFonts w:cs="Arial"/>
          <w:lang w:val="en-GB"/>
        </w:rPr>
        <w:t xml:space="preserve"> und </w:t>
      </w:r>
      <w:proofErr w:type="spellStart"/>
      <w:r>
        <w:rPr>
          <w:rFonts w:cs="Arial"/>
          <w:lang w:val="en-GB"/>
        </w:rPr>
        <w:t>FirePort</w:t>
      </w:r>
      <w:proofErr w:type="spellEnd"/>
      <w:r>
        <w:rPr>
          <w:rFonts w:cs="Arial"/>
          <w:lang w:val="en-GB"/>
        </w:rPr>
        <w:t xml:space="preserve"> </w:t>
      </w:r>
      <w:proofErr w:type="spellStart"/>
      <w:r>
        <w:rPr>
          <w:rFonts w:cs="Arial"/>
          <w:lang w:val="en-GB"/>
        </w:rPr>
        <w:t>begeistern</w:t>
      </w:r>
      <w:proofErr w:type="spellEnd"/>
      <w:r>
        <w:rPr>
          <w:rFonts w:cs="Arial"/>
          <w:lang w:val="en-GB"/>
        </w:rPr>
        <w:t xml:space="preserve"> auf der </w:t>
      </w:r>
      <w:proofErr w:type="spellStart"/>
      <w:r>
        <w:rPr>
          <w:rFonts w:cs="Arial"/>
          <w:lang w:val="en-GB"/>
        </w:rPr>
        <w:t>Messe</w:t>
      </w:r>
      <w:proofErr w:type="spellEnd"/>
    </w:p>
    <w:p>
      <w:pPr>
        <w:autoSpaceDE w:val="0"/>
        <w:autoSpaceDN w:val="0"/>
        <w:adjustRightInd w:val="0"/>
        <w:rPr>
          <w:sz w:val="24"/>
          <w:szCs w:val="24"/>
          <w:lang w:val="en-GB"/>
        </w:rPr>
      </w:pPr>
    </w:p>
    <w:p>
      <w:pPr>
        <w:rPr>
          <w:rFonts w:eastAsiaTheme="minorEastAsia"/>
        </w:rPr>
      </w:pPr>
    </w:p>
    <w:p>
      <w:pPr>
        <w:rPr>
          <w:rFonts w:eastAsiaTheme="minorEastAsia"/>
        </w:rPr>
      </w:pPr>
      <w:r>
        <w:rPr>
          <w:rFonts w:eastAsiaTheme="minorEastAsia"/>
        </w:rPr>
        <w:t xml:space="preserve">Am 21. und 22. Juni 2023 war die Lindner Group wieder als Aussteller auf der Brandschutzmesse </w:t>
      </w:r>
      <w:proofErr w:type="spellStart"/>
      <w:r>
        <w:rPr>
          <w:rFonts w:eastAsiaTheme="minorEastAsia"/>
        </w:rPr>
        <w:t>FeuerTrutz</w:t>
      </w:r>
      <w:proofErr w:type="spellEnd"/>
      <w:r>
        <w:rPr>
          <w:rFonts w:eastAsiaTheme="minorEastAsia"/>
        </w:rPr>
        <w:t xml:space="preserve"> vertreten. Mit dabei waren zahlreiche Brandschutzlösungen für Innenausbau und Isoliertechnik – darunter altbewährte Systeme und neue Innovationen.</w:t>
      </w:r>
    </w:p>
    <w:p>
      <w:pPr>
        <w:rPr>
          <w:rFonts w:eastAsiaTheme="minorEastAsia"/>
        </w:rPr>
      </w:pPr>
    </w:p>
    <w:p>
      <w:pPr>
        <w:rPr>
          <w:rFonts w:eastAsiaTheme="minorEastAsia"/>
        </w:rPr>
      </w:pPr>
      <w:r>
        <w:rPr>
          <w:rFonts w:eastAsiaTheme="minorEastAsia"/>
        </w:rPr>
        <w:t>Die Lindner Group steht seit über 55 Jahren für „Bauen mit neuen Lösungen“. Im Bereich vorbeugender Brandschutz ist Lindner lösungsorientierter Partner mit langjähriger Expertise und umfassendem Produkt- und Leistungsspektrum für nahezu alle Einsatzbereiche und Gebäudetypen. Lindner bietet dabei alles aus einer Hand: von der Planung, Entwicklung und Herstellung von brandschutzgeprüften Systemprodukten bis zur Umsetzung von Projektlösungen inkl. techn. Gebäudeausstattung. Neben Funktionalität und Sicherheit spielt auch Design bei Lindner eine wichtige Rolle.</w:t>
      </w:r>
    </w:p>
    <w:p>
      <w:pPr>
        <w:rPr>
          <w:rFonts w:eastAsiaTheme="minorEastAsia"/>
        </w:rPr>
      </w:pPr>
    </w:p>
    <w:p>
      <w:pPr>
        <w:rPr>
          <w:rFonts w:eastAsiaTheme="minorEastAsia"/>
          <w:b/>
        </w:rPr>
      </w:pPr>
      <w:r>
        <w:rPr>
          <w:rFonts w:eastAsiaTheme="minorEastAsia"/>
          <w:b/>
        </w:rPr>
        <w:t>Eyecatcher MUTE +: Schallabsorber mit Brandschutzprüfung</w:t>
      </w:r>
    </w:p>
    <w:p>
      <w:pPr>
        <w:rPr>
          <w:rFonts w:eastAsiaTheme="minorEastAsia"/>
        </w:rPr>
      </w:pPr>
      <w:r>
        <w:rPr>
          <w:rFonts w:eastAsiaTheme="minorEastAsia"/>
        </w:rPr>
        <w:t xml:space="preserve">Die MUTE+ Schallabsorber für Decke und Wand vereinen Design, Akustik, Nachhaltigkeit und Brandschutz in einem Produkt. Die farbenfrohen Schallabsorber sind echte Eyecatcher mit einer großen Auswahl an Farben, Formen und Größen. Die verschiedenen Stoffarten sind bis zu 100 % recycelbar sowie schadstoffgeprüft nach </w:t>
      </w:r>
      <w:proofErr w:type="spellStart"/>
      <w:r>
        <w:rPr>
          <w:rFonts w:eastAsiaTheme="minorEastAsia"/>
        </w:rPr>
        <w:t>Oeko</w:t>
      </w:r>
      <w:proofErr w:type="spellEnd"/>
      <w:r>
        <w:rPr>
          <w:rFonts w:eastAsiaTheme="minorEastAsia"/>
        </w:rPr>
        <w:t>-Tex® Standard 100. Die Absorber sind besonders gut für Lern- und Konzentrationsbereiche geeignet. Dank der einfachen und leichten Montage der Absorber lässt sich die Raumakustik auch nachträglich verbessern.</w:t>
      </w:r>
    </w:p>
    <w:p>
      <w:pPr>
        <w:rPr>
          <w:rFonts w:eastAsiaTheme="minorEastAsia"/>
        </w:rPr>
      </w:pPr>
      <w:r>
        <w:rPr>
          <w:rFonts w:eastAsiaTheme="minorEastAsia"/>
        </w:rPr>
        <w:t xml:space="preserve">Ein Highlight am Messestand war z. B. die Ausführung MUTE+ </w:t>
      </w:r>
      <w:proofErr w:type="spellStart"/>
      <w:r>
        <w:rPr>
          <w:rFonts w:eastAsiaTheme="minorEastAsia"/>
        </w:rPr>
        <w:t>cover</w:t>
      </w:r>
      <w:proofErr w:type="spellEnd"/>
      <w:r>
        <w:rPr>
          <w:rFonts w:eastAsiaTheme="minorEastAsia"/>
        </w:rPr>
        <w:t>. Ein hochwertiger Rahmen aus nicht sichtbaren Aluminiumprofilen wird dabei mit einem patentierten Verfahren mit Stoff bespannt. Die Schallabsorber sind in unterschiedlichen Stoffen auch in der Baustoffklasse A2-s</w:t>
      </w:r>
      <w:proofErr w:type="gramStart"/>
      <w:r>
        <w:rPr>
          <w:rFonts w:eastAsiaTheme="minorEastAsia"/>
        </w:rPr>
        <w:t>1,d</w:t>
      </w:r>
      <w:proofErr w:type="gramEnd"/>
      <w:r>
        <w:rPr>
          <w:rFonts w:eastAsiaTheme="minorEastAsia"/>
        </w:rPr>
        <w:t>0 nach EN 13 501 erhältlich.</w:t>
      </w:r>
    </w:p>
    <w:p>
      <w:pPr>
        <w:rPr>
          <w:rFonts w:eastAsiaTheme="minorEastAsia"/>
        </w:rPr>
      </w:pPr>
    </w:p>
    <w:p>
      <w:pPr>
        <w:rPr>
          <w:rFonts w:eastAsiaTheme="minorEastAsia"/>
          <w:b/>
        </w:rPr>
      </w:pPr>
      <w:r>
        <w:rPr>
          <w:rFonts w:eastAsiaTheme="minorEastAsia"/>
          <w:b/>
        </w:rPr>
        <w:t xml:space="preserve">Ausbau trifft auf Brandschutz </w:t>
      </w:r>
    </w:p>
    <w:p>
      <w:pPr>
        <w:rPr>
          <w:rFonts w:eastAsiaTheme="minorEastAsia"/>
          <w:b/>
        </w:rPr>
      </w:pPr>
      <w:r>
        <w:rPr>
          <w:rFonts w:eastAsiaTheme="minorEastAsia"/>
        </w:rPr>
        <w:t>Die Lindner Group nutzte die Messe</w:t>
      </w:r>
      <w:bookmarkStart w:id="0" w:name="_GoBack"/>
      <w:bookmarkEnd w:id="0"/>
      <w:r>
        <w:rPr>
          <w:rFonts w:eastAsiaTheme="minorEastAsia"/>
        </w:rPr>
        <w:t xml:space="preserve">, um vielseitige Lösungen aus dem vorbeugenden Brandschutz vorzustellen. Neben den </w:t>
      </w:r>
      <w:r>
        <w:rPr>
          <w:rFonts w:eastAsiaTheme="minorEastAsia"/>
          <w:b/>
        </w:rPr>
        <w:t>MUTE+ Schallabsorbern</w:t>
      </w:r>
      <w:r>
        <w:rPr>
          <w:rFonts w:eastAsiaTheme="minorEastAsia"/>
        </w:rPr>
        <w:t xml:space="preserve"> war auf </w:t>
      </w:r>
      <w:proofErr w:type="gramStart"/>
      <w:r>
        <w:rPr>
          <w:rFonts w:eastAsiaTheme="minorEastAsia"/>
        </w:rPr>
        <w:t xml:space="preserve">der </w:t>
      </w:r>
      <w:proofErr w:type="spellStart"/>
      <w:r>
        <w:rPr>
          <w:rFonts w:eastAsiaTheme="minorEastAsia"/>
        </w:rPr>
        <w:t>FeuerTrutz</w:t>
      </w:r>
      <w:proofErr w:type="spellEnd"/>
      <w:proofErr w:type="gramEnd"/>
      <w:r>
        <w:rPr>
          <w:rFonts w:eastAsiaTheme="minorEastAsia"/>
        </w:rPr>
        <w:t xml:space="preserve"> auch die </w:t>
      </w:r>
      <w:r>
        <w:rPr>
          <w:rFonts w:eastAsiaTheme="minorEastAsia"/>
          <w:b/>
        </w:rPr>
        <w:t xml:space="preserve">Revisionstür </w:t>
      </w:r>
      <w:proofErr w:type="spellStart"/>
      <w:r>
        <w:rPr>
          <w:rFonts w:eastAsiaTheme="minorEastAsia"/>
          <w:b/>
        </w:rPr>
        <w:t>Fireshield</w:t>
      </w:r>
      <w:proofErr w:type="spellEnd"/>
      <w:r>
        <w:rPr>
          <w:rFonts w:eastAsiaTheme="minorEastAsia"/>
        </w:rPr>
        <w:t xml:space="preserve"> zu sehen. Die Trockenbaulösung bildet einen fast unsichtbaren Zugang zu Installationsschächten und schließt klein- bis großformatige Revisionsöffnungen in I 90 ab. Die Oberflächen sind dabei standardmäßig mit Grundierfolie ausgeführt, aber auch als HPL-Oberflächen, Furniere und RAL-Lackierungen möglich. Weitere Lindner Produkte auf der Brandschutzmesse waren die </w:t>
      </w:r>
      <w:r>
        <w:rPr>
          <w:rFonts w:eastAsiaTheme="minorEastAsia"/>
          <w:b/>
        </w:rPr>
        <w:t>Metall-Brandschutzdecke F30 mit Senk-Schiebe-Funktion</w:t>
      </w:r>
      <w:r>
        <w:rPr>
          <w:rFonts w:eastAsiaTheme="minorEastAsia"/>
        </w:rPr>
        <w:t xml:space="preserve">, das Brandabschottungssystem </w:t>
      </w:r>
      <w:proofErr w:type="spellStart"/>
      <w:r>
        <w:rPr>
          <w:rFonts w:eastAsiaTheme="minorEastAsia"/>
          <w:b/>
        </w:rPr>
        <w:t>FirePort</w:t>
      </w:r>
      <w:proofErr w:type="spellEnd"/>
      <w:r>
        <w:rPr>
          <w:rFonts w:eastAsiaTheme="minorEastAsia"/>
        </w:rPr>
        <w:t xml:space="preserve"> sowie die bewährten Wandbekleidungen </w:t>
      </w:r>
      <w:r>
        <w:rPr>
          <w:rFonts w:eastAsiaTheme="minorEastAsia"/>
          <w:b/>
        </w:rPr>
        <w:t>COMP+</w:t>
      </w:r>
      <w:r>
        <w:rPr>
          <w:rFonts w:eastAsiaTheme="minorEastAsia"/>
        </w:rPr>
        <w:t xml:space="preserve"> und </w:t>
      </w:r>
      <w:proofErr w:type="spellStart"/>
      <w:r>
        <w:rPr>
          <w:rFonts w:eastAsiaTheme="minorEastAsia"/>
          <w:b/>
        </w:rPr>
        <w:t>FIREwood</w:t>
      </w:r>
      <w:proofErr w:type="spellEnd"/>
      <w:r>
        <w:rPr>
          <w:rFonts w:eastAsiaTheme="minorEastAsia"/>
        </w:rPr>
        <w:t>.</w:t>
      </w:r>
    </w:p>
    <w:p>
      <w:pPr>
        <w:rPr>
          <w:rFonts w:eastAsiaTheme="minorEastAsia"/>
        </w:rPr>
      </w:pPr>
    </w:p>
    <w:p>
      <w:pPr>
        <w:rPr>
          <w:rFonts w:cstheme="minorHAnsi"/>
        </w:rPr>
      </w:pPr>
    </w:p>
    <w:p>
      <w:pPr>
        <w:rPr>
          <w:rFonts w:eastAsiaTheme="minorEastAsia"/>
        </w:rPr>
      </w:pPr>
    </w:p>
    <w:p>
      <w:pPr>
        <w:spacing w:line="240" w:lineRule="auto"/>
        <w:rPr>
          <w:lang w:val="en-GB"/>
        </w:rPr>
      </w:pPr>
      <w:r>
        <w:rPr>
          <w:lang w:val="en-GB"/>
        </w:rPr>
        <w:br w:type="page"/>
      </w:r>
    </w:p>
    <w:p>
      <w:pPr>
        <w:rPr>
          <w:lang w:val="en-GB"/>
        </w:rPr>
      </w:pPr>
    </w:p>
    <w:p>
      <w:pPr>
        <w:rPr>
          <w:b/>
          <w:color w:val="E00428"/>
        </w:rPr>
      </w:pPr>
      <w:r>
        <w:rPr>
          <w:b/>
          <w:color w:val="E00428"/>
        </w:rPr>
        <w:t>Bilder</w:t>
      </w:r>
    </w:p>
    <w:p>
      <w:r>
        <w:rPr>
          <w:noProof/>
        </w:rPr>
        <w:drawing>
          <wp:inline distT="0" distB="0" distL="0" distR="0">
            <wp:extent cx="2160000" cy="160714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607147"/>
                    </a:xfrm>
                    <a:prstGeom prst="rect">
                      <a:avLst/>
                    </a:prstGeom>
                  </pic:spPr>
                </pic:pic>
              </a:graphicData>
            </a:graphic>
          </wp:inline>
        </w:drawing>
      </w:r>
      <w:r>
        <w:rPr>
          <w:noProof/>
        </w:rPr>
        <w:t xml:space="preserve"> </w:t>
      </w:r>
    </w:p>
    <w:p>
      <w:pPr>
        <w:rPr>
          <w:b/>
          <w:sz w:val="18"/>
        </w:rPr>
      </w:pPr>
      <w:r>
        <w:rPr>
          <w:b/>
          <w:sz w:val="18"/>
        </w:rPr>
        <w:t xml:space="preserve">Lindner_Feuertrutz_01.jpg </w:t>
      </w:r>
    </w:p>
    <w:p>
      <w:pPr>
        <w:rPr>
          <w:sz w:val="18"/>
        </w:rPr>
      </w:pPr>
      <w:r>
        <w:rPr>
          <w:sz w:val="18"/>
        </w:rPr>
        <w:t xml:space="preserve">Bildverweis: © Lindner Group </w:t>
      </w:r>
    </w:p>
    <w:p/>
    <w:p>
      <w:r>
        <w:rPr>
          <w:rFonts w:cs="Arial"/>
          <w:noProof/>
          <w:color w:val="538135" w:themeColor="accent6" w:themeShade="BF"/>
          <w:sz w:val="20"/>
        </w:rPr>
        <w:drawing>
          <wp:inline distT="0" distB="0" distL="0" distR="0">
            <wp:extent cx="2160000" cy="1442011"/>
            <wp:effectExtent l="0" t="0" r="0" b="6350"/>
            <wp:docPr id="6" name="Grafik 6" descr="MUTE+_coverS45_200x100_tex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TE+_coverS45_200x100_tex3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1442011"/>
                    </a:xfrm>
                    <a:prstGeom prst="rect">
                      <a:avLst/>
                    </a:prstGeom>
                    <a:noFill/>
                    <a:ln>
                      <a:noFill/>
                    </a:ln>
                  </pic:spPr>
                </pic:pic>
              </a:graphicData>
            </a:graphic>
          </wp:inline>
        </w:drawing>
      </w:r>
    </w:p>
    <w:p>
      <w:pPr>
        <w:rPr>
          <w:rFonts w:cs="Arial"/>
          <w:sz w:val="18"/>
        </w:rPr>
      </w:pPr>
      <w:r>
        <w:rPr>
          <w:b/>
          <w:sz w:val="18"/>
        </w:rPr>
        <w:t>Lindner_MUTE+_coverS45.jpg</w:t>
      </w:r>
      <w:r>
        <w:rPr>
          <w:b/>
          <w:sz w:val="18"/>
        </w:rPr>
        <w:br/>
      </w:r>
      <w:r>
        <w:rPr>
          <w:rFonts w:cs="Arial"/>
          <w:sz w:val="18"/>
        </w:rPr>
        <w:t xml:space="preserve">Bildrechte: © www.Lindner-Group.com </w:t>
      </w:r>
    </w:p>
    <w:p/>
    <w:p>
      <w:pPr>
        <w:rPr>
          <w:b/>
          <w:sz w:val="18"/>
        </w:rPr>
      </w:pPr>
      <w:r>
        <w:rPr>
          <w:noProof/>
        </w:rPr>
        <w:drawing>
          <wp:inline distT="0" distB="0" distL="0" distR="0">
            <wp:extent cx="2160000" cy="162711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627119"/>
                    </a:xfrm>
                    <a:prstGeom prst="rect">
                      <a:avLst/>
                    </a:prstGeom>
                  </pic:spPr>
                </pic:pic>
              </a:graphicData>
            </a:graphic>
          </wp:inline>
        </w:drawing>
      </w:r>
    </w:p>
    <w:p>
      <w:pPr>
        <w:rPr>
          <w:b/>
          <w:sz w:val="18"/>
        </w:rPr>
      </w:pPr>
      <w:r>
        <w:rPr>
          <w:b/>
          <w:sz w:val="18"/>
        </w:rPr>
        <w:t>Lindner_fireshield_12_00.jpg</w:t>
      </w:r>
    </w:p>
    <w:p>
      <w:pPr>
        <w:rPr>
          <w:rFonts w:cs="Arial"/>
          <w:sz w:val="18"/>
        </w:rPr>
      </w:pPr>
      <w:r>
        <w:rPr>
          <w:rFonts w:cs="Arial"/>
          <w:sz w:val="18"/>
        </w:rPr>
        <w:t xml:space="preserve">Bildrechte: © www.Lindner-Group.com </w:t>
      </w:r>
    </w:p>
    <w:p>
      <w:pPr>
        <w:spacing w:line="240" w:lineRule="auto"/>
        <w:rPr>
          <w:rFonts w:cs="Arial"/>
          <w:sz w:val="18"/>
        </w:rPr>
      </w:pPr>
      <w:r>
        <w:rPr>
          <w:rFonts w:cs="Arial"/>
          <w:sz w:val="18"/>
        </w:rPr>
        <w:br w:type="page"/>
      </w:r>
    </w:p>
    <w:p>
      <w:pPr>
        <w:rPr>
          <w:rFonts w:cs="Arial"/>
          <w:sz w:val="18"/>
        </w:rPr>
      </w:pPr>
    </w:p>
    <w:p>
      <w:r>
        <w:rPr>
          <w:noProof/>
        </w:rPr>
        <w:drawing>
          <wp:inline distT="0" distB="0" distL="0" distR="0">
            <wp:extent cx="2160000" cy="14795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479550"/>
                    </a:xfrm>
                    <a:prstGeom prst="rect">
                      <a:avLst/>
                    </a:prstGeom>
                  </pic:spPr>
                </pic:pic>
              </a:graphicData>
            </a:graphic>
          </wp:inline>
        </w:drawing>
      </w:r>
    </w:p>
    <w:p>
      <w:pPr>
        <w:rPr>
          <w:rFonts w:cs="Arial"/>
          <w:sz w:val="18"/>
        </w:rPr>
      </w:pPr>
      <w:r>
        <w:rPr>
          <w:b/>
          <w:sz w:val="18"/>
        </w:rPr>
        <w:t>Lindner_firewood_kulpa__56.jpeg</w:t>
      </w:r>
      <w:r>
        <w:rPr>
          <w:b/>
          <w:sz w:val="18"/>
        </w:rPr>
        <w:br/>
      </w:r>
      <w:r>
        <w:rPr>
          <w:rFonts w:cs="Arial"/>
          <w:sz w:val="18"/>
        </w:rPr>
        <w:t xml:space="preserve">Bildrechte: © www.Lindner-Group.com </w:t>
      </w:r>
    </w:p>
    <w:p/>
    <w:p/>
    <w:p>
      <w:pPr>
        <w:spacing w:line="240" w:lineRule="auto"/>
        <w:rPr>
          <w:b/>
        </w:rPr>
      </w:pPr>
    </w:p>
    <w:p/>
    <w:p/>
    <w:p>
      <w:pPr>
        <w:rPr>
          <w:b/>
          <w:color w:val="E00428"/>
        </w:rPr>
      </w:pPr>
      <w:r>
        <w:rPr>
          <w:b/>
          <w:color w:val="E00428"/>
        </w:rPr>
        <w:t>Lindner Group</w:t>
      </w:r>
    </w:p>
    <w:p>
      <w:r>
        <w:t xml:space="preserve">Die Lindner Group ist Europas führender Komplettanbieter in den Bereichen Innenausbau, Fassaden und Isoliertechnik. Das Familienunternehmen verfügt über mehr als 55 Jahre Erfahrung im „Bauen mit neuen Lösungen“, der Entwicklung und Ausführung von individuellen und fortschrittlichen Projektlösungen, die </w:t>
      </w:r>
      <w:proofErr w:type="spellStart"/>
      <w:r>
        <w:t>Mehr.Wert</w:t>
      </w:r>
      <w:proofErr w:type="spellEnd"/>
      <w:r>
        <w:t xml:space="preserve"> bieten. Mit weltweit gut 7.500 Mitarbeitern betreibt Lindner vom bayerischen </w:t>
      </w:r>
      <w:proofErr w:type="spellStart"/>
      <w:r>
        <w:t>Arnstorf</w:t>
      </w:r>
      <w:proofErr w:type="spellEnd"/>
      <w:r>
        <w:t xml:space="preserve"> aus Produktionsstätten und Tochtergesellschaften in mehr als 20 Ländern.</w:t>
      </w:r>
    </w:p>
    <w:p/>
    <w:p/>
    <w:p>
      <w:pPr>
        <w:rPr>
          <w:rFonts w:eastAsiaTheme="minorEastAsia"/>
          <w:b/>
          <w:color w:val="E40428"/>
        </w:rPr>
      </w:pPr>
      <w:r>
        <w:rPr>
          <w:rFonts w:eastAsiaTheme="minorEastAsia"/>
          <w:b/>
          <w:color w:val="E40428"/>
        </w:rPr>
        <w:t xml:space="preserve">Weitere Infos unter </w:t>
      </w:r>
      <w:hyperlink r:id="rId12" w:history="1">
        <w:r>
          <w:rPr>
            <w:rStyle w:val="Hyperlink"/>
            <w:rFonts w:eastAsiaTheme="minorEastAsia"/>
            <w:b/>
            <w:color w:val="E40428"/>
            <w:u w:val="none"/>
          </w:rPr>
          <w:t>www.Lindner-Group.com</w:t>
        </w:r>
      </w:hyperlink>
    </w:p>
    <w:p>
      <w:pPr>
        <w:pStyle w:val="EinfAbs"/>
        <w:rPr>
          <w:rFonts w:ascii="Arial" w:hAnsi="Arial" w:cs="Arial"/>
          <w:color w:val="auto"/>
          <w:sz w:val="20"/>
          <w:szCs w:val="16"/>
        </w:rPr>
      </w:pPr>
      <w:hyperlink r:id="rId13" w:history="1">
        <w:r>
          <w:rPr>
            <w:rStyle w:val="Hyperlink"/>
            <w:rFonts w:ascii="Arial" w:hAnsi="Arial" w:cs="Arial"/>
            <w:color w:val="auto"/>
            <w:sz w:val="20"/>
            <w:szCs w:val="16"/>
          </w:rPr>
          <w:t>XING</w:t>
        </w:r>
      </w:hyperlink>
      <w:r>
        <w:rPr>
          <w:rFonts w:ascii="Arial" w:hAnsi="Arial" w:cs="Arial"/>
          <w:color w:val="auto"/>
          <w:sz w:val="20"/>
          <w:szCs w:val="16"/>
        </w:rPr>
        <w:t xml:space="preserve"> | </w:t>
      </w:r>
      <w:hyperlink r:id="rId14" w:history="1">
        <w:r>
          <w:rPr>
            <w:rStyle w:val="Hyperlink"/>
            <w:rFonts w:ascii="Arial" w:hAnsi="Arial" w:cs="Arial"/>
            <w:color w:val="auto"/>
            <w:sz w:val="20"/>
            <w:szCs w:val="16"/>
          </w:rPr>
          <w:t>LinkedIn</w:t>
        </w:r>
      </w:hyperlink>
      <w:r>
        <w:rPr>
          <w:rFonts w:ascii="Arial" w:hAnsi="Arial" w:cs="Arial"/>
          <w:color w:val="auto"/>
          <w:sz w:val="20"/>
          <w:szCs w:val="16"/>
        </w:rPr>
        <w:t xml:space="preserve"> | </w:t>
      </w:r>
      <w:hyperlink r:id="rId15" w:history="1">
        <w:r>
          <w:rPr>
            <w:rStyle w:val="Hyperlink"/>
            <w:rFonts w:ascii="Arial" w:hAnsi="Arial" w:cs="Arial"/>
            <w:color w:val="auto"/>
            <w:sz w:val="20"/>
            <w:szCs w:val="16"/>
          </w:rPr>
          <w:t>Twitter</w:t>
        </w:r>
      </w:hyperlink>
      <w:r>
        <w:rPr>
          <w:rFonts w:ascii="Arial" w:hAnsi="Arial" w:cs="Arial"/>
          <w:color w:val="auto"/>
          <w:sz w:val="20"/>
          <w:szCs w:val="16"/>
        </w:rPr>
        <w:t xml:space="preserve"> | </w:t>
      </w:r>
      <w:hyperlink r:id="rId16" w:history="1">
        <w:r>
          <w:rPr>
            <w:rStyle w:val="Hyperlink"/>
            <w:rFonts w:ascii="Arial" w:hAnsi="Arial" w:cs="Arial"/>
            <w:color w:val="auto"/>
            <w:sz w:val="20"/>
            <w:szCs w:val="16"/>
          </w:rPr>
          <w:t>Pinterest</w:t>
        </w:r>
      </w:hyperlink>
      <w:r>
        <w:rPr>
          <w:rFonts w:ascii="Arial" w:hAnsi="Arial" w:cs="Arial"/>
          <w:color w:val="auto"/>
          <w:sz w:val="20"/>
          <w:szCs w:val="16"/>
        </w:rPr>
        <w:t xml:space="preserve"> | </w:t>
      </w:r>
      <w:hyperlink r:id="rId17" w:history="1">
        <w:r>
          <w:rPr>
            <w:rStyle w:val="Hyperlink"/>
            <w:rFonts w:ascii="Arial" w:hAnsi="Arial" w:cs="Arial"/>
            <w:color w:val="auto"/>
            <w:sz w:val="20"/>
            <w:szCs w:val="16"/>
          </w:rPr>
          <w:t>Instagram</w:t>
        </w:r>
      </w:hyperlink>
      <w:r>
        <w:rPr>
          <w:rStyle w:val="Hyperlink"/>
          <w:rFonts w:ascii="Arial" w:hAnsi="Arial" w:cs="Arial"/>
          <w:color w:val="auto"/>
          <w:sz w:val="20"/>
          <w:szCs w:val="16"/>
          <w:u w:val="none"/>
        </w:rPr>
        <w:t xml:space="preserve"> | </w:t>
      </w:r>
      <w:hyperlink r:id="rId18" w:history="1">
        <w:r>
          <w:rPr>
            <w:rStyle w:val="Hyperlink"/>
            <w:rFonts w:ascii="Arial" w:hAnsi="Arial" w:cs="Arial"/>
            <w:color w:val="auto"/>
            <w:sz w:val="20"/>
            <w:szCs w:val="16"/>
          </w:rPr>
          <w:t>Facebook</w:t>
        </w:r>
      </w:hyperlink>
      <w:r>
        <w:rPr>
          <w:rStyle w:val="Hyperlink"/>
          <w:rFonts w:ascii="Arial" w:hAnsi="Arial" w:cs="Arial"/>
          <w:color w:val="auto"/>
          <w:sz w:val="20"/>
          <w:szCs w:val="16"/>
          <w:u w:val="none"/>
        </w:rPr>
        <w:t xml:space="preserve"> | </w:t>
      </w:r>
      <w:hyperlink r:id="rId19" w:history="1">
        <w:r>
          <w:rPr>
            <w:rStyle w:val="Hyperlink"/>
            <w:rFonts w:ascii="Arial" w:hAnsi="Arial" w:cs="Arial"/>
            <w:color w:val="auto"/>
            <w:sz w:val="20"/>
            <w:szCs w:val="16"/>
          </w:rPr>
          <w:t>YouTube</w:t>
        </w:r>
      </w:hyperlink>
    </w:p>
    <w:sectPr>
      <w:headerReference w:type="default" r:id="rId20"/>
      <w:footerReference w:type="default" r:id="rId21"/>
      <w:headerReference w:type="first" r:id="rId22"/>
      <w:footerReference w:type="first" r:id="rId23"/>
      <w:type w:val="continuous"/>
      <w:pgSz w:w="11906" w:h="16838" w:code="9"/>
      <w:pgMar w:top="2722" w:right="1247" w:bottom="1134" w:left="1247" w:header="1247" w:footer="567" w:gutter="0"/>
      <w:cols w:space="45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7A87" w:usb1="80000000" w:usb2="00000008"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Bdr>
        <w:top w:val="single" w:sz="4" w:space="1" w:color="auto"/>
      </w:pBdr>
      <w:tabs>
        <w:tab w:val="clear" w:pos="4536"/>
        <w:tab w:val="clear" w:pos="9072"/>
        <w:tab w:val="left" w:pos="0"/>
        <w:tab w:val="center" w:pos="4820"/>
        <w:tab w:val="right" w:pos="14601"/>
      </w:tabs>
      <w:ind w:right="-2"/>
      <w:jc w:val="center"/>
      <w:rPr>
        <w:rFonts w:cs="Arial"/>
        <w:sz w:val="16"/>
        <w:szCs w:val="16"/>
      </w:rPr>
    </w:pPr>
    <w:r>
      <w:rPr>
        <w:rFonts w:cs="Arial"/>
        <w:sz w:val="16"/>
        <w:szCs w:val="16"/>
      </w:rPr>
      <w:tab/>
      <w:t xml:space="preserve">Seite </w:t>
    </w:r>
    <w:r>
      <w:rPr>
        <w:rStyle w:val="Seitenzahl"/>
        <w:rFonts w:cs="Arial"/>
        <w:sz w:val="16"/>
        <w:szCs w:val="16"/>
      </w:rPr>
      <w:fldChar w:fldCharType="begin"/>
    </w:r>
    <w:r>
      <w:rPr>
        <w:rStyle w:val="Seitenzahl"/>
        <w:rFonts w:cs="Arial"/>
        <w:sz w:val="16"/>
        <w:szCs w:val="16"/>
      </w:rPr>
      <w:instrText xml:space="preserve"> PAGE </w:instrText>
    </w:r>
    <w:r>
      <w:rPr>
        <w:rStyle w:val="Seitenzahl"/>
        <w:rFonts w:cs="Arial"/>
        <w:sz w:val="16"/>
        <w:szCs w:val="16"/>
      </w:rPr>
      <w:fldChar w:fldCharType="separate"/>
    </w:r>
    <w:r>
      <w:rPr>
        <w:rStyle w:val="Seitenzahl"/>
        <w:rFonts w:cs="Arial"/>
        <w:noProof/>
        <w:sz w:val="16"/>
        <w:szCs w:val="16"/>
      </w:rPr>
      <w:t>3</w:t>
    </w:r>
    <w:r>
      <w:rPr>
        <w:rStyle w:val="Seitenzahl"/>
        <w:rFonts w:cs="Arial"/>
        <w:sz w:val="16"/>
        <w:szCs w:val="16"/>
      </w:rPr>
      <w:fldChar w:fldCharType="end"/>
    </w:r>
    <w:r>
      <w:rPr>
        <w:rFonts w:cs="Arial"/>
        <w:sz w:val="16"/>
        <w:szCs w:val="16"/>
      </w:rPr>
      <w:t xml:space="preserve"> von </w:t>
    </w:r>
    <w:r>
      <w:rPr>
        <w:rStyle w:val="Seitenzahl"/>
        <w:rFonts w:cs="Arial"/>
        <w:sz w:val="16"/>
        <w:szCs w:val="16"/>
      </w:rPr>
      <w:fldChar w:fldCharType="begin"/>
    </w:r>
    <w:r>
      <w:rPr>
        <w:rStyle w:val="Seitenzahl"/>
        <w:rFonts w:cs="Arial"/>
        <w:sz w:val="16"/>
        <w:szCs w:val="16"/>
      </w:rPr>
      <w:instrText xml:space="preserve"> NUMPAGES </w:instrText>
    </w:r>
    <w:r>
      <w:rPr>
        <w:rStyle w:val="Seitenzahl"/>
        <w:rFonts w:cs="Arial"/>
        <w:sz w:val="16"/>
        <w:szCs w:val="16"/>
      </w:rPr>
      <w:fldChar w:fldCharType="separate"/>
    </w:r>
    <w:r>
      <w:rPr>
        <w:rStyle w:val="Seitenzahl"/>
        <w:rFonts w:cs="Arial"/>
        <w:noProof/>
        <w:sz w:val="16"/>
        <w:szCs w:val="16"/>
      </w:rPr>
      <w:t>3</w:t>
    </w:r>
    <w:r>
      <w:rPr>
        <w:rStyle w:val="Seitenzahl"/>
        <w:rFonts w:cs="Arial"/>
        <w:sz w:val="16"/>
        <w:szCs w:val="16"/>
      </w:rPr>
      <w:fldChar w:fldCharType="end"/>
    </w:r>
    <w:r>
      <w:rPr>
        <w:rFonts w:cs="Arial"/>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Bdr>
        <w:top w:val="single" w:sz="4" w:space="1" w:color="auto"/>
      </w:pBdr>
      <w:tabs>
        <w:tab w:val="clear" w:pos="4536"/>
        <w:tab w:val="clear" w:pos="9072"/>
        <w:tab w:val="left" w:pos="0"/>
        <w:tab w:val="center" w:pos="4820"/>
        <w:tab w:val="right" w:pos="14601"/>
      </w:tabs>
      <w:ind w:right="-2"/>
      <w:jc w:val="center"/>
      <w:rPr>
        <w:rFonts w:cs="Arial"/>
        <w:sz w:val="16"/>
        <w:szCs w:val="16"/>
      </w:rPr>
    </w:pPr>
    <w:r>
      <w:rPr>
        <w:rFonts w:cs="Arial"/>
        <w:sz w:val="16"/>
        <w:szCs w:val="16"/>
      </w:rPr>
      <w:tab/>
      <w:t xml:space="preserve">Seite </w:t>
    </w:r>
    <w:r>
      <w:rPr>
        <w:rStyle w:val="Seitenzahl"/>
        <w:rFonts w:cs="Arial"/>
        <w:sz w:val="16"/>
        <w:szCs w:val="16"/>
      </w:rPr>
      <w:fldChar w:fldCharType="begin"/>
    </w:r>
    <w:r>
      <w:rPr>
        <w:rStyle w:val="Seitenzahl"/>
        <w:rFonts w:cs="Arial"/>
        <w:sz w:val="16"/>
        <w:szCs w:val="16"/>
      </w:rPr>
      <w:instrText xml:space="preserve"> PAGE </w:instrText>
    </w:r>
    <w:r>
      <w:rPr>
        <w:rStyle w:val="Seitenzahl"/>
        <w:rFonts w:cs="Arial"/>
        <w:sz w:val="16"/>
        <w:szCs w:val="16"/>
      </w:rPr>
      <w:fldChar w:fldCharType="separate"/>
    </w:r>
    <w:r>
      <w:rPr>
        <w:rStyle w:val="Seitenzahl"/>
        <w:rFonts w:cs="Arial"/>
        <w:noProof/>
        <w:sz w:val="16"/>
        <w:szCs w:val="16"/>
      </w:rPr>
      <w:t>1</w:t>
    </w:r>
    <w:r>
      <w:rPr>
        <w:rStyle w:val="Seitenzahl"/>
        <w:rFonts w:cs="Arial"/>
        <w:sz w:val="16"/>
        <w:szCs w:val="16"/>
      </w:rPr>
      <w:fldChar w:fldCharType="end"/>
    </w:r>
    <w:r>
      <w:rPr>
        <w:rFonts w:cs="Arial"/>
        <w:sz w:val="16"/>
        <w:szCs w:val="16"/>
      </w:rPr>
      <w:t xml:space="preserve"> von </w:t>
    </w:r>
    <w:r>
      <w:rPr>
        <w:rStyle w:val="Seitenzahl"/>
        <w:rFonts w:cs="Arial"/>
        <w:sz w:val="16"/>
        <w:szCs w:val="16"/>
      </w:rPr>
      <w:fldChar w:fldCharType="begin"/>
    </w:r>
    <w:r>
      <w:rPr>
        <w:rStyle w:val="Seitenzahl"/>
        <w:rFonts w:cs="Arial"/>
        <w:sz w:val="16"/>
        <w:szCs w:val="16"/>
      </w:rPr>
      <w:instrText xml:space="preserve"> NUMPAGES </w:instrText>
    </w:r>
    <w:r>
      <w:rPr>
        <w:rStyle w:val="Seitenzahl"/>
        <w:rFonts w:cs="Arial"/>
        <w:sz w:val="16"/>
        <w:szCs w:val="16"/>
      </w:rPr>
      <w:fldChar w:fldCharType="separate"/>
    </w:r>
    <w:r>
      <w:rPr>
        <w:rStyle w:val="Seitenzahl"/>
        <w:rFonts w:cs="Arial"/>
        <w:noProof/>
        <w:sz w:val="16"/>
        <w:szCs w:val="16"/>
      </w:rPr>
      <w:t>3</w:t>
    </w:r>
    <w:r>
      <w:rPr>
        <w:rStyle w:val="Seitenzahl"/>
        <w:rFonts w:cs="Arial"/>
        <w:sz w:val="16"/>
        <w:szCs w:val="16"/>
      </w:rPr>
      <w:fldChar w:fldCharType="end"/>
    </w:r>
    <w:r>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b/>
        <w:bCs/>
        <w:noProof/>
        <w:color w:val="ED1B34"/>
        <w:sz w:val="40"/>
        <w:szCs w:val="40"/>
      </w:rPr>
      <w:drawing>
        <wp:anchor distT="0" distB="0" distL="114300" distR="114300" simplePos="0" relativeHeight="251659264" behindDoc="0" locked="0" layoutInCell="1" allowOverlap="1">
          <wp:simplePos x="0" y="0"/>
          <wp:positionH relativeFrom="margin">
            <wp:align>left</wp:align>
          </wp:positionH>
          <wp:positionV relativeFrom="page">
            <wp:posOffset>791845</wp:posOffset>
          </wp:positionV>
          <wp:extent cx="1922400" cy="288000"/>
          <wp:effectExtent l="0" t="0" r="1905" b="0"/>
          <wp:wrapNone/>
          <wp:docPr id="168" name="Grafik 168" descr="C:\temp\notes534BC8\Lindner_Logo_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notes534BC8\Lindner_Logo_Ro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2400" cy="28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left" w:pos="6663"/>
      </w:tabs>
      <w:ind w:left="6237"/>
      <w:jc w:val="right"/>
      <w:rPr>
        <w:b/>
        <w:color w:val="E40428"/>
        <w:sz w:val="18"/>
      </w:rPr>
    </w:pPr>
    <w:r>
      <w:rPr>
        <w:b/>
        <w:bCs/>
        <w:noProof/>
        <w:color w:val="E40428"/>
        <w:sz w:val="32"/>
        <w:szCs w:val="40"/>
      </w:rPr>
      <w:drawing>
        <wp:anchor distT="0" distB="0" distL="114300" distR="114300" simplePos="0" relativeHeight="251661312" behindDoc="0" locked="0" layoutInCell="1" allowOverlap="1">
          <wp:simplePos x="0" y="0"/>
          <wp:positionH relativeFrom="column">
            <wp:posOffset>0</wp:posOffset>
          </wp:positionH>
          <wp:positionV relativeFrom="page">
            <wp:posOffset>791845</wp:posOffset>
          </wp:positionV>
          <wp:extent cx="1922400" cy="288000"/>
          <wp:effectExtent l="0" t="0" r="1905" b="0"/>
          <wp:wrapNone/>
          <wp:docPr id="169" name="Grafik 169" descr="C:\temp\notes534BC8\Lindner_Logo_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notes534BC8\Lindner_Logo_Ro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2400" cy="288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E40428"/>
        <w:sz w:val="18"/>
      </w:rPr>
      <w:t>Lindner Group</w:t>
    </w:r>
  </w:p>
  <w:p>
    <w:pPr>
      <w:tabs>
        <w:tab w:val="left" w:pos="6663"/>
      </w:tabs>
      <w:ind w:left="6237"/>
      <w:jc w:val="right"/>
      <w:rPr>
        <w:sz w:val="18"/>
      </w:rPr>
    </w:pPr>
    <w:r>
      <w:rPr>
        <w:sz w:val="18"/>
      </w:rPr>
      <w:t>Christina Rieger</w:t>
    </w:r>
  </w:p>
  <w:p>
    <w:pPr>
      <w:tabs>
        <w:tab w:val="left" w:pos="6663"/>
      </w:tabs>
      <w:ind w:left="6237"/>
      <w:jc w:val="right"/>
      <w:rPr>
        <w:sz w:val="18"/>
      </w:rPr>
    </w:pPr>
    <w:r>
      <w:rPr>
        <w:sz w:val="18"/>
      </w:rPr>
      <w:t xml:space="preserve">Bahnhofstraße 29, 94424 </w:t>
    </w:r>
    <w:proofErr w:type="spellStart"/>
    <w:r>
      <w:rPr>
        <w:sz w:val="18"/>
      </w:rPr>
      <w:t>Arnstorf</w:t>
    </w:r>
    <w:proofErr w:type="spellEnd"/>
  </w:p>
  <w:p>
    <w:pPr>
      <w:tabs>
        <w:tab w:val="left" w:pos="6663"/>
      </w:tabs>
      <w:ind w:left="6237"/>
      <w:jc w:val="right"/>
      <w:rPr>
        <w:sz w:val="18"/>
      </w:rPr>
    </w:pPr>
    <w:r>
      <w:rPr>
        <w:sz w:val="18"/>
      </w:rPr>
      <w:t>Telefon +49 8723 20-3148</w:t>
    </w:r>
  </w:p>
  <w:p>
    <w:pPr>
      <w:tabs>
        <w:tab w:val="left" w:pos="6663"/>
      </w:tabs>
      <w:ind w:left="6237"/>
      <w:jc w:val="right"/>
      <w:rPr>
        <w:rStyle w:val="Hyperlink"/>
        <w:color w:val="auto"/>
        <w:sz w:val="18"/>
        <w:u w:val="none"/>
      </w:rPr>
    </w:pPr>
    <w:r>
      <w:rPr>
        <w:rStyle w:val="Hyperlink"/>
        <w:color w:val="auto"/>
        <w:sz w:val="18"/>
        <w:u w:val="none"/>
      </w:rPr>
      <w:t>Christina.Rieger@Lindner-Group.com</w:t>
    </w:r>
  </w:p>
  <w:p>
    <w:pPr>
      <w:tabs>
        <w:tab w:val="left" w:pos="6663"/>
      </w:tabs>
      <w:rPr>
        <w:sz w:val="18"/>
      </w:rPr>
    </w:pPr>
  </w:p>
  <w:p>
    <w:pPr>
      <w:tabs>
        <w:tab w:val="left" w:pos="6663"/>
      </w:tabs>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52CE8"/>
    <w:multiLevelType w:val="multilevel"/>
    <w:tmpl w:val="70FE56EE"/>
    <w:lvl w:ilvl="0">
      <w:start w:val="1"/>
      <w:numFmt w:val="decimal"/>
      <w:lvlText w:val="%1."/>
      <w:lvlJc w:val="left"/>
      <w:pPr>
        <w:ind w:left="72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5B392E"/>
    <w:multiLevelType w:val="multilevel"/>
    <w:tmpl w:val="577CA02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31B22CA1"/>
    <w:multiLevelType w:val="hybridMultilevel"/>
    <w:tmpl w:val="3984CAA0"/>
    <w:lvl w:ilvl="0" w:tplc="24B232D2">
      <w:start w:val="1"/>
      <w:numFmt w:val="bullet"/>
      <w:lvlText w:val=""/>
      <w:lvlJc w:val="left"/>
      <w:pPr>
        <w:tabs>
          <w:tab w:val="num" w:pos="360"/>
        </w:tabs>
        <w:ind w:left="170" w:hanging="170"/>
      </w:pPr>
      <w:rPr>
        <w:rFonts w:ascii="Symbol" w:hAnsi="Symbol" w:cs="Times New Roman"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E60EF2"/>
    <w:multiLevelType w:val="multilevel"/>
    <w:tmpl w:val="5BE83D78"/>
    <w:lvl w:ilvl="0">
      <w:start w:val="1"/>
      <w:numFmt w:val="decimal"/>
      <w:pStyle w:val="berschrift1"/>
      <w:lvlText w:val="%1"/>
      <w:lvlJc w:val="left"/>
      <w:pPr>
        <w:ind w:left="432" w:hanging="432"/>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4D493FFD"/>
    <w:multiLevelType w:val="multilevel"/>
    <w:tmpl w:val="E26AB4F4"/>
    <w:styleLink w:val="Formatvorlage1"/>
    <w:lvl w:ilvl="0">
      <w:start w:val="1"/>
      <w:numFmt w:val="decimal"/>
      <w:isLgl/>
      <w:lvlText w:val="%1.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5" w15:restartNumberingAfterBreak="0">
    <w:nsid w:val="4D8C4592"/>
    <w:multiLevelType w:val="hybridMultilevel"/>
    <w:tmpl w:val="D45EB336"/>
    <w:lvl w:ilvl="0" w:tplc="A372EA22">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num>
  <w:num w:numId="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57"/>
  <w:displayHorizontalDrawingGridEvery w:val="2"/>
  <w:noPunctuationKerning/>
  <w:characterSpacingControl w:val="doNotCompress"/>
  <w:hdrShapeDefaults>
    <o:shapedefaults v:ext="edit" spidmax="1843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C32C7E97-D157-4B40-9C29-80F13DCAE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Hyperlink"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76" w:lineRule="auto"/>
    </w:pPr>
    <w:rPr>
      <w:rFonts w:ascii="Arial" w:hAnsi="Arial"/>
      <w:sz w:val="22"/>
      <w:lang w:val="de-DE" w:eastAsia="de-DE"/>
    </w:rPr>
  </w:style>
  <w:style w:type="paragraph" w:styleId="berschrift1">
    <w:name w:val="heading 1"/>
    <w:basedOn w:val="Standard"/>
    <w:next w:val="Standard"/>
    <w:autoRedefine/>
    <w:qFormat/>
    <w:pPr>
      <w:keepNext/>
      <w:numPr>
        <w:numId w:val="6"/>
      </w:numPr>
      <w:spacing w:before="120" w:after="120"/>
      <w:ind w:right="-2"/>
      <w:outlineLvl w:val="0"/>
    </w:pPr>
    <w:rPr>
      <w:rFonts w:cs="Arial"/>
      <w:b/>
      <w:bCs/>
      <w:kern w:val="28"/>
      <w:sz w:val="28"/>
      <w:szCs w:val="28"/>
    </w:rPr>
  </w:style>
  <w:style w:type="paragraph" w:styleId="berschrift2">
    <w:name w:val="heading 2"/>
    <w:basedOn w:val="Standard"/>
    <w:next w:val="Standard"/>
    <w:link w:val="berschrift2Zchn"/>
    <w:autoRedefine/>
    <w:qFormat/>
    <w:pPr>
      <w:keepNext/>
      <w:numPr>
        <w:ilvl w:val="1"/>
        <w:numId w:val="6"/>
      </w:numPr>
      <w:spacing w:before="60" w:after="60"/>
      <w:outlineLvl w:val="1"/>
    </w:pPr>
    <w:rPr>
      <w:rFonts w:cs="Arial"/>
      <w:b/>
      <w:bCs/>
      <w:sz w:val="24"/>
      <w:szCs w:val="24"/>
    </w:rPr>
  </w:style>
  <w:style w:type="paragraph" w:styleId="berschrift3">
    <w:name w:val="heading 3"/>
    <w:basedOn w:val="Standard"/>
    <w:next w:val="Pro-Text-Einge"/>
    <w:qFormat/>
    <w:pPr>
      <w:keepNext/>
      <w:numPr>
        <w:ilvl w:val="2"/>
        <w:numId w:val="6"/>
      </w:numPr>
      <w:spacing w:before="120"/>
      <w:outlineLvl w:val="2"/>
    </w:pPr>
    <w:rPr>
      <w:rFonts w:cs="Arial"/>
      <w:b/>
      <w:iCs/>
      <w:sz w:val="24"/>
      <w:szCs w:val="24"/>
    </w:rPr>
  </w:style>
  <w:style w:type="paragraph" w:styleId="berschrift4">
    <w:name w:val="heading 4"/>
    <w:basedOn w:val="berschrift3"/>
    <w:next w:val="Standard"/>
    <w:autoRedefine/>
    <w:qFormat/>
    <w:pPr>
      <w:numPr>
        <w:ilvl w:val="3"/>
      </w:numPr>
      <w:outlineLvl w:val="3"/>
    </w:pPr>
    <w:rPr>
      <w:bCs/>
      <w:iCs w:val="0"/>
      <w:sz w:val="22"/>
      <w:szCs w:val="20"/>
    </w:rPr>
  </w:style>
  <w:style w:type="paragraph" w:styleId="berschrift5">
    <w:name w:val="heading 5"/>
    <w:basedOn w:val="Standard"/>
    <w:next w:val="Standard"/>
    <w:link w:val="berschrift5Zchn"/>
    <w:semiHidden/>
    <w:unhideWhenUsed/>
    <w:qFormat/>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semiHidden/>
    <w:unhideWhenUsed/>
    <w:qFormat/>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semiHidden/>
    <w:unhideWhenUsed/>
    <w:qFormat/>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semiHidden/>
    <w:unhideWhenUsed/>
    <w:qFormat/>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table" w:customStyle="1" w:styleId="Tabellengitternetz">
    <w:name w:val="Tabellengitternetz"/>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Pr>
      <w:rFonts w:ascii="Tahoma" w:hAnsi="Tahoma" w:cs="Tahoma"/>
      <w:sz w:val="16"/>
      <w:szCs w:val="16"/>
    </w:rPr>
  </w:style>
  <w:style w:type="paragraph" w:customStyle="1" w:styleId="Pro-1-Sp1">
    <w:name w:val="Pro-1-Sp1"/>
    <w:basedOn w:val="Standard"/>
    <w:rPr>
      <w:rFonts w:ascii="Arial (W1)" w:hAnsi="Arial (W1)" w:cs="Arial"/>
      <w:b/>
      <w:szCs w:val="24"/>
    </w:rPr>
  </w:style>
  <w:style w:type="paragraph" w:customStyle="1" w:styleId="Pro-AblaufIcon">
    <w:name w:val="Pro-Ablauf_Icon"/>
    <w:basedOn w:val="Standard"/>
    <w:pPr>
      <w:jc w:val="center"/>
    </w:pPr>
    <w:rPr>
      <w:rFonts w:ascii="Arial (W1)" w:hAnsi="Arial (W1)" w:cs="Arial"/>
      <w:b/>
      <w:bCs/>
      <w:sz w:val="16"/>
      <w:szCs w:val="16"/>
    </w:rPr>
  </w:style>
  <w:style w:type="paragraph" w:customStyle="1" w:styleId="Pro-Aufz-Pkt">
    <w:name w:val="Pro-Aufz-Pkt"/>
    <w:basedOn w:val="Standard"/>
    <w:autoRedefine/>
    <w:pPr>
      <w:ind w:left="43"/>
    </w:pPr>
    <w:rPr>
      <w:rFonts w:ascii="Arial (W1)" w:hAnsi="Arial (W1)" w:cs="Arial"/>
      <w:szCs w:val="22"/>
    </w:rPr>
  </w:style>
  <w:style w:type="paragraph" w:customStyle="1" w:styleId="Pro-Text">
    <w:name w:val="Pro-Text"/>
    <w:basedOn w:val="Standard"/>
    <w:autoRedefine/>
    <w:pPr>
      <w:jc w:val="both"/>
    </w:pPr>
    <w:rPr>
      <w:rFonts w:ascii="Arial (W1)" w:hAnsi="Arial (W1)" w:cs="Arial"/>
      <w:szCs w:val="24"/>
    </w:rPr>
  </w:style>
  <w:style w:type="paragraph" w:customStyle="1" w:styleId="Pro-Text-Einge">
    <w:name w:val="Pro-Text-Einge"/>
    <w:basedOn w:val="Standard"/>
    <w:link w:val="Pro-Text-EingeZchn"/>
    <w:autoRedefine/>
    <w:rPr>
      <w:rFonts w:ascii="Arial (W1)" w:hAnsi="Arial (W1)"/>
      <w:b/>
      <w:sz w:val="24"/>
      <w:szCs w:val="22"/>
      <w:lang w:val="x-none" w:eastAsia="x-none"/>
    </w:rPr>
  </w:style>
  <w:style w:type="paragraph" w:customStyle="1" w:styleId="Pro-ber-Tab">
    <w:name w:val="Pro-Über-Tab"/>
    <w:basedOn w:val="Standard"/>
    <w:pPr>
      <w:jc w:val="center"/>
    </w:pPr>
    <w:rPr>
      <w:rFonts w:ascii="Arial (W1)" w:hAnsi="Arial (W1)" w:cs="Arial"/>
      <w:b/>
      <w:szCs w:val="24"/>
    </w:rPr>
  </w:style>
  <w:style w:type="paragraph" w:styleId="Verzeichnis1">
    <w:name w:val="toc 1"/>
    <w:aliases w:val="Pro-IV-1"/>
    <w:basedOn w:val="Standard"/>
    <w:next w:val="Standard"/>
    <w:autoRedefine/>
    <w:uiPriority w:val="39"/>
    <w:pPr>
      <w:tabs>
        <w:tab w:val="left" w:pos="851"/>
        <w:tab w:val="right" w:leader="dot" w:pos="10080"/>
      </w:tabs>
      <w:spacing w:line="360" w:lineRule="auto"/>
      <w:ind w:left="851" w:hanging="851"/>
    </w:pPr>
    <w:rPr>
      <w:rFonts w:ascii="Arial (W1)" w:hAnsi="Arial (W1)" w:cs="Arial"/>
      <w:b/>
      <w:szCs w:val="24"/>
    </w:rPr>
  </w:style>
  <w:style w:type="paragraph" w:styleId="Verzeichnis2">
    <w:name w:val="toc 2"/>
    <w:aliases w:val="Pro-IV-2"/>
    <w:basedOn w:val="Standard"/>
    <w:next w:val="Standard"/>
    <w:autoRedefine/>
    <w:uiPriority w:val="39"/>
    <w:pPr>
      <w:tabs>
        <w:tab w:val="right" w:leader="dot" w:pos="10080"/>
      </w:tabs>
      <w:spacing w:line="360" w:lineRule="auto"/>
      <w:ind w:left="851" w:hanging="567"/>
    </w:pPr>
    <w:rPr>
      <w:rFonts w:ascii="Arial (W1)" w:hAnsi="Arial (W1)" w:cs="Arial"/>
      <w:noProof/>
      <w:szCs w:val="24"/>
    </w:rPr>
  </w:style>
  <w:style w:type="paragraph" w:styleId="Verzeichnis3">
    <w:name w:val="toc 3"/>
    <w:aliases w:val="Pro-IV-3"/>
    <w:basedOn w:val="Standard"/>
    <w:next w:val="Standard"/>
    <w:autoRedefine/>
    <w:uiPriority w:val="39"/>
    <w:pPr>
      <w:tabs>
        <w:tab w:val="left" w:pos="1680"/>
        <w:tab w:val="right" w:leader="dot" w:pos="10080"/>
      </w:tabs>
      <w:spacing w:line="360" w:lineRule="auto"/>
      <w:ind w:left="964" w:hanging="113"/>
    </w:pPr>
    <w:rPr>
      <w:rFonts w:ascii="Arial (W1)" w:hAnsi="Arial (W1)" w:cs="Arial"/>
      <w:szCs w:val="24"/>
    </w:rPr>
  </w:style>
  <w:style w:type="paragraph" w:styleId="Verzeichnis4">
    <w:name w:val="toc 4"/>
    <w:aliases w:val="Pro-IV-4"/>
    <w:basedOn w:val="Standard"/>
    <w:next w:val="Standard"/>
    <w:autoRedefine/>
    <w:uiPriority w:val="39"/>
    <w:pPr>
      <w:tabs>
        <w:tab w:val="right" w:leader="dot" w:pos="10080"/>
      </w:tabs>
      <w:spacing w:line="360" w:lineRule="auto"/>
      <w:ind w:left="851"/>
    </w:pPr>
    <w:rPr>
      <w:rFonts w:ascii="Arial (W1)" w:hAnsi="Arial (W1)" w:cs="Arial"/>
      <w:noProof/>
      <w:szCs w:val="24"/>
    </w:rPr>
  </w:style>
  <w:style w:type="character" w:styleId="Hyperlink">
    <w:name w:val="Hyperlink"/>
    <w:uiPriority w:val="99"/>
    <w:rPr>
      <w:color w:val="0000FF"/>
      <w:u w:val="single"/>
    </w:rPr>
  </w:style>
  <w:style w:type="paragraph" w:customStyle="1" w:styleId="Pro-Abst-Zeich-Tab">
    <w:name w:val="Pro-Abst-Zeich-Tab"/>
    <w:basedOn w:val="Standard"/>
    <w:pPr>
      <w:jc w:val="center"/>
    </w:pPr>
    <w:rPr>
      <w:rFonts w:cs="Arial"/>
      <w:sz w:val="24"/>
      <w:szCs w:val="24"/>
    </w:rPr>
  </w:style>
  <w:style w:type="character" w:customStyle="1" w:styleId="Pro-Text-EingeZchn">
    <w:name w:val="Pro-Text-Einge Zchn"/>
    <w:link w:val="Pro-Text-Einge"/>
    <w:rPr>
      <w:rFonts w:ascii="Arial (W1)" w:hAnsi="Arial (W1)"/>
      <w:b/>
      <w:sz w:val="24"/>
      <w:szCs w:val="22"/>
      <w:lang w:val="x-none" w:eastAsia="x-none"/>
    </w:rPr>
  </w:style>
  <w:style w:type="character" w:styleId="Fett">
    <w:name w:val="Strong"/>
    <w:rPr>
      <w:rFonts w:ascii="Arial" w:hAnsi="Arial"/>
      <w:b/>
      <w:bCs/>
      <w:sz w:val="22"/>
    </w:rPr>
  </w:style>
  <w:style w:type="paragraph" w:styleId="Listenabsatz">
    <w:name w:val="List Paragraph"/>
    <w:basedOn w:val="Standard"/>
    <w:uiPriority w:val="34"/>
    <w:pPr>
      <w:ind w:left="708"/>
    </w:pPr>
  </w:style>
  <w:style w:type="paragraph" w:styleId="Dokumentstruktur">
    <w:name w:val="Document Map"/>
    <w:basedOn w:val="Standard"/>
    <w:link w:val="DokumentstrukturZchn"/>
    <w:rPr>
      <w:rFonts w:ascii="Tahoma" w:hAnsi="Tahoma"/>
      <w:sz w:val="16"/>
      <w:szCs w:val="16"/>
      <w:lang w:val="x-none" w:eastAsia="x-none"/>
    </w:rPr>
  </w:style>
  <w:style w:type="character" w:customStyle="1" w:styleId="DokumentstrukturZchn">
    <w:name w:val="Dokumentstruktur Zchn"/>
    <w:link w:val="Dokumentstruktur"/>
    <w:rPr>
      <w:rFonts w:ascii="Tahoma" w:hAnsi="Tahoma" w:cs="Tahoma"/>
      <w:sz w:val="16"/>
      <w:szCs w:val="16"/>
    </w:rPr>
  </w:style>
  <w:style w:type="character" w:customStyle="1" w:styleId="KopfzeileZchn">
    <w:name w:val="Kopfzeile Zchn"/>
    <w:basedOn w:val="Absatz-Standardschriftart"/>
    <w:link w:val="Kopfzeile"/>
  </w:style>
  <w:style w:type="character" w:customStyle="1" w:styleId="berschrift2Zchn">
    <w:name w:val="Überschrift 2 Zchn"/>
    <w:link w:val="berschrift2"/>
    <w:rPr>
      <w:rFonts w:ascii="Arial" w:hAnsi="Arial" w:cs="Arial"/>
      <w:b/>
      <w:bCs/>
      <w:sz w:val="24"/>
      <w:szCs w:val="24"/>
      <w:lang w:val="de-DE" w:eastAsia="de-DE"/>
    </w:rPr>
  </w:style>
  <w:style w:type="numbering" w:customStyle="1" w:styleId="Formatvorlage1">
    <w:name w:val="Formatvorlage1"/>
    <w:uiPriority w:val="99"/>
    <w:pPr>
      <w:numPr>
        <w:numId w:val="2"/>
      </w:numPr>
    </w:p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rPr>
      <w:i/>
      <w:iCs/>
    </w:rPr>
  </w:style>
  <w:style w:type="character" w:customStyle="1" w:styleId="berschrift5Zchn">
    <w:name w:val="Überschrift 5 Zchn"/>
    <w:basedOn w:val="Absatz-Standardschriftart"/>
    <w:link w:val="berschrift5"/>
    <w:semiHidden/>
    <w:rPr>
      <w:rFonts w:asciiTheme="majorHAnsi" w:eastAsiaTheme="majorEastAsia" w:hAnsiTheme="majorHAnsi" w:cstheme="majorBidi"/>
      <w:color w:val="2E74B5" w:themeColor="accent1" w:themeShade="BF"/>
      <w:sz w:val="22"/>
      <w:lang w:val="de-DE" w:eastAsia="de-DE"/>
    </w:rPr>
  </w:style>
  <w:style w:type="character" w:customStyle="1" w:styleId="berschrift6Zchn">
    <w:name w:val="Überschrift 6 Zchn"/>
    <w:basedOn w:val="Absatz-Standardschriftart"/>
    <w:link w:val="berschrift6"/>
    <w:semiHidden/>
    <w:rPr>
      <w:rFonts w:asciiTheme="majorHAnsi" w:eastAsiaTheme="majorEastAsia" w:hAnsiTheme="majorHAnsi" w:cstheme="majorBidi"/>
      <w:color w:val="1F4D78" w:themeColor="accent1" w:themeShade="7F"/>
      <w:sz w:val="22"/>
      <w:lang w:val="de-DE" w:eastAsia="de-DE"/>
    </w:rPr>
  </w:style>
  <w:style w:type="character" w:customStyle="1" w:styleId="berschrift7Zchn">
    <w:name w:val="Überschrift 7 Zchn"/>
    <w:basedOn w:val="Absatz-Standardschriftart"/>
    <w:link w:val="berschrift7"/>
    <w:semiHidden/>
    <w:rPr>
      <w:rFonts w:asciiTheme="majorHAnsi" w:eastAsiaTheme="majorEastAsia" w:hAnsiTheme="majorHAnsi" w:cstheme="majorBidi"/>
      <w:i/>
      <w:iCs/>
      <w:color w:val="1F4D78" w:themeColor="accent1" w:themeShade="7F"/>
      <w:sz w:val="22"/>
      <w:lang w:val="de-DE" w:eastAsia="de-DE"/>
    </w:rPr>
  </w:style>
  <w:style w:type="character" w:customStyle="1" w:styleId="berschrift8Zchn">
    <w:name w:val="Überschrift 8 Zchn"/>
    <w:basedOn w:val="Absatz-Standardschriftart"/>
    <w:link w:val="berschrift8"/>
    <w:semiHidden/>
    <w:rPr>
      <w:rFonts w:asciiTheme="majorHAnsi" w:eastAsiaTheme="majorEastAsia" w:hAnsiTheme="majorHAnsi" w:cstheme="majorBidi"/>
      <w:color w:val="272727" w:themeColor="text1" w:themeTint="D8"/>
      <w:sz w:val="21"/>
      <w:szCs w:val="21"/>
      <w:lang w:val="de-DE" w:eastAsia="de-DE"/>
    </w:rPr>
  </w:style>
  <w:style w:type="character" w:customStyle="1" w:styleId="berschrift9Zchn">
    <w:name w:val="Überschrift 9 Zchn"/>
    <w:basedOn w:val="Absatz-Standardschriftart"/>
    <w:link w:val="berschrift9"/>
    <w:semiHidden/>
    <w:rPr>
      <w:rFonts w:asciiTheme="majorHAnsi" w:eastAsiaTheme="majorEastAsia" w:hAnsiTheme="majorHAnsi" w:cstheme="majorBidi"/>
      <w:i/>
      <w:iCs/>
      <w:color w:val="272727" w:themeColor="text1" w:themeTint="D8"/>
      <w:sz w:val="21"/>
      <w:szCs w:val="21"/>
      <w:lang w:val="de-DE" w:eastAsia="de-DE"/>
    </w:rPr>
  </w:style>
  <w:style w:type="paragraph" w:styleId="StandardWeb">
    <w:name w:val="Normal (Web)"/>
    <w:basedOn w:val="Standard"/>
    <w:uiPriority w:val="99"/>
    <w:unhideWhenUsed/>
    <w:pPr>
      <w:spacing w:before="100" w:beforeAutospacing="1" w:after="100" w:afterAutospacing="1"/>
    </w:pPr>
    <w:rPr>
      <w:rFonts w:ascii="Times New Roman" w:eastAsiaTheme="minorEastAsia" w:hAnsi="Times New Roman"/>
      <w:sz w:val="24"/>
      <w:szCs w:val="24"/>
    </w:rPr>
  </w:style>
  <w:style w:type="paragraph" w:customStyle="1" w:styleId="H1">
    <w:name w:val="H1"/>
    <w:basedOn w:val="Standard"/>
    <w:link w:val="H1Zchn"/>
    <w:qFormat/>
    <w:pPr>
      <w:kinsoku w:val="0"/>
      <w:overflowPunct w:val="0"/>
      <w:spacing w:line="240" w:lineRule="auto"/>
      <w:ind w:left="20"/>
    </w:pPr>
    <w:rPr>
      <w:b/>
      <w:bCs/>
      <w:color w:val="E40428"/>
      <w:sz w:val="40"/>
      <w:szCs w:val="40"/>
    </w:rPr>
  </w:style>
  <w:style w:type="character" w:customStyle="1" w:styleId="H1Zchn">
    <w:name w:val="H1 Zchn"/>
    <w:basedOn w:val="Absatz-Standardschriftart"/>
    <w:link w:val="H1"/>
    <w:rPr>
      <w:rFonts w:ascii="Arial" w:hAnsi="Arial"/>
      <w:b/>
      <w:bCs/>
      <w:color w:val="E40428"/>
      <w:sz w:val="40"/>
      <w:szCs w:val="40"/>
      <w:lang w:val="de-DE" w:eastAsia="de-DE"/>
    </w:rPr>
  </w:style>
  <w:style w:type="paragraph" w:customStyle="1" w:styleId="H2">
    <w:name w:val="H2"/>
    <w:basedOn w:val="berschrift1"/>
    <w:link w:val="H2Zchn"/>
    <w:qFormat/>
    <w:pPr>
      <w:keepNext w:val="0"/>
      <w:numPr>
        <w:numId w:val="0"/>
      </w:numPr>
      <w:kinsoku w:val="0"/>
      <w:overflowPunct w:val="0"/>
      <w:spacing w:before="0" w:after="0" w:line="240" w:lineRule="auto"/>
      <w:ind w:left="20" w:right="0"/>
    </w:pPr>
    <w:rPr>
      <w:rFonts w:cs="Times New Roman"/>
      <w:b w:val="0"/>
      <w:bCs w:val="0"/>
      <w:color w:val="231F20"/>
      <w:kern w:val="0"/>
    </w:rPr>
  </w:style>
  <w:style w:type="character" w:customStyle="1" w:styleId="H2Zchn">
    <w:name w:val="H2 Zchn"/>
    <w:basedOn w:val="Absatz-Standardschriftart"/>
    <w:link w:val="H2"/>
    <w:rPr>
      <w:rFonts w:ascii="Arial" w:hAnsi="Arial"/>
      <w:color w:val="231F20"/>
      <w:sz w:val="28"/>
      <w:szCs w:val="28"/>
      <w:lang w:val="de-DE" w:eastAsia="de-DE"/>
    </w:rPr>
  </w:style>
  <w:style w:type="paragraph" w:customStyle="1" w:styleId="EinfAbs">
    <w:name w:val="[Einf. Abs.]"/>
    <w:basedOn w:val="Standard"/>
    <w:uiPriority w:val="99"/>
    <w:pPr>
      <w:autoSpaceDE w:val="0"/>
      <w:autoSpaceDN w:val="0"/>
      <w:adjustRightInd w:val="0"/>
      <w:spacing w:line="288" w:lineRule="auto"/>
      <w:textAlignment w:val="center"/>
    </w:pPr>
    <w:rPr>
      <w:rFonts w:ascii="MinionPro-Regular" w:hAnsi="MinionPro-Regular" w:cs="MinionPro-Regular"/>
      <w:color w:val="000000"/>
      <w:sz w:val="24"/>
      <w:szCs w:val="24"/>
      <w:lang w:eastAsia="en-GB"/>
    </w:rPr>
  </w:style>
  <w:style w:type="character" w:styleId="BesuchterLink">
    <w:name w:val="FollowedHyperlink"/>
    <w:basedOn w:val="Absatz-Standardschriftart"/>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112929">
      <w:bodyDiv w:val="1"/>
      <w:marLeft w:val="0"/>
      <w:marRight w:val="0"/>
      <w:marTop w:val="0"/>
      <w:marBottom w:val="0"/>
      <w:divBdr>
        <w:top w:val="none" w:sz="0" w:space="0" w:color="auto"/>
        <w:left w:val="none" w:sz="0" w:space="0" w:color="auto"/>
        <w:bottom w:val="none" w:sz="0" w:space="0" w:color="auto"/>
        <w:right w:val="none" w:sz="0" w:space="0" w:color="auto"/>
      </w:divBdr>
    </w:div>
    <w:div w:id="131217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xing.com/companies/lindnergroup" TargetMode="External"/><Relationship Id="rId18" Type="http://schemas.openxmlformats.org/officeDocument/2006/relationships/hyperlink" Target="https://www.facebook.com/LindnerGroup.Karrier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Lindner-Group.com" TargetMode="External"/><Relationship Id="rId17" Type="http://schemas.openxmlformats.org/officeDocument/2006/relationships/hyperlink" Target="http://www.instagram.com/lindner_grou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interest.de/lindnergrou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witter.com/Lindner_Group"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youtube.com/user/LindnerGrou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inkedin.com/company/lindner-group"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type="triangle" w="med" len="me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670F04-E768-43F0-8926-54BC0B2A6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422</Words>
  <Characters>3460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Lindner AG</Company>
  <LinksUpToDate>false</LinksUpToDate>
  <CharactersWithSpaces>3875</CharactersWithSpaces>
  <SharedDoc>false</SharedDoc>
  <HLinks>
    <vt:vector size="72" baseType="variant">
      <vt:variant>
        <vt:i4>1376317</vt:i4>
      </vt:variant>
      <vt:variant>
        <vt:i4>68</vt:i4>
      </vt:variant>
      <vt:variant>
        <vt:i4>0</vt:i4>
      </vt:variant>
      <vt:variant>
        <vt:i4>5</vt:i4>
      </vt:variant>
      <vt:variant>
        <vt:lpwstr/>
      </vt:variant>
      <vt:variant>
        <vt:lpwstr>_Toc381775884</vt:lpwstr>
      </vt:variant>
      <vt:variant>
        <vt:i4>1376317</vt:i4>
      </vt:variant>
      <vt:variant>
        <vt:i4>62</vt:i4>
      </vt:variant>
      <vt:variant>
        <vt:i4>0</vt:i4>
      </vt:variant>
      <vt:variant>
        <vt:i4>5</vt:i4>
      </vt:variant>
      <vt:variant>
        <vt:lpwstr/>
      </vt:variant>
      <vt:variant>
        <vt:lpwstr>_Toc381775883</vt:lpwstr>
      </vt:variant>
      <vt:variant>
        <vt:i4>1376317</vt:i4>
      </vt:variant>
      <vt:variant>
        <vt:i4>56</vt:i4>
      </vt:variant>
      <vt:variant>
        <vt:i4>0</vt:i4>
      </vt:variant>
      <vt:variant>
        <vt:i4>5</vt:i4>
      </vt:variant>
      <vt:variant>
        <vt:lpwstr/>
      </vt:variant>
      <vt:variant>
        <vt:lpwstr>_Toc381775882</vt:lpwstr>
      </vt:variant>
      <vt:variant>
        <vt:i4>1376317</vt:i4>
      </vt:variant>
      <vt:variant>
        <vt:i4>50</vt:i4>
      </vt:variant>
      <vt:variant>
        <vt:i4>0</vt:i4>
      </vt:variant>
      <vt:variant>
        <vt:i4>5</vt:i4>
      </vt:variant>
      <vt:variant>
        <vt:lpwstr/>
      </vt:variant>
      <vt:variant>
        <vt:lpwstr>_Toc381775881</vt:lpwstr>
      </vt:variant>
      <vt:variant>
        <vt:i4>1376317</vt:i4>
      </vt:variant>
      <vt:variant>
        <vt:i4>44</vt:i4>
      </vt:variant>
      <vt:variant>
        <vt:i4>0</vt:i4>
      </vt:variant>
      <vt:variant>
        <vt:i4>5</vt:i4>
      </vt:variant>
      <vt:variant>
        <vt:lpwstr/>
      </vt:variant>
      <vt:variant>
        <vt:lpwstr>_Toc381775880</vt:lpwstr>
      </vt:variant>
      <vt:variant>
        <vt:i4>1703997</vt:i4>
      </vt:variant>
      <vt:variant>
        <vt:i4>38</vt:i4>
      </vt:variant>
      <vt:variant>
        <vt:i4>0</vt:i4>
      </vt:variant>
      <vt:variant>
        <vt:i4>5</vt:i4>
      </vt:variant>
      <vt:variant>
        <vt:lpwstr/>
      </vt:variant>
      <vt:variant>
        <vt:lpwstr>_Toc381775879</vt:lpwstr>
      </vt:variant>
      <vt:variant>
        <vt:i4>1703997</vt:i4>
      </vt:variant>
      <vt:variant>
        <vt:i4>32</vt:i4>
      </vt:variant>
      <vt:variant>
        <vt:i4>0</vt:i4>
      </vt:variant>
      <vt:variant>
        <vt:i4>5</vt:i4>
      </vt:variant>
      <vt:variant>
        <vt:lpwstr/>
      </vt:variant>
      <vt:variant>
        <vt:lpwstr>_Toc381775878</vt:lpwstr>
      </vt:variant>
      <vt:variant>
        <vt:i4>1703997</vt:i4>
      </vt:variant>
      <vt:variant>
        <vt:i4>26</vt:i4>
      </vt:variant>
      <vt:variant>
        <vt:i4>0</vt:i4>
      </vt:variant>
      <vt:variant>
        <vt:i4>5</vt:i4>
      </vt:variant>
      <vt:variant>
        <vt:lpwstr/>
      </vt:variant>
      <vt:variant>
        <vt:lpwstr>_Toc381775877</vt:lpwstr>
      </vt:variant>
      <vt:variant>
        <vt:i4>1703997</vt:i4>
      </vt:variant>
      <vt:variant>
        <vt:i4>20</vt:i4>
      </vt:variant>
      <vt:variant>
        <vt:i4>0</vt:i4>
      </vt:variant>
      <vt:variant>
        <vt:i4>5</vt:i4>
      </vt:variant>
      <vt:variant>
        <vt:lpwstr/>
      </vt:variant>
      <vt:variant>
        <vt:lpwstr>_Toc381775876</vt:lpwstr>
      </vt:variant>
      <vt:variant>
        <vt:i4>1703997</vt:i4>
      </vt:variant>
      <vt:variant>
        <vt:i4>14</vt:i4>
      </vt:variant>
      <vt:variant>
        <vt:i4>0</vt:i4>
      </vt:variant>
      <vt:variant>
        <vt:i4>5</vt:i4>
      </vt:variant>
      <vt:variant>
        <vt:lpwstr/>
      </vt:variant>
      <vt:variant>
        <vt:lpwstr>_Toc381775875</vt:lpwstr>
      </vt:variant>
      <vt:variant>
        <vt:i4>1703997</vt:i4>
      </vt:variant>
      <vt:variant>
        <vt:i4>8</vt:i4>
      </vt:variant>
      <vt:variant>
        <vt:i4>0</vt:i4>
      </vt:variant>
      <vt:variant>
        <vt:i4>5</vt:i4>
      </vt:variant>
      <vt:variant>
        <vt:lpwstr/>
      </vt:variant>
      <vt:variant>
        <vt:lpwstr>_Toc381775874</vt:lpwstr>
      </vt:variant>
      <vt:variant>
        <vt:i4>1703997</vt:i4>
      </vt:variant>
      <vt:variant>
        <vt:i4>2</vt:i4>
      </vt:variant>
      <vt:variant>
        <vt:i4>0</vt:i4>
      </vt:variant>
      <vt:variant>
        <vt:i4>5</vt:i4>
      </vt:variant>
      <vt:variant>
        <vt:lpwstr/>
      </vt:variant>
      <vt:variant>
        <vt:lpwstr>_Toc381775873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Kos</dc:creator>
  <cp:keywords/>
  <cp:lastModifiedBy>Christina Rieger</cp:lastModifiedBy>
  <cp:revision>7</cp:revision>
  <cp:lastPrinted>2013-12-13T13:26:00Z</cp:lastPrinted>
  <dcterms:created xsi:type="dcterms:W3CDTF">2023-06-28T09:45:00Z</dcterms:created>
  <dcterms:modified xsi:type="dcterms:W3CDTF">2023-06-28T14:16:00Z</dcterms:modified>
</cp:coreProperties>
</file>