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8790" w:tblpY="2649"/>
        <w:tblOverlap w:val="never"/>
        <w:tblW w:w="0" w:type="auto"/>
        <w:tblLayout w:type="fixed"/>
        <w:tblCellMar>
          <w:left w:w="284" w:type="dxa"/>
          <w:right w:w="70" w:type="dxa"/>
        </w:tblCellMar>
        <w:tblLook w:val="0000" w:firstRow="0" w:lastRow="0" w:firstColumn="0" w:lastColumn="0" w:noHBand="0" w:noVBand="0"/>
      </w:tblPr>
      <w:tblGrid>
        <w:gridCol w:w="3119"/>
      </w:tblGrid>
      <w:tr w:rsidR="007D0F34" w14:paraId="2DA1A617" w14:textId="77777777" w:rsidTr="00237679">
        <w:trPr>
          <w:cantSplit/>
          <w:trHeight w:hRule="exact" w:val="2268"/>
        </w:trPr>
        <w:tc>
          <w:tcPr>
            <w:tcW w:w="3119" w:type="dxa"/>
          </w:tcPr>
          <w:p w14:paraId="33D9947C" w14:textId="77777777" w:rsidR="007D0F34" w:rsidRPr="008E7183" w:rsidRDefault="007D0F34">
            <w:pPr>
              <w:pStyle w:val="Dokumentdaten"/>
              <w:rPr>
                <w:lang w:val="en-US"/>
              </w:rPr>
            </w:pPr>
            <w:r w:rsidRPr="008E7183">
              <w:rPr>
                <w:lang w:val="en-US"/>
              </w:rPr>
              <w:t>Technical University</w:t>
            </w:r>
          </w:p>
          <w:p w14:paraId="3D22337C" w14:textId="77777777" w:rsidR="007D0F34" w:rsidRPr="008E7183" w:rsidRDefault="007D0F34">
            <w:pPr>
              <w:pStyle w:val="Dokumentdaten"/>
              <w:rPr>
                <w:lang w:val="en-US"/>
              </w:rPr>
            </w:pPr>
            <w:r w:rsidRPr="008E7183">
              <w:rPr>
                <w:lang w:val="en-US"/>
              </w:rPr>
              <w:t>Brunswick</w:t>
            </w:r>
          </w:p>
          <w:p w14:paraId="641DFF1A" w14:textId="77777777" w:rsidR="007D0F34" w:rsidRPr="008E7183" w:rsidRDefault="00FF5A9D">
            <w:pPr>
              <w:pStyle w:val="Dokumentdaten"/>
              <w:rPr>
                <w:b/>
                <w:lang w:val="en-US"/>
              </w:rPr>
            </w:pPr>
            <w:r w:rsidRPr="008E7183">
              <w:rPr>
                <w:b/>
                <w:lang w:val="en-US"/>
              </w:rPr>
              <w:t>Institute of Bioprocess Engineering</w:t>
            </w:r>
          </w:p>
          <w:p w14:paraId="169FE9FA" w14:textId="45930E00" w:rsidR="007D0F34" w:rsidRDefault="00237679">
            <w:pPr>
              <w:pStyle w:val="Dokumentdaten"/>
            </w:pPr>
            <w:r>
              <w:t>Rebenring 56</w:t>
            </w:r>
            <w:r w:rsidR="00D95992">
              <w:br/>
            </w:r>
            <w:r w:rsidR="00FF5A9D">
              <w:t>38106 Brunswick</w:t>
            </w:r>
          </w:p>
          <w:p w14:paraId="0FDFDC7D" w14:textId="4F70E82C" w:rsidR="007D0F34" w:rsidRDefault="007D0F34">
            <w:pPr>
              <w:pStyle w:val="Dokumentdaten"/>
            </w:pPr>
          </w:p>
          <w:p w14:paraId="3987B195" w14:textId="25B4738D" w:rsidR="00237679" w:rsidRDefault="00237679">
            <w:pPr>
              <w:pStyle w:val="Dokumentdaten"/>
            </w:pPr>
          </w:p>
          <w:p w14:paraId="4D5736BD" w14:textId="77777777" w:rsidR="00237679" w:rsidRDefault="00237679">
            <w:pPr>
              <w:pStyle w:val="Dokumentdaten"/>
            </w:pPr>
          </w:p>
          <w:p w14:paraId="4B777A27" w14:textId="77777777" w:rsidR="00237679" w:rsidRDefault="00237679">
            <w:pPr>
              <w:pStyle w:val="Dokumentdaten"/>
            </w:pPr>
          </w:p>
          <w:p w14:paraId="45DC4075" w14:textId="71E43F3D" w:rsidR="00F35A96" w:rsidRDefault="00146214" w:rsidP="00F35A96">
            <w:pPr>
              <w:pStyle w:val="Dokumentdaten"/>
            </w:pPr>
            <w:r>
              <w:rPr>
                <w:sz w:val="22"/>
              </w:rPr>
              <w:t>June 02, 2026</w:t>
            </w:r>
          </w:p>
        </w:tc>
      </w:tr>
    </w:tbl>
    <w:tbl>
      <w:tblPr>
        <w:tblW w:w="0" w:type="auto"/>
        <w:tblCellMar>
          <w:left w:w="70" w:type="dxa"/>
          <w:right w:w="70" w:type="dxa"/>
        </w:tblCellMar>
        <w:tblLook w:val="0000" w:firstRow="0" w:lastRow="0" w:firstColumn="0" w:lastColumn="0" w:noHBand="0" w:noVBand="0"/>
      </w:tblPr>
      <w:tblGrid>
        <w:gridCol w:w="6663"/>
      </w:tblGrid>
      <w:tr w:rsidR="007D0F34" w:rsidRPr="00596E27" w14:paraId="665B6CC7" w14:textId="77777777" w:rsidTr="00260389">
        <w:trPr>
          <w:trHeight w:val="1871"/>
        </w:trPr>
        <w:tc>
          <w:tcPr>
            <w:tcW w:w="6663" w:type="dxa"/>
          </w:tcPr>
          <w:p w14:paraId="18BD6644" w14:textId="3B1FDCB7" w:rsidR="00F01C33" w:rsidRPr="008E7183" w:rsidRDefault="00F01C33" w:rsidP="00F01C33">
            <w:pPr>
              <w:spacing w:after="0" w:line="240" w:lineRule="auto"/>
              <w:rPr>
                <w:b/>
                <w:kern w:val="0"/>
                <w:sz w:val="24"/>
                <w:lang w:val="en-US"/>
              </w:rPr>
            </w:pPr>
            <w:r w:rsidRPr="008E7183">
              <w:rPr>
                <w:b/>
                <w:kern w:val="0"/>
                <w:sz w:val="24"/>
                <w:lang w:val="en-US"/>
              </w:rPr>
              <w:t>Press release</w:t>
            </w:r>
          </w:p>
          <w:p w14:paraId="7648EA8F" w14:textId="438F2492" w:rsidR="00AB77DF" w:rsidRPr="008E7183" w:rsidRDefault="00F01C33" w:rsidP="00B23063">
            <w:pPr>
              <w:spacing w:after="0" w:line="240" w:lineRule="auto"/>
              <w:rPr>
                <w:b/>
                <w:kern w:val="0"/>
                <w:sz w:val="24"/>
                <w:lang w:val="en-US"/>
              </w:rPr>
            </w:pPr>
            <w:r w:rsidRPr="008E7183">
              <w:rPr>
                <w:b/>
                <w:kern w:val="0"/>
                <w:sz w:val="24"/>
                <w:lang w:val="en-US"/>
              </w:rPr>
              <w:br/>
              <w:t xml:space="preserve">for the commissioning of a GEA Group disc separator </w:t>
            </w:r>
            <w:r w:rsidR="00D02F07" w:rsidRPr="008E7183">
              <w:rPr>
                <w:b/>
                <w:kern w:val="0"/>
                <w:sz w:val="24"/>
                <w:lang w:val="en-US"/>
              </w:rPr>
              <w:t>at the Center for Pharmaceutical Process Engineering (PVZ) at TU Braunschweig</w:t>
            </w:r>
            <w:r w:rsidR="00AB77DF" w:rsidRPr="008E7183">
              <w:rPr>
                <w:b/>
                <w:kern w:val="0"/>
                <w:sz w:val="24"/>
                <w:lang w:val="en-US"/>
              </w:rPr>
              <w:br/>
            </w:r>
          </w:p>
        </w:tc>
      </w:tr>
    </w:tbl>
    <w:p w14:paraId="42C48BEE" w14:textId="77777777" w:rsidR="00260389" w:rsidRPr="008E7183" w:rsidRDefault="00260389" w:rsidP="00C07E0A">
      <w:pPr>
        <w:pStyle w:val="Zitat"/>
        <w:spacing w:line="360" w:lineRule="auto"/>
        <w:ind w:left="0" w:right="567"/>
        <w:jc w:val="both"/>
        <w:rPr>
          <w:i w:val="0"/>
          <w:iCs w:val="0"/>
          <w:color w:val="auto"/>
          <w:kern w:val="0"/>
          <w:sz w:val="2"/>
          <w:lang w:val="en-US"/>
        </w:rPr>
      </w:pPr>
    </w:p>
    <w:p w14:paraId="2F0D98DF" w14:textId="05871080" w:rsidR="005F5E7C" w:rsidRPr="008E7183" w:rsidRDefault="00F01C33">
      <w:pPr>
        <w:spacing w:line="360" w:lineRule="auto"/>
        <w:rPr>
          <w:b/>
          <w:sz w:val="28"/>
          <w:lang w:val="en-US"/>
        </w:rPr>
      </w:pPr>
      <w:r w:rsidRPr="008E7183">
        <w:rPr>
          <w:b/>
          <w:sz w:val="28"/>
          <w:lang w:val="en-US"/>
        </w:rPr>
        <w:t xml:space="preserve">Key technology for bioprocesses: The </w:t>
      </w:r>
      <w:r w:rsidR="00EE10E4" w:rsidRPr="008E7183">
        <w:rPr>
          <w:b/>
          <w:sz w:val="28"/>
          <w:lang w:val="en-US"/>
        </w:rPr>
        <w:t xml:space="preserve">Center for Pharmaceutical Process Engineering </w:t>
      </w:r>
      <w:r w:rsidRPr="008E7183">
        <w:rPr>
          <w:b/>
          <w:sz w:val="28"/>
          <w:lang w:val="en-US"/>
        </w:rPr>
        <w:t xml:space="preserve">at TU Braunschweig expands its capacities with a </w:t>
      </w:r>
      <w:r w:rsidR="00291A31" w:rsidRPr="008E7183">
        <w:rPr>
          <w:b/>
          <w:sz w:val="28"/>
          <w:lang w:val="en-US"/>
        </w:rPr>
        <w:t xml:space="preserve">GEA </w:t>
      </w:r>
      <w:r w:rsidR="006C3541">
        <w:rPr>
          <w:b/>
          <w:sz w:val="28"/>
          <w:lang w:val="en-US"/>
        </w:rPr>
        <w:t>disk stack</w:t>
      </w:r>
      <w:r w:rsidR="00291A31" w:rsidRPr="008E7183">
        <w:rPr>
          <w:b/>
          <w:sz w:val="28"/>
          <w:lang w:val="en-US"/>
        </w:rPr>
        <w:t xml:space="preserve"> separator </w:t>
      </w:r>
      <w:r w:rsidR="002142B4" w:rsidRPr="008E7183">
        <w:rPr>
          <w:b/>
          <w:sz w:val="28"/>
          <w:lang w:val="en-US"/>
        </w:rPr>
        <w:t>and homogenizer</w:t>
      </w:r>
    </w:p>
    <w:p w14:paraId="66846DB3" w14:textId="5FAB43E3" w:rsidR="00F01C33" w:rsidRPr="008E7183" w:rsidRDefault="00220547" w:rsidP="0050436C">
      <w:pPr>
        <w:spacing w:after="120" w:line="276" w:lineRule="auto"/>
        <w:jc w:val="both"/>
        <w:rPr>
          <w:sz w:val="22"/>
          <w:lang w:val="en-US"/>
        </w:rPr>
      </w:pPr>
      <w:r w:rsidRPr="008E7183">
        <w:rPr>
          <w:b/>
          <w:sz w:val="22"/>
          <w:lang w:val="en-US"/>
        </w:rPr>
        <w:t>Düsseldorf/Braunschweig</w:t>
      </w:r>
      <w:r w:rsidR="00F01C33" w:rsidRPr="008E7183">
        <w:rPr>
          <w:b/>
          <w:sz w:val="22"/>
          <w:lang w:val="en-US"/>
        </w:rPr>
        <w:t xml:space="preserve">, </w:t>
      </w:r>
      <w:r w:rsidR="00291A31" w:rsidRPr="008E7183">
        <w:rPr>
          <w:b/>
          <w:sz w:val="22"/>
          <w:lang w:val="en-US"/>
        </w:rPr>
        <w:t>June 2</w:t>
      </w:r>
      <w:r w:rsidR="00F01C33" w:rsidRPr="008E7183">
        <w:rPr>
          <w:b/>
          <w:sz w:val="22"/>
          <w:lang w:val="en-US"/>
        </w:rPr>
        <w:t xml:space="preserve">, 2025 </w:t>
      </w:r>
      <w:r w:rsidR="00F01C33" w:rsidRPr="008E7183">
        <w:rPr>
          <w:sz w:val="22"/>
          <w:lang w:val="en-US"/>
        </w:rPr>
        <w:t>- Advances in biopharmaceutical research require continuous development of the technical infrastructure. Efficient and precise separation</w:t>
      </w:r>
      <w:r w:rsidR="000A266B" w:rsidRPr="008E7183">
        <w:rPr>
          <w:sz w:val="22"/>
          <w:lang w:val="en-US"/>
        </w:rPr>
        <w:t xml:space="preserve"> of </w:t>
      </w:r>
      <w:r w:rsidR="00F01C33" w:rsidRPr="008E7183">
        <w:rPr>
          <w:sz w:val="22"/>
          <w:lang w:val="en-US"/>
        </w:rPr>
        <w:t xml:space="preserve">cells </w:t>
      </w:r>
      <w:r w:rsidR="000A266B" w:rsidRPr="008E7183">
        <w:rPr>
          <w:sz w:val="22"/>
          <w:lang w:val="en-US"/>
        </w:rPr>
        <w:t xml:space="preserve">from </w:t>
      </w:r>
      <w:r w:rsidR="00EE10E4" w:rsidRPr="008E7183">
        <w:rPr>
          <w:sz w:val="22"/>
          <w:lang w:val="en-US"/>
        </w:rPr>
        <w:t xml:space="preserve">culture supernatants </w:t>
      </w:r>
      <w:r w:rsidR="00F01C33" w:rsidRPr="008E7183">
        <w:rPr>
          <w:sz w:val="22"/>
          <w:lang w:val="en-US"/>
        </w:rPr>
        <w:t xml:space="preserve">is a crucial step in biotechnological processes. In order to meet these challenges, the Center for Pharmaceutical Process Engineering (PVZ) at the Technical University of Braunschweig is expanding its biotechnology center with a state-of-the-art </w:t>
      </w:r>
      <w:r w:rsidR="006C3541">
        <w:rPr>
          <w:sz w:val="22"/>
          <w:lang w:val="en-US"/>
        </w:rPr>
        <w:t xml:space="preserve">disk stack </w:t>
      </w:r>
      <w:r w:rsidR="00F01C33" w:rsidRPr="008E7183">
        <w:rPr>
          <w:sz w:val="22"/>
          <w:lang w:val="en-US"/>
        </w:rPr>
        <w:t xml:space="preserve">separator </w:t>
      </w:r>
      <w:r w:rsidR="00291A31" w:rsidRPr="008E7183">
        <w:rPr>
          <w:sz w:val="22"/>
          <w:lang w:val="en-US"/>
        </w:rPr>
        <w:t xml:space="preserve">from machine and plant manufacturer and solution provider </w:t>
      </w:r>
      <w:r w:rsidR="00B34E9E" w:rsidRPr="008E7183">
        <w:rPr>
          <w:sz w:val="22"/>
          <w:lang w:val="en-US"/>
        </w:rPr>
        <w:t>GEA</w:t>
      </w:r>
      <w:r w:rsidR="00291A31" w:rsidRPr="008E7183">
        <w:rPr>
          <w:sz w:val="22"/>
          <w:lang w:val="en-US"/>
        </w:rPr>
        <w:t xml:space="preserve">.  </w:t>
      </w:r>
      <w:r w:rsidRPr="008E7183">
        <w:rPr>
          <w:sz w:val="22"/>
          <w:lang w:val="en-US"/>
        </w:rPr>
        <w:t xml:space="preserve">By supplying the </w:t>
      </w:r>
      <w:r w:rsidR="0086190D" w:rsidRPr="008E7183">
        <w:rPr>
          <w:sz w:val="22"/>
          <w:lang w:val="en-US"/>
        </w:rPr>
        <w:t>device</w:t>
      </w:r>
      <w:r w:rsidRPr="008E7183">
        <w:rPr>
          <w:sz w:val="22"/>
          <w:lang w:val="en-US"/>
        </w:rPr>
        <w:t xml:space="preserve">, GEA is supporting biopharmaceutical research at the </w:t>
      </w:r>
      <w:r w:rsidR="0086190D" w:rsidRPr="008E7183">
        <w:rPr>
          <w:sz w:val="22"/>
          <w:lang w:val="en-US"/>
        </w:rPr>
        <w:t>PVZ</w:t>
      </w:r>
      <w:r w:rsidRPr="008E7183">
        <w:rPr>
          <w:sz w:val="22"/>
          <w:lang w:val="en-US"/>
        </w:rPr>
        <w:t xml:space="preserve">. A </w:t>
      </w:r>
      <w:r w:rsidRPr="008E7183">
        <w:rPr>
          <w:i/>
          <w:sz w:val="22"/>
          <w:lang w:val="en-US"/>
        </w:rPr>
        <w:t xml:space="preserve">Pathfinder </w:t>
      </w:r>
      <w:r w:rsidRPr="008E7183">
        <w:rPr>
          <w:sz w:val="22"/>
          <w:lang w:val="en-US"/>
        </w:rPr>
        <w:t xml:space="preserve">with a throughput capacity of up to 200 </w:t>
      </w:r>
      <w:r w:rsidR="00A04373" w:rsidRPr="008E7183">
        <w:rPr>
          <w:sz w:val="22"/>
          <w:lang w:val="en-US"/>
        </w:rPr>
        <w:t xml:space="preserve">l/h </w:t>
      </w:r>
      <w:r w:rsidRPr="008E7183">
        <w:rPr>
          <w:sz w:val="22"/>
          <w:lang w:val="en-US"/>
        </w:rPr>
        <w:t xml:space="preserve">will be used. </w:t>
      </w:r>
      <w:r w:rsidR="0086190D" w:rsidRPr="008E7183">
        <w:rPr>
          <w:sz w:val="22"/>
          <w:lang w:val="en-US"/>
        </w:rPr>
        <w:t xml:space="preserve">The </w:t>
      </w:r>
      <w:r w:rsidR="0086190D" w:rsidRPr="008E7183">
        <w:rPr>
          <w:i/>
          <w:sz w:val="22"/>
          <w:lang w:val="en-US"/>
        </w:rPr>
        <w:t xml:space="preserve">Pathfinder </w:t>
      </w:r>
      <w:r w:rsidR="0086190D" w:rsidRPr="008E7183">
        <w:rPr>
          <w:sz w:val="22"/>
          <w:lang w:val="en-US"/>
        </w:rPr>
        <w:t xml:space="preserve">is specially designed for applications in </w:t>
      </w:r>
      <w:r w:rsidR="00B34E9E" w:rsidRPr="008E7183">
        <w:rPr>
          <w:sz w:val="22"/>
          <w:lang w:val="en-US"/>
        </w:rPr>
        <w:t xml:space="preserve">biopharmaceutical </w:t>
      </w:r>
      <w:r w:rsidR="0086190D" w:rsidRPr="008E7183">
        <w:rPr>
          <w:sz w:val="22"/>
          <w:lang w:val="en-US"/>
        </w:rPr>
        <w:t xml:space="preserve">pilot plants </w:t>
      </w:r>
      <w:r w:rsidR="0071734E" w:rsidRPr="008E7183">
        <w:rPr>
          <w:sz w:val="22"/>
          <w:lang w:val="en-US"/>
        </w:rPr>
        <w:t xml:space="preserve">and </w:t>
      </w:r>
      <w:r w:rsidR="00B34E9E" w:rsidRPr="008E7183">
        <w:rPr>
          <w:sz w:val="22"/>
          <w:lang w:val="en-US"/>
        </w:rPr>
        <w:t xml:space="preserve">will </w:t>
      </w:r>
      <w:r w:rsidR="0071734E" w:rsidRPr="008E7183">
        <w:rPr>
          <w:sz w:val="22"/>
          <w:lang w:val="en-US"/>
        </w:rPr>
        <w:t xml:space="preserve">also open up new paths in </w:t>
      </w:r>
      <w:r w:rsidR="00B34E9E" w:rsidRPr="008E7183">
        <w:rPr>
          <w:sz w:val="22"/>
          <w:lang w:val="en-US"/>
        </w:rPr>
        <w:t xml:space="preserve">bioprocess engineering </w:t>
      </w:r>
      <w:r w:rsidR="0071734E" w:rsidRPr="008E7183">
        <w:rPr>
          <w:sz w:val="22"/>
          <w:lang w:val="en-US"/>
        </w:rPr>
        <w:t>here</w:t>
      </w:r>
      <w:r w:rsidR="0086190D" w:rsidRPr="008E7183">
        <w:rPr>
          <w:sz w:val="22"/>
          <w:lang w:val="en-US"/>
        </w:rPr>
        <w:t>.</w:t>
      </w:r>
    </w:p>
    <w:p w14:paraId="24F6ADCD" w14:textId="37611D6F" w:rsidR="000F6547" w:rsidRPr="008E7183" w:rsidRDefault="000F6547" w:rsidP="0050436C">
      <w:pPr>
        <w:spacing w:after="120" w:line="276" w:lineRule="auto"/>
        <w:jc w:val="both"/>
        <w:rPr>
          <w:b/>
          <w:bCs/>
          <w:color w:val="000000" w:themeColor="text1"/>
          <w:sz w:val="22"/>
          <w:lang w:val="en-US"/>
        </w:rPr>
      </w:pPr>
      <w:r w:rsidRPr="008E7183">
        <w:rPr>
          <w:b/>
          <w:bCs/>
          <w:color w:val="000000" w:themeColor="text1"/>
          <w:sz w:val="22"/>
          <w:lang w:val="en-US"/>
        </w:rPr>
        <w:t xml:space="preserve">Research work at </w:t>
      </w:r>
      <w:r w:rsidR="00AB10ED" w:rsidRPr="008E7183">
        <w:rPr>
          <w:b/>
          <w:bCs/>
          <w:color w:val="000000" w:themeColor="text1"/>
          <w:sz w:val="22"/>
          <w:lang w:val="en-US"/>
        </w:rPr>
        <w:t xml:space="preserve">TU </w:t>
      </w:r>
      <w:r w:rsidRPr="008E7183">
        <w:rPr>
          <w:b/>
          <w:bCs/>
          <w:color w:val="000000" w:themeColor="text1"/>
          <w:sz w:val="22"/>
          <w:lang w:val="en-US"/>
        </w:rPr>
        <w:t>Braunschweig</w:t>
      </w:r>
      <w:r w:rsidR="00AB10ED" w:rsidRPr="008E7183">
        <w:rPr>
          <w:b/>
          <w:bCs/>
          <w:color w:val="000000" w:themeColor="text1"/>
          <w:sz w:val="22"/>
          <w:lang w:val="en-US"/>
        </w:rPr>
        <w:t xml:space="preserve">'s </w:t>
      </w:r>
      <w:r w:rsidRPr="008E7183">
        <w:rPr>
          <w:b/>
          <w:bCs/>
          <w:color w:val="000000" w:themeColor="text1"/>
          <w:sz w:val="22"/>
          <w:lang w:val="en-US"/>
        </w:rPr>
        <w:t>PVZ is important for the further development of modern medicine and pharmaceuticals</w:t>
      </w:r>
    </w:p>
    <w:p w14:paraId="73FC2B83" w14:textId="3F07CAC5" w:rsidR="00F01C33" w:rsidRPr="008E7183" w:rsidRDefault="00F01C33" w:rsidP="0050436C">
      <w:pPr>
        <w:spacing w:after="120" w:line="276" w:lineRule="auto"/>
        <w:jc w:val="both"/>
        <w:rPr>
          <w:sz w:val="22"/>
          <w:lang w:val="en-US"/>
        </w:rPr>
      </w:pPr>
      <w:r w:rsidRPr="008E7183">
        <w:rPr>
          <w:sz w:val="22"/>
          <w:lang w:val="en-US"/>
        </w:rPr>
        <w:t xml:space="preserve">The PVZ is an interdisciplinary research center in which </w:t>
      </w:r>
      <w:r w:rsidR="0071734E" w:rsidRPr="008E7183">
        <w:rPr>
          <w:sz w:val="22"/>
          <w:lang w:val="en-US"/>
        </w:rPr>
        <w:t xml:space="preserve">around 100 </w:t>
      </w:r>
      <w:r w:rsidRPr="008E7183">
        <w:rPr>
          <w:sz w:val="22"/>
          <w:lang w:val="en-US"/>
        </w:rPr>
        <w:t xml:space="preserve">scientists from </w:t>
      </w:r>
      <w:r w:rsidR="00AB10ED" w:rsidRPr="008E7183">
        <w:rPr>
          <w:sz w:val="22"/>
          <w:lang w:val="en-US"/>
        </w:rPr>
        <w:t xml:space="preserve">the fields of </w:t>
      </w:r>
      <w:r w:rsidRPr="008E7183">
        <w:rPr>
          <w:sz w:val="22"/>
          <w:lang w:val="en-US"/>
        </w:rPr>
        <w:t>process engineering, biotechnology</w:t>
      </w:r>
      <w:r w:rsidR="00AB10ED" w:rsidRPr="008E7183">
        <w:rPr>
          <w:sz w:val="22"/>
          <w:lang w:val="en-US"/>
        </w:rPr>
        <w:t xml:space="preserve">, pharmacy </w:t>
      </w:r>
      <w:r w:rsidRPr="008E7183">
        <w:rPr>
          <w:sz w:val="22"/>
          <w:lang w:val="en-US"/>
        </w:rPr>
        <w:t xml:space="preserve">and other natural and engineering sciences work together. The aim is to develop and optimize manufacturing processes for innovative </w:t>
      </w:r>
      <w:r w:rsidR="00AB10ED" w:rsidRPr="008E7183">
        <w:rPr>
          <w:sz w:val="22"/>
          <w:lang w:val="en-US"/>
        </w:rPr>
        <w:t xml:space="preserve">biopharmaceutical </w:t>
      </w:r>
      <w:r w:rsidRPr="008E7183">
        <w:rPr>
          <w:sz w:val="22"/>
          <w:lang w:val="en-US"/>
        </w:rPr>
        <w:t xml:space="preserve">products that can be individually tailored to patients. A major focus of </w:t>
      </w:r>
      <w:r w:rsidR="002353E5" w:rsidRPr="008E7183">
        <w:rPr>
          <w:sz w:val="22"/>
          <w:lang w:val="en-US"/>
        </w:rPr>
        <w:t xml:space="preserve">the </w:t>
      </w:r>
      <w:r w:rsidR="002353E5" w:rsidRPr="008E7183">
        <w:rPr>
          <w:i/>
          <w:sz w:val="22"/>
          <w:lang w:val="en-US"/>
        </w:rPr>
        <w:t xml:space="preserve">Pharmaceutical-Biological Process Technology </w:t>
      </w:r>
      <w:r w:rsidR="002353E5" w:rsidRPr="008E7183">
        <w:rPr>
          <w:sz w:val="22"/>
          <w:lang w:val="en-US"/>
        </w:rPr>
        <w:t xml:space="preserve">department </w:t>
      </w:r>
      <w:r w:rsidRPr="008E7183">
        <w:rPr>
          <w:sz w:val="22"/>
          <w:lang w:val="en-US"/>
        </w:rPr>
        <w:t xml:space="preserve">at the PVZ is on biotechnological processes that are </w:t>
      </w:r>
      <w:r w:rsidR="002353E5" w:rsidRPr="008E7183">
        <w:rPr>
          <w:sz w:val="22"/>
          <w:lang w:val="en-US"/>
        </w:rPr>
        <w:t>used in</w:t>
      </w:r>
      <w:r w:rsidRPr="008E7183">
        <w:rPr>
          <w:sz w:val="22"/>
          <w:lang w:val="en-US"/>
        </w:rPr>
        <w:t xml:space="preserve"> the production of active ingredients such as therapeutic proteins, antibodies for immunotherapy, enzymes for industrial biocatalysis and the biotechnological production of </w:t>
      </w:r>
      <w:r w:rsidR="002353E5" w:rsidRPr="008E7183">
        <w:rPr>
          <w:sz w:val="22"/>
          <w:lang w:val="en-US"/>
        </w:rPr>
        <w:t xml:space="preserve">new </w:t>
      </w:r>
      <w:r w:rsidRPr="008E7183">
        <w:rPr>
          <w:sz w:val="22"/>
          <w:lang w:val="en-US"/>
        </w:rPr>
        <w:t>antibiotics. These processes are essential for modern medicine and the pharmaceutical industry.</w:t>
      </w:r>
    </w:p>
    <w:p w14:paraId="533CCDB0" w14:textId="48FB502A" w:rsidR="0086190D" w:rsidRPr="008E7183" w:rsidRDefault="00220547" w:rsidP="0050436C">
      <w:pPr>
        <w:autoSpaceDE w:val="0"/>
        <w:autoSpaceDN w:val="0"/>
        <w:spacing w:after="120" w:line="276" w:lineRule="auto"/>
        <w:jc w:val="both"/>
        <w:rPr>
          <w:b/>
          <w:bCs/>
          <w:color w:val="000000" w:themeColor="text1"/>
          <w:sz w:val="22"/>
          <w:lang w:val="en-US"/>
        </w:rPr>
      </w:pPr>
      <w:r w:rsidRPr="008E7183">
        <w:rPr>
          <w:b/>
          <w:bCs/>
          <w:color w:val="000000" w:themeColor="text1"/>
          <w:sz w:val="22"/>
          <w:lang w:val="en-US"/>
        </w:rPr>
        <w:t xml:space="preserve">GEA </w:t>
      </w:r>
      <w:r w:rsidR="002353E5" w:rsidRPr="008E7183">
        <w:rPr>
          <w:b/>
          <w:bCs/>
          <w:color w:val="000000" w:themeColor="text1"/>
          <w:sz w:val="22"/>
          <w:lang w:val="en-US"/>
        </w:rPr>
        <w:t xml:space="preserve">homogenizer </w:t>
      </w:r>
      <w:r w:rsidRPr="008E7183">
        <w:rPr>
          <w:b/>
          <w:bCs/>
          <w:color w:val="000000" w:themeColor="text1"/>
          <w:sz w:val="22"/>
          <w:lang w:val="en-US"/>
        </w:rPr>
        <w:t>PANDA already successfully in use at PVZ</w:t>
      </w:r>
    </w:p>
    <w:p w14:paraId="38D595E7" w14:textId="531F695C" w:rsidR="00220547" w:rsidRPr="008E7183" w:rsidRDefault="002142B4" w:rsidP="0050436C">
      <w:pPr>
        <w:autoSpaceDE w:val="0"/>
        <w:autoSpaceDN w:val="0"/>
        <w:spacing w:after="120" w:line="276" w:lineRule="auto"/>
        <w:jc w:val="both"/>
        <w:rPr>
          <w:sz w:val="22"/>
          <w:lang w:val="en-US"/>
        </w:rPr>
      </w:pPr>
      <w:r w:rsidRPr="008E7183">
        <w:rPr>
          <w:sz w:val="22"/>
          <w:lang w:val="en-US"/>
        </w:rPr>
        <w:t>Some time ago</w:t>
      </w:r>
      <w:r w:rsidR="00220547" w:rsidRPr="008E7183">
        <w:rPr>
          <w:sz w:val="22"/>
          <w:lang w:val="en-US"/>
        </w:rPr>
        <w:t xml:space="preserve">, GEA supplied the PVZ with a </w:t>
      </w:r>
      <w:r w:rsidR="00220547" w:rsidRPr="008E7183">
        <w:rPr>
          <w:iCs/>
          <w:sz w:val="22"/>
          <w:lang w:val="en-US"/>
        </w:rPr>
        <w:t xml:space="preserve">PANDA PLUS </w:t>
      </w:r>
      <w:r w:rsidR="00220547" w:rsidRPr="008E7183">
        <w:rPr>
          <w:sz w:val="22"/>
          <w:lang w:val="en-US"/>
        </w:rPr>
        <w:t xml:space="preserve">high-pressure homogenizer. The </w:t>
      </w:r>
      <w:r w:rsidR="00220547" w:rsidRPr="008E7183">
        <w:rPr>
          <w:iCs/>
          <w:sz w:val="22"/>
          <w:lang w:val="en-US"/>
        </w:rPr>
        <w:t xml:space="preserve">PANDA </w:t>
      </w:r>
      <w:r w:rsidR="00220547" w:rsidRPr="008E7183">
        <w:rPr>
          <w:sz w:val="22"/>
          <w:lang w:val="en-US"/>
        </w:rPr>
        <w:t>is particularly suitable for the high-pressure processing of nanoparticles and cell disruption</w:t>
      </w:r>
      <w:r w:rsidR="002353E5" w:rsidRPr="008E7183">
        <w:rPr>
          <w:sz w:val="22"/>
          <w:lang w:val="en-US"/>
        </w:rPr>
        <w:t xml:space="preserve">. </w:t>
      </w:r>
      <w:r w:rsidR="00220547" w:rsidRPr="008E7183">
        <w:rPr>
          <w:sz w:val="22"/>
          <w:lang w:val="en-US"/>
        </w:rPr>
        <w:t xml:space="preserve">The homogenizer has a touch panel for easy control of all machine functions and is </w:t>
      </w:r>
      <w:r w:rsidR="00220547" w:rsidRPr="008E7183">
        <w:rPr>
          <w:sz w:val="22"/>
          <w:lang w:val="en-US"/>
        </w:rPr>
        <w:lastRenderedPageBreak/>
        <w:t xml:space="preserve">suitable for </w:t>
      </w:r>
      <w:r w:rsidR="00220547" w:rsidRPr="008E7183">
        <w:rPr>
          <w:i/>
          <w:sz w:val="22"/>
          <w:lang w:val="en-US"/>
        </w:rPr>
        <w:t xml:space="preserve">cleaning-in-place </w:t>
      </w:r>
      <w:r w:rsidR="002353E5" w:rsidRPr="008E7183">
        <w:rPr>
          <w:sz w:val="22"/>
          <w:lang w:val="en-US"/>
        </w:rPr>
        <w:t>(CIP</w:t>
      </w:r>
      <w:r w:rsidR="00220547" w:rsidRPr="008E7183">
        <w:rPr>
          <w:sz w:val="22"/>
          <w:lang w:val="en-US"/>
        </w:rPr>
        <w:t xml:space="preserve">) and </w:t>
      </w:r>
      <w:r w:rsidR="00220547" w:rsidRPr="008E7183">
        <w:rPr>
          <w:i/>
          <w:sz w:val="22"/>
          <w:lang w:val="en-US"/>
        </w:rPr>
        <w:t xml:space="preserve">sterilization-in-place </w:t>
      </w:r>
      <w:r w:rsidR="002353E5" w:rsidRPr="008E7183">
        <w:rPr>
          <w:sz w:val="22"/>
          <w:lang w:val="en-US"/>
        </w:rPr>
        <w:t>(SIP) procedures</w:t>
      </w:r>
      <w:r w:rsidR="00220547" w:rsidRPr="008E7183">
        <w:rPr>
          <w:sz w:val="22"/>
          <w:lang w:val="en-US"/>
        </w:rPr>
        <w:t>. Its compact design makes it easy to install, use and maintain.</w:t>
      </w:r>
    </w:p>
    <w:p w14:paraId="2C1E3CAC" w14:textId="4EA08545" w:rsidR="00F01C33" w:rsidRPr="008E7183" w:rsidRDefault="00F01C33" w:rsidP="0050436C">
      <w:pPr>
        <w:spacing w:after="120" w:line="276" w:lineRule="auto"/>
        <w:jc w:val="both"/>
        <w:rPr>
          <w:sz w:val="22"/>
          <w:lang w:val="en-US"/>
        </w:rPr>
      </w:pPr>
      <w:r w:rsidRPr="008E7183">
        <w:rPr>
          <w:sz w:val="22"/>
          <w:lang w:val="en-US"/>
        </w:rPr>
        <w:t xml:space="preserve">With the addition of the </w:t>
      </w:r>
      <w:r w:rsidR="0031295E" w:rsidRPr="008E7183">
        <w:rPr>
          <w:i/>
          <w:sz w:val="22"/>
          <w:lang w:val="en-US"/>
        </w:rPr>
        <w:t xml:space="preserve">Pathfinder </w:t>
      </w:r>
      <w:r w:rsidRPr="008E7183">
        <w:rPr>
          <w:sz w:val="22"/>
          <w:lang w:val="en-US"/>
        </w:rPr>
        <w:t xml:space="preserve">plate separator </w:t>
      </w:r>
      <w:r w:rsidR="00291A31" w:rsidRPr="008E7183">
        <w:rPr>
          <w:sz w:val="22"/>
          <w:lang w:val="en-US"/>
        </w:rPr>
        <w:t xml:space="preserve">from GEA </w:t>
      </w:r>
      <w:r w:rsidRPr="008E7183">
        <w:rPr>
          <w:sz w:val="22"/>
          <w:lang w:val="en-US"/>
        </w:rPr>
        <w:t xml:space="preserve">to the biotechnology center, the PVZ is now able to </w:t>
      </w:r>
      <w:r w:rsidR="0086190D" w:rsidRPr="008E7183">
        <w:rPr>
          <w:sz w:val="22"/>
          <w:lang w:val="en-US"/>
        </w:rPr>
        <w:t xml:space="preserve">carry out </w:t>
      </w:r>
      <w:r w:rsidR="00866E94" w:rsidRPr="008E7183">
        <w:rPr>
          <w:sz w:val="22"/>
          <w:lang w:val="en-US"/>
        </w:rPr>
        <w:t xml:space="preserve">the </w:t>
      </w:r>
      <w:r w:rsidRPr="008E7183">
        <w:rPr>
          <w:sz w:val="22"/>
          <w:lang w:val="en-US"/>
        </w:rPr>
        <w:t xml:space="preserve">entire </w:t>
      </w:r>
      <w:r w:rsidR="00866E94" w:rsidRPr="008E7183">
        <w:rPr>
          <w:sz w:val="22"/>
          <w:lang w:val="en-US"/>
        </w:rPr>
        <w:t xml:space="preserve">value chain of a </w:t>
      </w:r>
      <w:r w:rsidRPr="008E7183">
        <w:rPr>
          <w:sz w:val="22"/>
          <w:lang w:val="en-US"/>
        </w:rPr>
        <w:t xml:space="preserve">biotechnological </w:t>
      </w:r>
      <w:r w:rsidR="00866E94" w:rsidRPr="008E7183">
        <w:rPr>
          <w:sz w:val="22"/>
          <w:lang w:val="en-US"/>
        </w:rPr>
        <w:t xml:space="preserve">process </w:t>
      </w:r>
      <w:r w:rsidRPr="008E7183">
        <w:rPr>
          <w:sz w:val="22"/>
          <w:lang w:val="en-US"/>
        </w:rPr>
        <w:t xml:space="preserve">on a pilot scale, from pre-culture and cultivation through to cell separation and purification of active ingredients. This enables cultivation with bioreactors </w:t>
      </w:r>
      <w:r w:rsidR="00866E94" w:rsidRPr="008E7183">
        <w:rPr>
          <w:sz w:val="22"/>
          <w:lang w:val="en-US"/>
        </w:rPr>
        <w:t xml:space="preserve">of </w:t>
      </w:r>
      <w:r w:rsidRPr="008E7183">
        <w:rPr>
          <w:sz w:val="22"/>
          <w:lang w:val="en-US"/>
        </w:rPr>
        <w:t xml:space="preserve">up to 100 liters and efficient cell separation. </w:t>
      </w:r>
      <w:r w:rsidR="00220547" w:rsidRPr="008E7183">
        <w:rPr>
          <w:sz w:val="22"/>
          <w:lang w:val="en-US"/>
        </w:rPr>
        <w:t xml:space="preserve">The GEA </w:t>
      </w:r>
      <w:r w:rsidR="00220547" w:rsidRPr="008E7183">
        <w:rPr>
          <w:i/>
          <w:sz w:val="22"/>
          <w:lang w:val="en-US"/>
        </w:rPr>
        <w:t xml:space="preserve">Pathfinder </w:t>
      </w:r>
      <w:r w:rsidR="00220547" w:rsidRPr="008E7183">
        <w:rPr>
          <w:sz w:val="22"/>
          <w:lang w:val="en-US"/>
        </w:rPr>
        <w:t xml:space="preserve">is available in three drum sizes with a throughput capacity of 15 to 300 </w:t>
      </w:r>
      <w:r w:rsidR="00866E94" w:rsidRPr="008E7183">
        <w:rPr>
          <w:sz w:val="22"/>
          <w:lang w:val="en-US"/>
        </w:rPr>
        <w:t xml:space="preserve">liters per hour. </w:t>
      </w:r>
      <w:r w:rsidR="00220547" w:rsidRPr="008E7183">
        <w:rPr>
          <w:sz w:val="22"/>
          <w:lang w:val="en-US"/>
        </w:rPr>
        <w:t xml:space="preserve">It achieves a very high separation performance </w:t>
      </w:r>
      <w:r w:rsidR="0086190D" w:rsidRPr="008E7183">
        <w:rPr>
          <w:sz w:val="22"/>
          <w:lang w:val="en-US"/>
        </w:rPr>
        <w:t xml:space="preserve">thanks to </w:t>
      </w:r>
      <w:r w:rsidR="00220547" w:rsidRPr="008E7183">
        <w:rPr>
          <w:sz w:val="22"/>
          <w:lang w:val="en-US"/>
        </w:rPr>
        <w:t xml:space="preserve">up to 20,000-fold acceleration due to gravity </w:t>
      </w:r>
      <w:r w:rsidRPr="008E7183">
        <w:rPr>
          <w:sz w:val="22"/>
          <w:lang w:val="en-US"/>
        </w:rPr>
        <w:t xml:space="preserve">and can </w:t>
      </w:r>
      <w:r w:rsidR="00220547" w:rsidRPr="008E7183">
        <w:rPr>
          <w:sz w:val="22"/>
          <w:lang w:val="en-US"/>
        </w:rPr>
        <w:t xml:space="preserve">therefore </w:t>
      </w:r>
      <w:r w:rsidRPr="008E7183">
        <w:rPr>
          <w:sz w:val="22"/>
          <w:lang w:val="en-US"/>
        </w:rPr>
        <w:t xml:space="preserve">continuously separate even fine particles and cell fragments from </w:t>
      </w:r>
      <w:r w:rsidR="0086190D" w:rsidRPr="008E7183">
        <w:rPr>
          <w:sz w:val="22"/>
          <w:lang w:val="en-US"/>
        </w:rPr>
        <w:t>cultivation media</w:t>
      </w:r>
      <w:r w:rsidRPr="008E7183">
        <w:rPr>
          <w:sz w:val="22"/>
          <w:lang w:val="en-US"/>
        </w:rPr>
        <w:t xml:space="preserve">. </w:t>
      </w:r>
      <w:r w:rsidR="00A04373" w:rsidRPr="008E7183">
        <w:rPr>
          <w:sz w:val="22"/>
          <w:lang w:val="en-US"/>
        </w:rPr>
        <w:t xml:space="preserve">The separator is equipped with a </w:t>
      </w:r>
      <w:proofErr w:type="spellStart"/>
      <w:r w:rsidR="00A04373" w:rsidRPr="008E7183">
        <w:rPr>
          <w:sz w:val="22"/>
          <w:lang w:val="en-US"/>
        </w:rPr>
        <w:t>hydrohermetic</w:t>
      </w:r>
      <w:proofErr w:type="spellEnd"/>
      <w:r w:rsidR="00A04373" w:rsidRPr="008E7183">
        <w:rPr>
          <w:sz w:val="22"/>
          <w:lang w:val="en-US"/>
        </w:rPr>
        <w:t xml:space="preserve"> product </w:t>
      </w:r>
      <w:proofErr w:type="gramStart"/>
      <w:r w:rsidR="00A04373" w:rsidRPr="008E7183">
        <w:rPr>
          <w:sz w:val="22"/>
          <w:lang w:val="en-US"/>
        </w:rPr>
        <w:t>feed</w:t>
      </w:r>
      <w:proofErr w:type="gramEnd"/>
      <w:r w:rsidR="00A04373" w:rsidRPr="008E7183">
        <w:rPr>
          <w:sz w:val="22"/>
          <w:lang w:val="en-US"/>
        </w:rPr>
        <w:t xml:space="preserve"> and the gentle feed system prevents shear forces from acting on the product when it is fed into the </w:t>
      </w:r>
      <w:r w:rsidR="00FF5E40" w:rsidRPr="008E7183">
        <w:rPr>
          <w:sz w:val="22"/>
          <w:lang w:val="en-US"/>
        </w:rPr>
        <w:t>separator bowl</w:t>
      </w:r>
      <w:r w:rsidR="00A04373" w:rsidRPr="008E7183">
        <w:rPr>
          <w:sz w:val="22"/>
          <w:lang w:val="en-US"/>
        </w:rPr>
        <w:t xml:space="preserve">. </w:t>
      </w:r>
      <w:r w:rsidR="00866E94" w:rsidRPr="008E7183">
        <w:rPr>
          <w:sz w:val="22"/>
          <w:lang w:val="en-US"/>
        </w:rPr>
        <w:t xml:space="preserve">Thanks to its </w:t>
      </w:r>
      <w:r w:rsidR="0086190D" w:rsidRPr="008E7183">
        <w:rPr>
          <w:sz w:val="22"/>
          <w:lang w:val="en-US"/>
        </w:rPr>
        <w:t>self-cleaning bowl</w:t>
      </w:r>
      <w:r w:rsidR="00866E94" w:rsidRPr="008E7183">
        <w:rPr>
          <w:sz w:val="22"/>
          <w:lang w:val="en-US"/>
        </w:rPr>
        <w:t xml:space="preserve">, the unit </w:t>
      </w:r>
      <w:r w:rsidR="0086190D" w:rsidRPr="008E7183">
        <w:rPr>
          <w:sz w:val="22"/>
          <w:lang w:val="en-US"/>
        </w:rPr>
        <w:t xml:space="preserve">is suitable for fully automatic CIP. The GEA </w:t>
      </w:r>
      <w:r w:rsidR="0086190D" w:rsidRPr="008E7183">
        <w:rPr>
          <w:i/>
          <w:sz w:val="22"/>
          <w:lang w:val="en-US"/>
        </w:rPr>
        <w:t xml:space="preserve">Pathfinder </w:t>
      </w:r>
      <w:r w:rsidR="0086190D" w:rsidRPr="008E7183">
        <w:rPr>
          <w:sz w:val="22"/>
          <w:lang w:val="en-US"/>
        </w:rPr>
        <w:t xml:space="preserve">is also equipped with a package of </w:t>
      </w:r>
      <w:r w:rsidR="00866E94" w:rsidRPr="008E7183">
        <w:rPr>
          <w:sz w:val="22"/>
          <w:lang w:val="en-US"/>
        </w:rPr>
        <w:t xml:space="preserve">basic </w:t>
      </w:r>
      <w:r w:rsidR="00866E94" w:rsidRPr="008E7183">
        <w:rPr>
          <w:i/>
          <w:sz w:val="22"/>
          <w:lang w:val="en-US"/>
        </w:rPr>
        <w:t xml:space="preserve">Good Manufacturing Practice </w:t>
      </w:r>
      <w:r w:rsidR="00866E94" w:rsidRPr="008E7183">
        <w:rPr>
          <w:sz w:val="22"/>
          <w:lang w:val="en-US"/>
        </w:rPr>
        <w:t>(</w:t>
      </w:r>
      <w:r w:rsidR="0086190D" w:rsidRPr="008E7183">
        <w:rPr>
          <w:sz w:val="22"/>
          <w:lang w:val="en-US"/>
        </w:rPr>
        <w:t>GMP</w:t>
      </w:r>
      <w:r w:rsidR="00866E94" w:rsidRPr="008E7183">
        <w:rPr>
          <w:sz w:val="22"/>
          <w:lang w:val="en-US"/>
        </w:rPr>
        <w:t xml:space="preserve">) </w:t>
      </w:r>
      <w:r w:rsidR="0086190D" w:rsidRPr="008E7183">
        <w:rPr>
          <w:sz w:val="22"/>
          <w:lang w:val="en-US"/>
        </w:rPr>
        <w:t>certificates</w:t>
      </w:r>
      <w:r w:rsidR="00866E94" w:rsidRPr="008E7183">
        <w:rPr>
          <w:sz w:val="22"/>
          <w:lang w:val="en-US"/>
        </w:rPr>
        <w:t xml:space="preserve">. </w:t>
      </w:r>
      <w:r w:rsidR="0086190D" w:rsidRPr="008E7183">
        <w:rPr>
          <w:sz w:val="22"/>
          <w:lang w:val="en-US"/>
        </w:rPr>
        <w:t xml:space="preserve">This complete package </w:t>
      </w:r>
      <w:r w:rsidRPr="008E7183">
        <w:rPr>
          <w:sz w:val="22"/>
          <w:lang w:val="en-US"/>
        </w:rPr>
        <w:t xml:space="preserve">enables fast, scalable and reproducible process control, which is crucial for the development of </w:t>
      </w:r>
      <w:r w:rsidR="0086190D" w:rsidRPr="008E7183">
        <w:rPr>
          <w:sz w:val="22"/>
          <w:lang w:val="en-US"/>
        </w:rPr>
        <w:t xml:space="preserve">tomorrow's </w:t>
      </w:r>
      <w:r w:rsidR="00866E94" w:rsidRPr="008E7183">
        <w:rPr>
          <w:sz w:val="22"/>
          <w:lang w:val="en-US"/>
        </w:rPr>
        <w:t xml:space="preserve">biopharmaceutical </w:t>
      </w:r>
      <w:r w:rsidRPr="008E7183">
        <w:rPr>
          <w:sz w:val="22"/>
          <w:lang w:val="en-US"/>
        </w:rPr>
        <w:t>products.</w:t>
      </w:r>
    </w:p>
    <w:p w14:paraId="5CA232FB" w14:textId="77777777" w:rsidR="00A04373" w:rsidRPr="008E7183" w:rsidRDefault="000F6547" w:rsidP="0050436C">
      <w:pPr>
        <w:autoSpaceDE w:val="0"/>
        <w:autoSpaceDN w:val="0"/>
        <w:spacing w:after="120" w:line="276" w:lineRule="auto"/>
        <w:rPr>
          <w:b/>
          <w:bCs/>
          <w:color w:val="000000" w:themeColor="text1"/>
          <w:sz w:val="22"/>
          <w:lang w:val="en-US"/>
        </w:rPr>
      </w:pPr>
      <w:r w:rsidRPr="008E7183">
        <w:rPr>
          <w:b/>
          <w:bCs/>
          <w:color w:val="000000" w:themeColor="text1"/>
          <w:sz w:val="22"/>
          <w:lang w:val="en-US"/>
        </w:rPr>
        <w:t>Strategic cooperation with GEA - major industrial projects planned</w:t>
      </w:r>
    </w:p>
    <w:p w14:paraId="74F73901" w14:textId="17A2E3BB" w:rsidR="004A714A" w:rsidRPr="008E7183" w:rsidRDefault="00F01C33" w:rsidP="0050436C">
      <w:pPr>
        <w:spacing w:after="120" w:line="276" w:lineRule="auto"/>
        <w:jc w:val="both"/>
        <w:rPr>
          <w:sz w:val="22"/>
          <w:lang w:val="en-US"/>
        </w:rPr>
      </w:pPr>
      <w:r w:rsidRPr="008E7183">
        <w:rPr>
          <w:sz w:val="22"/>
          <w:lang w:val="en-US"/>
        </w:rPr>
        <w:t xml:space="preserve">In addition to </w:t>
      </w:r>
      <w:r w:rsidR="00A36702" w:rsidRPr="008E7183">
        <w:rPr>
          <w:sz w:val="22"/>
          <w:lang w:val="en-US"/>
        </w:rPr>
        <w:t xml:space="preserve">conducting basic </w:t>
      </w:r>
      <w:r w:rsidRPr="008E7183">
        <w:rPr>
          <w:sz w:val="22"/>
          <w:lang w:val="en-US"/>
        </w:rPr>
        <w:t xml:space="preserve">research projects, the use of the separator forms the basis for extended </w:t>
      </w:r>
      <w:r w:rsidR="00A36702" w:rsidRPr="008E7183">
        <w:rPr>
          <w:sz w:val="22"/>
          <w:lang w:val="en-US"/>
        </w:rPr>
        <w:t xml:space="preserve">applied </w:t>
      </w:r>
      <w:r w:rsidR="003259BD" w:rsidRPr="008E7183">
        <w:rPr>
          <w:sz w:val="22"/>
          <w:lang w:val="en-US"/>
        </w:rPr>
        <w:t xml:space="preserve">industrial </w:t>
      </w:r>
      <w:r w:rsidR="00A36702" w:rsidRPr="008E7183">
        <w:rPr>
          <w:sz w:val="22"/>
          <w:lang w:val="en-US"/>
        </w:rPr>
        <w:t>research and development collaborations</w:t>
      </w:r>
      <w:r w:rsidRPr="008E7183">
        <w:rPr>
          <w:sz w:val="22"/>
          <w:lang w:val="en-US"/>
        </w:rPr>
        <w:t>. As early as summer 2025</w:t>
      </w:r>
      <w:r w:rsidR="00414CFF" w:rsidRPr="008E7183">
        <w:rPr>
          <w:sz w:val="22"/>
          <w:lang w:val="en-US"/>
        </w:rPr>
        <w:t xml:space="preserve">, </w:t>
      </w:r>
      <w:r w:rsidRPr="008E7183">
        <w:rPr>
          <w:sz w:val="22"/>
          <w:lang w:val="en-US"/>
        </w:rPr>
        <w:t xml:space="preserve">two </w:t>
      </w:r>
      <w:r w:rsidR="00A36702" w:rsidRPr="008E7183">
        <w:rPr>
          <w:sz w:val="22"/>
          <w:lang w:val="en-US"/>
        </w:rPr>
        <w:t xml:space="preserve">industrial </w:t>
      </w:r>
      <w:r w:rsidR="000A266B" w:rsidRPr="008E7183">
        <w:rPr>
          <w:sz w:val="22"/>
          <w:lang w:val="en-US"/>
        </w:rPr>
        <w:t xml:space="preserve">projects </w:t>
      </w:r>
      <w:r w:rsidR="00220547" w:rsidRPr="008E7183">
        <w:rPr>
          <w:sz w:val="22"/>
          <w:lang w:val="en-US"/>
        </w:rPr>
        <w:t xml:space="preserve">led by </w:t>
      </w:r>
      <w:r w:rsidR="00A36702" w:rsidRPr="008E7183">
        <w:rPr>
          <w:sz w:val="22"/>
          <w:lang w:val="en-US"/>
        </w:rPr>
        <w:t xml:space="preserve">Prof. Rainer Krull and M. Sc. </w:t>
      </w:r>
      <w:r w:rsidR="00220547" w:rsidRPr="008E7183">
        <w:rPr>
          <w:sz w:val="22"/>
          <w:lang w:val="en-US"/>
        </w:rPr>
        <w:t xml:space="preserve">Jan-Angelus Meyer from the Institute of Bioprocess Engineering </w:t>
      </w:r>
      <w:r w:rsidR="00414CFF" w:rsidRPr="008E7183">
        <w:rPr>
          <w:sz w:val="22"/>
          <w:lang w:val="en-US"/>
        </w:rPr>
        <w:t>(</w:t>
      </w:r>
      <w:proofErr w:type="spellStart"/>
      <w:r w:rsidR="00414CFF" w:rsidRPr="008E7183">
        <w:rPr>
          <w:sz w:val="22"/>
          <w:lang w:val="en-US"/>
        </w:rPr>
        <w:t>ibvt</w:t>
      </w:r>
      <w:proofErr w:type="spellEnd"/>
      <w:r w:rsidR="00414CFF" w:rsidRPr="008E7183">
        <w:rPr>
          <w:sz w:val="22"/>
          <w:lang w:val="en-US"/>
        </w:rPr>
        <w:t xml:space="preserve">) </w:t>
      </w:r>
      <w:r w:rsidR="00A36702" w:rsidRPr="008E7183">
        <w:rPr>
          <w:sz w:val="22"/>
          <w:lang w:val="en-US"/>
        </w:rPr>
        <w:t xml:space="preserve">at TU Braunschweig </w:t>
      </w:r>
      <w:r w:rsidR="00414CFF" w:rsidRPr="008E7183">
        <w:rPr>
          <w:sz w:val="22"/>
          <w:lang w:val="en-US"/>
        </w:rPr>
        <w:t xml:space="preserve">will be carried out with the </w:t>
      </w:r>
      <w:r w:rsidR="00414CFF" w:rsidRPr="008E7183">
        <w:rPr>
          <w:i/>
          <w:sz w:val="22"/>
          <w:lang w:val="en-US"/>
        </w:rPr>
        <w:t>Pathfinder</w:t>
      </w:r>
      <w:r w:rsidRPr="008E7183">
        <w:rPr>
          <w:sz w:val="22"/>
          <w:lang w:val="en-US"/>
        </w:rPr>
        <w:t xml:space="preserve">, building on the new technical possibilities of the </w:t>
      </w:r>
      <w:proofErr w:type="spellStart"/>
      <w:r w:rsidRPr="008E7183">
        <w:rPr>
          <w:sz w:val="22"/>
          <w:lang w:val="en-US"/>
        </w:rPr>
        <w:t>Biotechnikum</w:t>
      </w:r>
      <w:proofErr w:type="spellEnd"/>
      <w:r w:rsidRPr="008E7183">
        <w:rPr>
          <w:sz w:val="22"/>
          <w:lang w:val="en-US"/>
        </w:rPr>
        <w:t xml:space="preserve">. </w:t>
      </w:r>
      <w:r w:rsidR="00414CFF" w:rsidRPr="008E7183">
        <w:rPr>
          <w:sz w:val="22"/>
          <w:lang w:val="en-US"/>
        </w:rPr>
        <w:t>"</w:t>
      </w:r>
      <w:r w:rsidRPr="008E7183">
        <w:rPr>
          <w:sz w:val="22"/>
          <w:lang w:val="en-US"/>
        </w:rPr>
        <w:t>In future, the PVZ will thus offer extended opportunities for collaboration with partners from the pharmaceutical and biotechnology industry in order to advance innovative and application-oriented research,</w:t>
      </w:r>
      <w:r w:rsidR="00414CFF" w:rsidRPr="008E7183">
        <w:rPr>
          <w:sz w:val="22"/>
          <w:lang w:val="en-US"/>
        </w:rPr>
        <w:t xml:space="preserve">" say the </w:t>
      </w:r>
      <w:proofErr w:type="spellStart"/>
      <w:r w:rsidR="00414CFF" w:rsidRPr="008E7183">
        <w:rPr>
          <w:sz w:val="22"/>
          <w:lang w:val="en-US"/>
        </w:rPr>
        <w:t>ibvt</w:t>
      </w:r>
      <w:proofErr w:type="spellEnd"/>
      <w:r w:rsidR="00414CFF" w:rsidRPr="008E7183">
        <w:rPr>
          <w:sz w:val="22"/>
          <w:lang w:val="en-US"/>
        </w:rPr>
        <w:t xml:space="preserve"> researchers</w:t>
      </w:r>
      <w:r w:rsidRPr="008E7183">
        <w:rPr>
          <w:sz w:val="22"/>
          <w:lang w:val="en-US"/>
        </w:rPr>
        <w:t>.</w:t>
      </w:r>
    </w:p>
    <w:p w14:paraId="426222CC" w14:textId="77777777" w:rsidR="0050436C" w:rsidRPr="008E7183" w:rsidRDefault="0050436C">
      <w:pPr>
        <w:spacing w:after="0" w:line="240" w:lineRule="auto"/>
        <w:rPr>
          <w:b/>
          <w:sz w:val="24"/>
          <w:lang w:val="en-US"/>
        </w:rPr>
      </w:pPr>
      <w:r w:rsidRPr="008E7183">
        <w:rPr>
          <w:b/>
          <w:sz w:val="24"/>
          <w:lang w:val="en-US"/>
        </w:rPr>
        <w:br w:type="page"/>
      </w:r>
    </w:p>
    <w:p w14:paraId="36A53D46" w14:textId="21AB4426" w:rsidR="00146214" w:rsidRDefault="00146214" w:rsidP="009167E4">
      <w:pPr>
        <w:spacing w:line="360" w:lineRule="auto"/>
        <w:jc w:val="both"/>
        <w:rPr>
          <w:b/>
          <w:sz w:val="24"/>
        </w:rPr>
      </w:pPr>
      <w:proofErr w:type="spellStart"/>
      <w:r w:rsidRPr="005F5E7C">
        <w:rPr>
          <w:b/>
          <w:sz w:val="24"/>
        </w:rPr>
        <w:lastRenderedPageBreak/>
        <w:t>Photos</w:t>
      </w:r>
      <w:proofErr w:type="spellEnd"/>
      <w:r w:rsidRPr="005F5E7C">
        <w:rPr>
          <w:b/>
          <w:sz w:val="24"/>
        </w:rPr>
        <w:t xml:space="preserve">: </w:t>
      </w:r>
    </w:p>
    <w:p w14:paraId="63535279" w14:textId="419DAA16" w:rsidR="009167E4" w:rsidRPr="008E7183" w:rsidRDefault="00146214" w:rsidP="00353D22">
      <w:pPr>
        <w:spacing w:line="360" w:lineRule="auto"/>
        <w:rPr>
          <w:sz w:val="22"/>
          <w:lang w:val="en-US"/>
        </w:rPr>
      </w:pPr>
      <w:r w:rsidRPr="008E7183">
        <w:rPr>
          <w:bCs/>
          <w:sz w:val="24"/>
          <w:lang w:val="en-US"/>
        </w:rPr>
        <w:t>Photo 1:</w:t>
      </w:r>
      <w:r w:rsidR="00590591" w:rsidRPr="008E7183">
        <w:rPr>
          <w:sz w:val="24"/>
          <w:lang w:val="en-US"/>
        </w:rPr>
        <w:br/>
      </w:r>
      <w:r w:rsidR="00590591" w:rsidRPr="00590591">
        <w:rPr>
          <w:noProof/>
          <w:sz w:val="22"/>
        </w:rPr>
        <w:drawing>
          <wp:inline distT="0" distB="0" distL="0" distR="0" wp14:anchorId="3D98BFDA" wp14:editId="18455D44">
            <wp:extent cx="3905250" cy="2800350"/>
            <wp:effectExtent l="0" t="0" r="0" b="0"/>
            <wp:docPr id="116" name="Grafik 26"/>
            <wp:cNvGraphicFramePr/>
            <a:graphic xmlns:a="http://schemas.openxmlformats.org/drawingml/2006/main">
              <a:graphicData uri="http://schemas.openxmlformats.org/drawingml/2006/picture">
                <pic:pic xmlns:pic="http://schemas.openxmlformats.org/drawingml/2006/picture">
                  <pic:nvPicPr>
                    <pic:cNvPr id="116" name="Grafik 26"/>
                    <pic:cNvPicPr/>
                  </pic:nvPicPr>
                  <pic:blipFill>
                    <a:blip r:embed="rId8"/>
                    <a:stretch/>
                  </pic:blipFill>
                  <pic:spPr>
                    <a:xfrm>
                      <a:off x="0" y="0"/>
                      <a:ext cx="3923966" cy="2813771"/>
                    </a:xfrm>
                    <a:prstGeom prst="rect">
                      <a:avLst/>
                    </a:prstGeom>
                    <a:ln w="0">
                      <a:noFill/>
                    </a:ln>
                  </pic:spPr>
                </pic:pic>
              </a:graphicData>
            </a:graphic>
          </wp:inline>
        </w:drawing>
      </w:r>
      <w:r w:rsidR="00590591" w:rsidRPr="008E7183">
        <w:rPr>
          <w:sz w:val="22"/>
          <w:lang w:val="en-US"/>
        </w:rPr>
        <w:br/>
        <w:t>GEA Pathfinder GMP</w:t>
      </w:r>
      <w:r w:rsidR="008E7183" w:rsidRPr="008E7183">
        <w:rPr>
          <w:sz w:val="22"/>
          <w:lang w:val="en-US"/>
        </w:rPr>
        <w:t xml:space="preserve"> (Pho</w:t>
      </w:r>
      <w:r w:rsidR="008E7183">
        <w:rPr>
          <w:sz w:val="22"/>
          <w:lang w:val="en-US"/>
        </w:rPr>
        <w:t>to: GEA)</w:t>
      </w:r>
    </w:p>
    <w:p w14:paraId="0E77D47E" w14:textId="7F1B5633" w:rsidR="002142B4" w:rsidRPr="008E7183" w:rsidRDefault="002142B4" w:rsidP="00353D22">
      <w:pPr>
        <w:spacing w:line="360" w:lineRule="auto"/>
        <w:rPr>
          <w:sz w:val="22"/>
          <w:lang w:val="en-US"/>
        </w:rPr>
      </w:pPr>
      <w:r w:rsidRPr="008E7183">
        <w:rPr>
          <w:sz w:val="22"/>
          <w:lang w:val="en-US"/>
        </w:rPr>
        <w:t xml:space="preserve">Photo 2: </w:t>
      </w:r>
    </w:p>
    <w:p w14:paraId="203A22CC" w14:textId="6D8D9C4E" w:rsidR="002142B4" w:rsidRPr="002142B4" w:rsidRDefault="002142B4" w:rsidP="002142B4">
      <w:pPr>
        <w:spacing w:line="360" w:lineRule="auto"/>
        <w:jc w:val="both"/>
        <w:rPr>
          <w:sz w:val="22"/>
        </w:rPr>
      </w:pPr>
      <w:r w:rsidRPr="002142B4">
        <w:rPr>
          <w:noProof/>
          <w:sz w:val="22"/>
        </w:rPr>
        <w:drawing>
          <wp:inline distT="0" distB="0" distL="0" distR="0" wp14:anchorId="7AA82902" wp14:editId="70D81FA8">
            <wp:extent cx="5162550" cy="3441887"/>
            <wp:effectExtent l="0" t="0" r="0" b="6350"/>
            <wp:docPr id="1708519931" name="Grafik 2" descr="Ein Bild, das Toaster,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19931" name="Grafik 2" descr="Ein Bild, das Toaster, Gerä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8286" cy="3465712"/>
                    </a:xfrm>
                    <a:prstGeom prst="rect">
                      <a:avLst/>
                    </a:prstGeom>
                    <a:noFill/>
                    <a:ln>
                      <a:noFill/>
                    </a:ln>
                  </pic:spPr>
                </pic:pic>
              </a:graphicData>
            </a:graphic>
          </wp:inline>
        </w:drawing>
      </w:r>
    </w:p>
    <w:p w14:paraId="64C5EC37" w14:textId="0845B88B" w:rsidR="002142B4" w:rsidRPr="008E7183" w:rsidRDefault="002142B4" w:rsidP="00B36007">
      <w:pPr>
        <w:pStyle w:val="BoilerplateBold"/>
        <w:rPr>
          <w:b w:val="0"/>
          <w:bCs/>
          <w:lang w:val="en-US"/>
        </w:rPr>
      </w:pPr>
      <w:r w:rsidRPr="008E7183">
        <w:rPr>
          <w:b w:val="0"/>
          <w:bCs/>
          <w:iCs/>
          <w:sz w:val="22"/>
          <w:lang w:val="en-US"/>
        </w:rPr>
        <w:t xml:space="preserve">PANDA PLUS </w:t>
      </w:r>
      <w:r w:rsidRPr="008E7183">
        <w:rPr>
          <w:b w:val="0"/>
          <w:bCs/>
          <w:sz w:val="22"/>
          <w:lang w:val="en-US"/>
        </w:rPr>
        <w:t>high-pressure homogenizer</w:t>
      </w:r>
      <w:r w:rsidR="008E7183" w:rsidRPr="008E7183">
        <w:rPr>
          <w:b w:val="0"/>
          <w:bCs/>
          <w:sz w:val="22"/>
          <w:lang w:val="en-US"/>
        </w:rPr>
        <w:t xml:space="preserve"> (Photo: GEA)</w:t>
      </w:r>
    </w:p>
    <w:p w14:paraId="67A977B4" w14:textId="77777777" w:rsidR="008E7183" w:rsidRDefault="008E7183" w:rsidP="00B36007">
      <w:pPr>
        <w:pStyle w:val="BoilerplateBold"/>
        <w:rPr>
          <w:lang w:val="en-US"/>
        </w:rPr>
      </w:pPr>
    </w:p>
    <w:p w14:paraId="35293EB1" w14:textId="77777777" w:rsidR="00596E27" w:rsidRDefault="00596E27" w:rsidP="00B36007">
      <w:pPr>
        <w:pStyle w:val="BoilerplateBold"/>
        <w:rPr>
          <w:lang w:val="en-US"/>
        </w:rPr>
      </w:pPr>
    </w:p>
    <w:p w14:paraId="387708BA" w14:textId="2D327700" w:rsidR="00596E27" w:rsidRDefault="00596E27" w:rsidP="00596E27">
      <w:pPr>
        <w:pStyle w:val="BoilerplateBold"/>
        <w:rPr>
          <w:b w:val="0"/>
          <w:bCs/>
          <w:iCs/>
          <w:sz w:val="22"/>
        </w:rPr>
      </w:pPr>
      <w:proofErr w:type="spellStart"/>
      <w:r>
        <w:rPr>
          <w:b w:val="0"/>
          <w:bCs/>
          <w:iCs/>
          <w:sz w:val="22"/>
        </w:rPr>
        <w:t>Ph</w:t>
      </w:r>
      <w:r>
        <w:rPr>
          <w:b w:val="0"/>
          <w:bCs/>
          <w:iCs/>
          <w:sz w:val="22"/>
        </w:rPr>
        <w:t>oto</w:t>
      </w:r>
      <w:proofErr w:type="spellEnd"/>
      <w:r>
        <w:rPr>
          <w:b w:val="0"/>
          <w:bCs/>
          <w:iCs/>
          <w:sz w:val="22"/>
        </w:rPr>
        <w:t xml:space="preserve"> 3:</w:t>
      </w:r>
    </w:p>
    <w:p w14:paraId="49968ADB" w14:textId="77777777" w:rsidR="00596E27" w:rsidRDefault="00596E27" w:rsidP="00596E27">
      <w:pPr>
        <w:pStyle w:val="BoilerplateBold"/>
        <w:rPr>
          <w:b w:val="0"/>
          <w:bCs/>
          <w:iCs/>
          <w:sz w:val="22"/>
        </w:rPr>
      </w:pPr>
    </w:p>
    <w:p w14:paraId="2F59D1BF" w14:textId="77777777" w:rsidR="00596E27" w:rsidRPr="00365F57" w:rsidRDefault="00596E27" w:rsidP="00596E27">
      <w:pPr>
        <w:pStyle w:val="BoilerplateBold"/>
        <w:rPr>
          <w:bCs/>
        </w:rPr>
      </w:pPr>
      <w:r w:rsidRPr="00365F57">
        <w:rPr>
          <w:bCs/>
        </w:rPr>
        <w:drawing>
          <wp:inline distT="0" distB="0" distL="0" distR="0" wp14:anchorId="5A79D45F" wp14:editId="58B45C86">
            <wp:extent cx="5831840" cy="3888105"/>
            <wp:effectExtent l="0" t="0" r="0" b="0"/>
            <wp:docPr id="142562326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1840" cy="3888105"/>
                    </a:xfrm>
                    <a:prstGeom prst="rect">
                      <a:avLst/>
                    </a:prstGeom>
                    <a:noFill/>
                    <a:ln>
                      <a:noFill/>
                    </a:ln>
                  </pic:spPr>
                </pic:pic>
              </a:graphicData>
            </a:graphic>
          </wp:inline>
        </w:drawing>
      </w:r>
    </w:p>
    <w:p w14:paraId="23D04C3A" w14:textId="77777777" w:rsidR="00596E27" w:rsidRDefault="00596E27" w:rsidP="00596E27">
      <w:pPr>
        <w:pStyle w:val="BoilerplateBold"/>
        <w:rPr>
          <w:b w:val="0"/>
          <w:bCs/>
        </w:rPr>
      </w:pPr>
    </w:p>
    <w:p w14:paraId="3DC21A5A" w14:textId="1061D76B" w:rsidR="00596E27" w:rsidRPr="00596E27" w:rsidRDefault="00596E27" w:rsidP="00596E27">
      <w:pPr>
        <w:pStyle w:val="BoilerplateBold"/>
        <w:rPr>
          <w:b w:val="0"/>
          <w:bCs/>
          <w:sz w:val="24"/>
          <w:szCs w:val="24"/>
          <w:lang w:val="en-US"/>
        </w:rPr>
      </w:pPr>
      <w:r w:rsidRPr="00596E27">
        <w:rPr>
          <w:b w:val="0"/>
          <w:bCs/>
          <w:sz w:val="24"/>
          <w:szCs w:val="24"/>
          <w:lang w:val="en-US"/>
        </w:rPr>
        <w:t>Photo 3, caption: The PVZ team, the Technical University of Braunschweig and GEA are pleased about the commissioning of the GEA technology at the PVZ Braunschweig</w:t>
      </w:r>
      <w:r>
        <w:rPr>
          <w:b w:val="0"/>
          <w:bCs/>
          <w:sz w:val="24"/>
          <w:szCs w:val="24"/>
          <w:lang w:val="en-US"/>
        </w:rPr>
        <w:t>, Germany</w:t>
      </w:r>
      <w:r w:rsidRPr="00596E27">
        <w:rPr>
          <w:b w:val="0"/>
          <w:bCs/>
          <w:sz w:val="24"/>
          <w:szCs w:val="24"/>
          <w:lang w:val="en-US"/>
        </w:rPr>
        <w:t>. (Photo: PVZ)</w:t>
      </w:r>
    </w:p>
    <w:p w14:paraId="40272303" w14:textId="77777777" w:rsidR="00596E27" w:rsidRPr="00596E27" w:rsidRDefault="00596E27" w:rsidP="00B36007">
      <w:pPr>
        <w:pStyle w:val="BoilerplateBold"/>
        <w:rPr>
          <w:lang w:val="en-US"/>
        </w:rPr>
      </w:pPr>
    </w:p>
    <w:p w14:paraId="2FDF1008" w14:textId="77777777" w:rsidR="008E7183" w:rsidRPr="00596E27" w:rsidRDefault="008E7183" w:rsidP="00B36007">
      <w:pPr>
        <w:pStyle w:val="BoilerplateBold"/>
        <w:rPr>
          <w:lang w:val="en-US"/>
        </w:rPr>
      </w:pPr>
    </w:p>
    <w:p w14:paraId="4111116A" w14:textId="6B622980" w:rsidR="00B36007" w:rsidRPr="008E7183" w:rsidRDefault="00B36007" w:rsidP="00B36007">
      <w:pPr>
        <w:pStyle w:val="BoilerplateBold"/>
        <w:rPr>
          <w:lang w:val="en-US"/>
        </w:rPr>
      </w:pPr>
      <w:r w:rsidRPr="008E7183">
        <w:rPr>
          <w:lang w:val="en-US"/>
        </w:rPr>
        <w:t>About GEA</w:t>
      </w:r>
    </w:p>
    <w:p w14:paraId="46D5DE8F" w14:textId="77777777" w:rsidR="00B36007" w:rsidRPr="008E7183" w:rsidRDefault="00B36007" w:rsidP="00B36007">
      <w:pPr>
        <w:pStyle w:val="Boilerplate"/>
        <w:rPr>
          <w:lang w:val="en-US"/>
        </w:rPr>
      </w:pPr>
      <w:r w:rsidRPr="008E7183">
        <w:rPr>
          <w:lang w:val="en-US"/>
        </w:rPr>
        <w:t xml:space="preserve">GEA is one of the world's largest system providers for the food, beverage and pharmaceutical industries.  Founded in 1881, the internationally active technology group focuses on machines and plants as well as sophisticated process technology, components and comprehensive services. For example, every second pharmaceutical separator for essential healthcare products such as vaccines or novel biopharmaceuticals is manufactured by GEA. In the food sector, every fourth packet of pasta or every third chicken nugget is processed with technology from GEA. With more than 18,000 employees, the Group generated sales of around EUR 5.4 billion in over 150 countries in the 2024 financial year. GEA's plants, processes and components improve the efficiency and sustainability of customers' production worldwide. They make a significant contribution to reducing CO2 emissions, the use of plastic and food waste. In this way, GEA is making a decisive contribution on the path to a sustainable future, in line with the company's mission statement: "Engineering for a better world". </w:t>
      </w:r>
    </w:p>
    <w:p w14:paraId="15C7DFA1" w14:textId="77777777" w:rsidR="00B36007" w:rsidRPr="008E7183" w:rsidRDefault="00B36007" w:rsidP="00B36007">
      <w:pPr>
        <w:pStyle w:val="Boilerplate"/>
        <w:rPr>
          <w:lang w:val="en-US"/>
        </w:rPr>
      </w:pPr>
    </w:p>
    <w:p w14:paraId="2FDAE880" w14:textId="77777777" w:rsidR="00B36007" w:rsidRPr="008E7183" w:rsidRDefault="00B36007" w:rsidP="00B36007">
      <w:pPr>
        <w:pStyle w:val="Boilerplate"/>
        <w:rPr>
          <w:lang w:val="en-US"/>
        </w:rPr>
      </w:pPr>
      <w:r w:rsidRPr="008E7183">
        <w:rPr>
          <w:lang w:val="en-US"/>
        </w:rPr>
        <w:t xml:space="preserve">GEA is listed on the German MDAX and the European STOXX® Europe 600 Index and is also included in the leading sustainability indices DAX 50 ESG, MSCI Global Sustainability and Dow Jones Best-in-Class World and Best-in-Class Europe. </w:t>
      </w:r>
    </w:p>
    <w:p w14:paraId="7C163523" w14:textId="77777777" w:rsidR="00B36007" w:rsidRPr="008E7183" w:rsidRDefault="00B36007" w:rsidP="00B36007">
      <w:pPr>
        <w:pStyle w:val="Boilerplate"/>
        <w:rPr>
          <w:lang w:val="en-US"/>
        </w:rPr>
      </w:pPr>
    </w:p>
    <w:p w14:paraId="7B017A38" w14:textId="77777777" w:rsidR="00B36007" w:rsidRPr="008E7183" w:rsidRDefault="00B36007" w:rsidP="00B36007">
      <w:pPr>
        <w:pStyle w:val="Boilerplate"/>
        <w:rPr>
          <w:lang w:val="en-US"/>
        </w:rPr>
      </w:pPr>
      <w:r w:rsidRPr="008E7183">
        <w:rPr>
          <w:lang w:val="en-US"/>
        </w:rPr>
        <w:t xml:space="preserve">Further information can be found on the Internet at </w:t>
      </w:r>
      <w:r w:rsidRPr="008E7183">
        <w:rPr>
          <w:b/>
          <w:color w:val="000000" w:themeColor="text1"/>
          <w:lang w:val="en-US"/>
        </w:rPr>
        <w:t>gea.com</w:t>
      </w:r>
      <w:r w:rsidRPr="008E7183">
        <w:rPr>
          <w:lang w:val="en-US"/>
        </w:rPr>
        <w:t>.</w:t>
      </w:r>
    </w:p>
    <w:p w14:paraId="02BAB5F3" w14:textId="77777777" w:rsidR="00B36007" w:rsidRPr="008E7183" w:rsidRDefault="00B36007" w:rsidP="00B36007">
      <w:pPr>
        <w:pStyle w:val="Boilerplate"/>
        <w:rPr>
          <w:lang w:val="en-US"/>
        </w:rPr>
      </w:pPr>
      <w:r w:rsidRPr="008E7183">
        <w:rPr>
          <w:lang w:val="en-US"/>
        </w:rPr>
        <w:t>If you do not wish to receive any further communications from GEA, please send an e-mail to pr@gea.com.</w:t>
      </w:r>
    </w:p>
    <w:p w14:paraId="4FE2EBA4" w14:textId="77777777" w:rsidR="00B36007" w:rsidRPr="008E7183" w:rsidRDefault="00B36007" w:rsidP="00B36007">
      <w:pPr>
        <w:pStyle w:val="BoilerplateBold"/>
        <w:rPr>
          <w:lang w:val="en-US"/>
        </w:rPr>
      </w:pPr>
    </w:p>
    <w:p w14:paraId="4F76CD8B" w14:textId="77777777" w:rsidR="00B36007" w:rsidRDefault="00B36007" w:rsidP="00B36007">
      <w:pPr>
        <w:pStyle w:val="Boilerplate"/>
        <w:rPr>
          <w:lang w:val="en-US"/>
        </w:rPr>
      </w:pPr>
    </w:p>
    <w:p w14:paraId="39F3C386" w14:textId="77777777" w:rsidR="00596E27" w:rsidRPr="008E7183" w:rsidRDefault="00596E27" w:rsidP="00B36007">
      <w:pPr>
        <w:pStyle w:val="Boilerplate"/>
        <w:rPr>
          <w:lang w:val="en-US"/>
        </w:rPr>
      </w:pPr>
    </w:p>
    <w:p w14:paraId="7B2469D5" w14:textId="68B037F9" w:rsidR="00146214" w:rsidRPr="0089157D" w:rsidRDefault="008E7183" w:rsidP="00146214">
      <w:pPr>
        <w:pStyle w:val="BoilerplateBold"/>
        <w:rPr>
          <w:lang w:val="es-ES"/>
        </w:rPr>
      </w:pPr>
      <w:r w:rsidRPr="0089157D">
        <w:rPr>
          <w:lang w:val="es-ES"/>
        </w:rPr>
        <w:t xml:space="preserve">GEA </w:t>
      </w:r>
      <w:r w:rsidR="00146214" w:rsidRPr="0089157D">
        <w:rPr>
          <w:lang w:val="es-ES"/>
        </w:rPr>
        <w:t>Media Relations</w:t>
      </w:r>
    </w:p>
    <w:p w14:paraId="3EFD063E" w14:textId="77777777" w:rsidR="00146214" w:rsidRPr="0089157D" w:rsidRDefault="00146214" w:rsidP="00146214">
      <w:pPr>
        <w:pStyle w:val="BoilerplateBold"/>
        <w:rPr>
          <w:color w:val="auto"/>
          <w:lang w:val="es-ES"/>
        </w:rPr>
      </w:pPr>
      <w:r w:rsidRPr="0089157D">
        <w:rPr>
          <w:color w:val="auto"/>
          <w:lang w:val="es-ES"/>
        </w:rPr>
        <w:t>Dr. Michael Golek</w:t>
      </w:r>
    </w:p>
    <w:p w14:paraId="0BE547BA" w14:textId="77777777" w:rsidR="00146214" w:rsidRPr="005F5E7C" w:rsidRDefault="00146214" w:rsidP="00146214">
      <w:pPr>
        <w:pStyle w:val="BoilerplateBold"/>
        <w:rPr>
          <w:color w:val="auto"/>
        </w:rPr>
      </w:pPr>
      <w:r w:rsidRPr="005F5E7C">
        <w:rPr>
          <w:color w:val="auto"/>
        </w:rPr>
        <w:t>Peter-Müller-Str. 12, 40468 Düsseldorf</w:t>
      </w:r>
    </w:p>
    <w:p w14:paraId="75FD5DD1" w14:textId="77777777" w:rsidR="00146214" w:rsidRPr="008E7183" w:rsidRDefault="00146214" w:rsidP="00146214">
      <w:pPr>
        <w:pStyle w:val="BoilerplateBold"/>
        <w:rPr>
          <w:color w:val="auto"/>
        </w:rPr>
      </w:pPr>
      <w:r w:rsidRPr="008E7183">
        <w:rPr>
          <w:color w:val="auto"/>
        </w:rPr>
        <w:t>Phone +49 211 91361505</w:t>
      </w:r>
    </w:p>
    <w:p w14:paraId="1405246C" w14:textId="77777777" w:rsidR="00146214" w:rsidRPr="008E7183" w:rsidRDefault="00146214" w:rsidP="00146214">
      <w:pPr>
        <w:pStyle w:val="BoilerplateBold"/>
        <w:rPr>
          <w:color w:val="auto"/>
        </w:rPr>
      </w:pPr>
      <w:r w:rsidRPr="008E7183">
        <w:rPr>
          <w:color w:val="auto"/>
        </w:rPr>
        <w:t>Tel. +491736205746</w:t>
      </w:r>
    </w:p>
    <w:p w14:paraId="043A369B" w14:textId="053816F5" w:rsidR="00B36007" w:rsidRPr="00F01C33" w:rsidRDefault="00146214" w:rsidP="005F5E7C">
      <w:pPr>
        <w:pStyle w:val="BoilerplateBold"/>
        <w:rPr>
          <w:sz w:val="22"/>
        </w:rPr>
      </w:pPr>
      <w:hyperlink r:id="rId11" w:history="1">
        <w:r w:rsidRPr="008E7183">
          <w:rPr>
            <w:rStyle w:val="Hyperlink"/>
            <w:color w:val="auto"/>
            <w:u w:val="none"/>
          </w:rPr>
          <w:t>michael.golek@gea.com</w:t>
        </w:r>
      </w:hyperlink>
    </w:p>
    <w:sectPr w:rsidR="00B36007" w:rsidRPr="00F01C33">
      <w:footerReference w:type="default" r:id="rId12"/>
      <w:headerReference w:type="first" r:id="rId13"/>
      <w:type w:val="continuous"/>
      <w:pgSz w:w="11906" w:h="16838" w:code="9"/>
      <w:pgMar w:top="1837" w:right="1361" w:bottom="1438"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3EE2" w14:textId="77777777" w:rsidR="00296DEA" w:rsidRDefault="00296DEA">
      <w:r>
        <w:separator/>
      </w:r>
    </w:p>
  </w:endnote>
  <w:endnote w:type="continuationSeparator" w:id="0">
    <w:p w14:paraId="233D5553" w14:textId="77777777" w:rsidR="00296DEA" w:rsidRDefault="0029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CAE7" w14:textId="4E5E6ECF" w:rsidR="007D0F34" w:rsidRDefault="007D0F34">
    <w:pPr>
      <w:pStyle w:val="StandardohneLeerzeile"/>
      <w:framePr w:w="4815" w:h="361" w:hSpace="141" w:wrap="around" w:vAnchor="page" w:hAnchor="page" w:x="1369" w:y="15601"/>
      <w:rPr>
        <w:noProof/>
      </w:rPr>
    </w:pPr>
    <w:r>
      <w:rPr>
        <w:noProof/>
      </w:rPr>
      <w:fldChar w:fldCharType="begin"/>
    </w:r>
    <w:r>
      <w:rPr>
        <w:noProof/>
      </w:rPr>
      <w:instrText xml:space="preserve"> IF  &gt; 1 "Seite  von  </w:instrText>
    </w:r>
    <w:r>
      <w:rPr>
        <w:noProof/>
      </w:rPr>
      <w:fldChar w:fldCharType="separate"/>
    </w:r>
    <w:r w:rsidR="00AA75E7">
      <w:rPr>
        <w:noProof/>
      </w:rPr>
      <w:t xml:space="preserve">Page 3 of 4 </w:t>
    </w:r>
    <w:r>
      <w:rPr>
        <w:noProof/>
      </w:rPr>
      <w:fldChar w:fldCharType="end"/>
    </w:r>
  </w:p>
  <w:p w14:paraId="1207C874" w14:textId="77777777" w:rsidR="007D0F34" w:rsidRDefault="007D0F34">
    <w:pPr>
      <w:pStyle w:val="StandardohneLeer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C839" w14:textId="77777777" w:rsidR="00296DEA" w:rsidRDefault="00296DEA">
      <w:r>
        <w:separator/>
      </w:r>
    </w:p>
  </w:footnote>
  <w:footnote w:type="continuationSeparator" w:id="0">
    <w:p w14:paraId="73C26ABF" w14:textId="77777777" w:rsidR="00296DEA" w:rsidRDefault="0029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37" w:type="dxa"/>
      <w:tblCellMar>
        <w:left w:w="0" w:type="dxa"/>
        <w:right w:w="0" w:type="dxa"/>
      </w:tblCellMar>
      <w:tblLook w:val="0000" w:firstRow="0" w:lastRow="0" w:firstColumn="0" w:lastColumn="0" w:noHBand="0" w:noVBand="0"/>
    </w:tblPr>
    <w:tblGrid>
      <w:gridCol w:w="6237"/>
    </w:tblGrid>
    <w:tr w:rsidR="007D0F34" w14:paraId="6B7DAD8C" w14:textId="77777777">
      <w:trPr>
        <w:trHeight w:hRule="exact" w:val="1247"/>
      </w:trPr>
      <w:tc>
        <w:tcPr>
          <w:tcW w:w="6237" w:type="dxa"/>
          <w:vAlign w:val="center"/>
        </w:tcPr>
        <w:p w14:paraId="09F73374" w14:textId="7DB9FD41" w:rsidR="007D0F34" w:rsidRPr="0093197B" w:rsidRDefault="00670EDF">
          <w:pPr>
            <w:pStyle w:val="InstitutKopfzeile"/>
            <w:framePr w:w="6237" w:h="1247" w:hSpace="142" w:wrap="around" w:vAnchor="page" w:hAnchor="page" w:x="5217" w:y="455"/>
            <w:jc w:val="right"/>
          </w:pPr>
          <w:r>
            <w:rPr>
              <w:noProof/>
            </w:rPr>
            <w:drawing>
              <wp:inline distT="0" distB="0" distL="0" distR="0" wp14:anchorId="08FE2F4F" wp14:editId="71A262EC">
                <wp:extent cx="1507490" cy="7537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8035"/>
                        <a:stretch>
                          <a:fillRect/>
                        </a:stretch>
                      </pic:blipFill>
                      <pic:spPr bwMode="auto">
                        <a:xfrm>
                          <a:off x="0" y="0"/>
                          <a:ext cx="1507490" cy="753745"/>
                        </a:xfrm>
                        <a:prstGeom prst="rect">
                          <a:avLst/>
                        </a:prstGeom>
                        <a:noFill/>
                        <a:ln>
                          <a:noFill/>
                        </a:ln>
                        <a:effectLst/>
                      </pic:spPr>
                    </pic:pic>
                  </a:graphicData>
                </a:graphic>
              </wp:inline>
            </w:drawing>
          </w:r>
        </w:p>
      </w:tc>
    </w:tr>
  </w:tbl>
  <w:p w14:paraId="79958882" w14:textId="77777777" w:rsidR="007D0F34" w:rsidRDefault="007D0F34">
    <w:pPr>
      <w:framePr w:w="695" w:h="3247" w:hSpace="142" w:wrap="notBeside" w:vAnchor="page" w:hAnchor="margin" w:x="568" w:yAlign="top"/>
      <w:spacing w:after="0" w:line="240" w:lineRule="auto"/>
      <w:rPr>
        <w:sz w:val="2"/>
      </w:rPr>
    </w:pPr>
  </w:p>
  <w:p w14:paraId="78A2DF14" w14:textId="4280FD1C" w:rsidR="007D0F34" w:rsidRDefault="00670EDF">
    <w:pPr>
      <w:pStyle w:val="Fensterzeile"/>
    </w:pPr>
    <w:r>
      <w:rPr>
        <w:sz w:val="20"/>
      </w:rPr>
      <w:drawing>
        <wp:anchor distT="0" distB="0" distL="114300" distR="114300" simplePos="0" relativeHeight="251657216" behindDoc="1" locked="0" layoutInCell="1" allowOverlap="1" wp14:anchorId="1A699CF4" wp14:editId="7CD2EAA7">
          <wp:simplePos x="0" y="0"/>
          <wp:positionH relativeFrom="page">
            <wp:posOffset>288290</wp:posOffset>
          </wp:positionH>
          <wp:positionV relativeFrom="page">
            <wp:posOffset>3780790</wp:posOffset>
          </wp:positionV>
          <wp:extent cx="254635" cy="1593215"/>
          <wp:effectExtent l="0" t="0" r="0" b="0"/>
          <wp:wrapNone/>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3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60B6F968" wp14:editId="59640F21">
          <wp:simplePos x="0" y="0"/>
          <wp:positionH relativeFrom="page">
            <wp:align>left</wp:align>
          </wp:positionH>
          <wp:positionV relativeFrom="page">
            <wp:align>top</wp:align>
          </wp:positionV>
          <wp:extent cx="7562215" cy="1710055"/>
          <wp:effectExtent l="0" t="0" r="0" b="0"/>
          <wp:wrapNone/>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num w:numId="1" w16cid:durableId="331106341">
    <w:abstractNumId w:val="9"/>
  </w:num>
  <w:num w:numId="2" w16cid:durableId="1439527859">
    <w:abstractNumId w:val="7"/>
  </w:num>
  <w:num w:numId="3" w16cid:durableId="739862641">
    <w:abstractNumId w:val="6"/>
  </w:num>
  <w:num w:numId="4" w16cid:durableId="1740596722">
    <w:abstractNumId w:val="5"/>
  </w:num>
  <w:num w:numId="5" w16cid:durableId="349843768">
    <w:abstractNumId w:val="4"/>
  </w:num>
  <w:num w:numId="6" w16cid:durableId="575631916">
    <w:abstractNumId w:val="8"/>
  </w:num>
  <w:num w:numId="7" w16cid:durableId="392386137">
    <w:abstractNumId w:val="3"/>
  </w:num>
  <w:num w:numId="8" w16cid:durableId="369182225">
    <w:abstractNumId w:val="2"/>
  </w:num>
  <w:num w:numId="9" w16cid:durableId="1551070184">
    <w:abstractNumId w:val="1"/>
  </w:num>
  <w:num w:numId="10" w16cid:durableId="62685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youtGrid.Customer" w:val="TU Braunschweig"/>
    <w:docVar w:name="LayoutGrid.Type" w:val="Brief folgeseite.ini"/>
  </w:docVars>
  <w:rsids>
    <w:rsidRoot w:val="00FF5A9D"/>
    <w:rsid w:val="00003583"/>
    <w:rsid w:val="000132B2"/>
    <w:rsid w:val="00025412"/>
    <w:rsid w:val="00034DFE"/>
    <w:rsid w:val="00036D42"/>
    <w:rsid w:val="00051305"/>
    <w:rsid w:val="000723FE"/>
    <w:rsid w:val="000725C2"/>
    <w:rsid w:val="00072AC2"/>
    <w:rsid w:val="0008395B"/>
    <w:rsid w:val="00092AC9"/>
    <w:rsid w:val="000A17DA"/>
    <w:rsid w:val="000A266B"/>
    <w:rsid w:val="000C7C03"/>
    <w:rsid w:val="000D55EA"/>
    <w:rsid w:val="000E76A0"/>
    <w:rsid w:val="000E77DE"/>
    <w:rsid w:val="000F5685"/>
    <w:rsid w:val="000F6547"/>
    <w:rsid w:val="0012786C"/>
    <w:rsid w:val="0013303C"/>
    <w:rsid w:val="00146214"/>
    <w:rsid w:val="001A4BD8"/>
    <w:rsid w:val="001E2EA2"/>
    <w:rsid w:val="001F21A5"/>
    <w:rsid w:val="001F273F"/>
    <w:rsid w:val="00204718"/>
    <w:rsid w:val="0021142A"/>
    <w:rsid w:val="00211E71"/>
    <w:rsid w:val="002142B4"/>
    <w:rsid w:val="00220547"/>
    <w:rsid w:val="002215F5"/>
    <w:rsid w:val="00222C25"/>
    <w:rsid w:val="0022366B"/>
    <w:rsid w:val="00224E74"/>
    <w:rsid w:val="00231491"/>
    <w:rsid w:val="00233C21"/>
    <w:rsid w:val="002353E5"/>
    <w:rsid w:val="00237679"/>
    <w:rsid w:val="00260389"/>
    <w:rsid w:val="00261D68"/>
    <w:rsid w:val="002702AA"/>
    <w:rsid w:val="00290FF0"/>
    <w:rsid w:val="00291A31"/>
    <w:rsid w:val="0029261A"/>
    <w:rsid w:val="002940AD"/>
    <w:rsid w:val="00296DEA"/>
    <w:rsid w:val="002A02E5"/>
    <w:rsid w:val="002B25CE"/>
    <w:rsid w:val="002B4C40"/>
    <w:rsid w:val="002C1B18"/>
    <w:rsid w:val="002D0BC2"/>
    <w:rsid w:val="002E3436"/>
    <w:rsid w:val="002F50E5"/>
    <w:rsid w:val="0031295E"/>
    <w:rsid w:val="003228E6"/>
    <w:rsid w:val="003259BD"/>
    <w:rsid w:val="00331593"/>
    <w:rsid w:val="0033745D"/>
    <w:rsid w:val="00351AD7"/>
    <w:rsid w:val="00353D22"/>
    <w:rsid w:val="00357561"/>
    <w:rsid w:val="00371B01"/>
    <w:rsid w:val="00382589"/>
    <w:rsid w:val="00382B01"/>
    <w:rsid w:val="00383E36"/>
    <w:rsid w:val="003924B6"/>
    <w:rsid w:val="0039382F"/>
    <w:rsid w:val="003A1E80"/>
    <w:rsid w:val="003C225B"/>
    <w:rsid w:val="003D53FE"/>
    <w:rsid w:val="003D7711"/>
    <w:rsid w:val="003E18DA"/>
    <w:rsid w:val="003E553F"/>
    <w:rsid w:val="003F266D"/>
    <w:rsid w:val="004102C6"/>
    <w:rsid w:val="00414CFF"/>
    <w:rsid w:val="0042403A"/>
    <w:rsid w:val="00440957"/>
    <w:rsid w:val="00443BEA"/>
    <w:rsid w:val="004509D0"/>
    <w:rsid w:val="00462A12"/>
    <w:rsid w:val="004640AB"/>
    <w:rsid w:val="0048473F"/>
    <w:rsid w:val="00496FBB"/>
    <w:rsid w:val="004A714A"/>
    <w:rsid w:val="004B764D"/>
    <w:rsid w:val="004C0079"/>
    <w:rsid w:val="004C522E"/>
    <w:rsid w:val="004E66F8"/>
    <w:rsid w:val="00500D1A"/>
    <w:rsid w:val="0050436C"/>
    <w:rsid w:val="0051251F"/>
    <w:rsid w:val="0051347B"/>
    <w:rsid w:val="00520757"/>
    <w:rsid w:val="005216AE"/>
    <w:rsid w:val="00524ADB"/>
    <w:rsid w:val="0055058B"/>
    <w:rsid w:val="00590591"/>
    <w:rsid w:val="00593AE7"/>
    <w:rsid w:val="00593B48"/>
    <w:rsid w:val="00596E27"/>
    <w:rsid w:val="005A017C"/>
    <w:rsid w:val="005A3B1C"/>
    <w:rsid w:val="005B43B0"/>
    <w:rsid w:val="005B5E48"/>
    <w:rsid w:val="005D063E"/>
    <w:rsid w:val="005E144F"/>
    <w:rsid w:val="005E6760"/>
    <w:rsid w:val="005F5E7C"/>
    <w:rsid w:val="005F6B47"/>
    <w:rsid w:val="00603038"/>
    <w:rsid w:val="006063C6"/>
    <w:rsid w:val="00606BCC"/>
    <w:rsid w:val="00615F2C"/>
    <w:rsid w:val="00636171"/>
    <w:rsid w:val="00643C0C"/>
    <w:rsid w:val="00650F96"/>
    <w:rsid w:val="00670EDF"/>
    <w:rsid w:val="00676C49"/>
    <w:rsid w:val="00693E5C"/>
    <w:rsid w:val="006A0B7B"/>
    <w:rsid w:val="006B7571"/>
    <w:rsid w:val="006C3541"/>
    <w:rsid w:val="006C52D1"/>
    <w:rsid w:val="006D1823"/>
    <w:rsid w:val="006D4374"/>
    <w:rsid w:val="006D4D1C"/>
    <w:rsid w:val="006D505B"/>
    <w:rsid w:val="006D5323"/>
    <w:rsid w:val="006D5BDC"/>
    <w:rsid w:val="006F45B5"/>
    <w:rsid w:val="006F7913"/>
    <w:rsid w:val="00701B70"/>
    <w:rsid w:val="0071484A"/>
    <w:rsid w:val="00715F88"/>
    <w:rsid w:val="0071734E"/>
    <w:rsid w:val="00720579"/>
    <w:rsid w:val="00721942"/>
    <w:rsid w:val="0073303B"/>
    <w:rsid w:val="0074776D"/>
    <w:rsid w:val="007536CD"/>
    <w:rsid w:val="00755BDE"/>
    <w:rsid w:val="00765DC2"/>
    <w:rsid w:val="007751B3"/>
    <w:rsid w:val="00781714"/>
    <w:rsid w:val="00786D56"/>
    <w:rsid w:val="007907B2"/>
    <w:rsid w:val="007961EC"/>
    <w:rsid w:val="007B29D6"/>
    <w:rsid w:val="007C2779"/>
    <w:rsid w:val="007D0F34"/>
    <w:rsid w:val="007D5E71"/>
    <w:rsid w:val="007E5BE4"/>
    <w:rsid w:val="007F62F4"/>
    <w:rsid w:val="008061C6"/>
    <w:rsid w:val="008175D3"/>
    <w:rsid w:val="0086190D"/>
    <w:rsid w:val="00866E94"/>
    <w:rsid w:val="008770CB"/>
    <w:rsid w:val="00890273"/>
    <w:rsid w:val="0089157D"/>
    <w:rsid w:val="00891BD2"/>
    <w:rsid w:val="00896226"/>
    <w:rsid w:val="008D10AB"/>
    <w:rsid w:val="008D6D47"/>
    <w:rsid w:val="008E3A4B"/>
    <w:rsid w:val="008E7183"/>
    <w:rsid w:val="008F1FFA"/>
    <w:rsid w:val="00913D3E"/>
    <w:rsid w:val="009167E4"/>
    <w:rsid w:val="00925560"/>
    <w:rsid w:val="0093197B"/>
    <w:rsid w:val="00951250"/>
    <w:rsid w:val="00966283"/>
    <w:rsid w:val="00966E55"/>
    <w:rsid w:val="00974C07"/>
    <w:rsid w:val="00990618"/>
    <w:rsid w:val="00994F66"/>
    <w:rsid w:val="009A51E1"/>
    <w:rsid w:val="009A652A"/>
    <w:rsid w:val="009D31AB"/>
    <w:rsid w:val="009D489F"/>
    <w:rsid w:val="009D5902"/>
    <w:rsid w:val="009E30B1"/>
    <w:rsid w:val="009E3402"/>
    <w:rsid w:val="009F2D39"/>
    <w:rsid w:val="00A04373"/>
    <w:rsid w:val="00A06D88"/>
    <w:rsid w:val="00A12B09"/>
    <w:rsid w:val="00A270B0"/>
    <w:rsid w:val="00A335D8"/>
    <w:rsid w:val="00A33B99"/>
    <w:rsid w:val="00A36702"/>
    <w:rsid w:val="00A41129"/>
    <w:rsid w:val="00A41A32"/>
    <w:rsid w:val="00A4234A"/>
    <w:rsid w:val="00A46FA0"/>
    <w:rsid w:val="00A6245B"/>
    <w:rsid w:val="00A90902"/>
    <w:rsid w:val="00A95767"/>
    <w:rsid w:val="00AA1D37"/>
    <w:rsid w:val="00AA303A"/>
    <w:rsid w:val="00AA5BF8"/>
    <w:rsid w:val="00AA75E7"/>
    <w:rsid w:val="00AB10ED"/>
    <w:rsid w:val="00AB603D"/>
    <w:rsid w:val="00AB77DF"/>
    <w:rsid w:val="00AC04E0"/>
    <w:rsid w:val="00AD5FCD"/>
    <w:rsid w:val="00AD6813"/>
    <w:rsid w:val="00AD7B48"/>
    <w:rsid w:val="00B22F89"/>
    <w:rsid w:val="00B23063"/>
    <w:rsid w:val="00B3455D"/>
    <w:rsid w:val="00B34E9E"/>
    <w:rsid w:val="00B36007"/>
    <w:rsid w:val="00B45ECB"/>
    <w:rsid w:val="00B51699"/>
    <w:rsid w:val="00B60439"/>
    <w:rsid w:val="00B644E1"/>
    <w:rsid w:val="00B7541B"/>
    <w:rsid w:val="00B756B1"/>
    <w:rsid w:val="00B76F01"/>
    <w:rsid w:val="00B93EBD"/>
    <w:rsid w:val="00BA050B"/>
    <w:rsid w:val="00BD2926"/>
    <w:rsid w:val="00BD471D"/>
    <w:rsid w:val="00BE2802"/>
    <w:rsid w:val="00BF5F8B"/>
    <w:rsid w:val="00C074A3"/>
    <w:rsid w:val="00C07E0A"/>
    <w:rsid w:val="00C136E2"/>
    <w:rsid w:val="00C160D7"/>
    <w:rsid w:val="00C33326"/>
    <w:rsid w:val="00C45A4E"/>
    <w:rsid w:val="00C60BE0"/>
    <w:rsid w:val="00C8450F"/>
    <w:rsid w:val="00CA027C"/>
    <w:rsid w:val="00CC413A"/>
    <w:rsid w:val="00CC5682"/>
    <w:rsid w:val="00CD286A"/>
    <w:rsid w:val="00CF39A6"/>
    <w:rsid w:val="00D02F07"/>
    <w:rsid w:val="00D066BC"/>
    <w:rsid w:val="00D264F7"/>
    <w:rsid w:val="00D33B8A"/>
    <w:rsid w:val="00D472ED"/>
    <w:rsid w:val="00D60961"/>
    <w:rsid w:val="00D630E4"/>
    <w:rsid w:val="00D65B96"/>
    <w:rsid w:val="00D86042"/>
    <w:rsid w:val="00D86946"/>
    <w:rsid w:val="00D95992"/>
    <w:rsid w:val="00DA2A0F"/>
    <w:rsid w:val="00DD6CBA"/>
    <w:rsid w:val="00DE7AC3"/>
    <w:rsid w:val="00DF3C74"/>
    <w:rsid w:val="00DF7009"/>
    <w:rsid w:val="00E12557"/>
    <w:rsid w:val="00E17AF2"/>
    <w:rsid w:val="00E244D7"/>
    <w:rsid w:val="00E30AF3"/>
    <w:rsid w:val="00E54C09"/>
    <w:rsid w:val="00E60594"/>
    <w:rsid w:val="00E6060E"/>
    <w:rsid w:val="00E60A87"/>
    <w:rsid w:val="00E668BC"/>
    <w:rsid w:val="00E729CD"/>
    <w:rsid w:val="00E8238A"/>
    <w:rsid w:val="00E910FF"/>
    <w:rsid w:val="00EA636A"/>
    <w:rsid w:val="00EB2416"/>
    <w:rsid w:val="00EB6221"/>
    <w:rsid w:val="00EB7D3B"/>
    <w:rsid w:val="00ED0859"/>
    <w:rsid w:val="00ED3A4B"/>
    <w:rsid w:val="00ED57B5"/>
    <w:rsid w:val="00ED6375"/>
    <w:rsid w:val="00ED668D"/>
    <w:rsid w:val="00EE10E4"/>
    <w:rsid w:val="00EE2479"/>
    <w:rsid w:val="00EF7EB4"/>
    <w:rsid w:val="00F019F8"/>
    <w:rsid w:val="00F01C33"/>
    <w:rsid w:val="00F01F21"/>
    <w:rsid w:val="00F1042F"/>
    <w:rsid w:val="00F13D7E"/>
    <w:rsid w:val="00F17C2D"/>
    <w:rsid w:val="00F35424"/>
    <w:rsid w:val="00F35A96"/>
    <w:rsid w:val="00F368C8"/>
    <w:rsid w:val="00F36FF1"/>
    <w:rsid w:val="00F73AA0"/>
    <w:rsid w:val="00F83AA8"/>
    <w:rsid w:val="00FA440B"/>
    <w:rsid w:val="00FC6911"/>
    <w:rsid w:val="00FD000B"/>
    <w:rsid w:val="00FE7830"/>
    <w:rsid w:val="00FF10D5"/>
    <w:rsid w:val="00FF5A9D"/>
    <w:rsid w:val="00FF5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3A84DE"/>
  <w15:chartTrackingRefBased/>
  <w15:docId w15:val="{C59E0B58-0623-42C4-B869-99176638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table" w:styleId="Tabellenraster">
    <w:name w:val="Table Grid"/>
    <w:basedOn w:val="NormaleTabelle"/>
    <w:rsid w:val="009319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A96"/>
    <w:rPr>
      <w:color w:val="0000FF"/>
      <w:u w:val="single"/>
    </w:rPr>
  </w:style>
  <w:style w:type="paragraph" w:styleId="Zitat">
    <w:name w:val="Quote"/>
    <w:basedOn w:val="Standard"/>
    <w:next w:val="Standard"/>
    <w:link w:val="ZitatZchn"/>
    <w:uiPriority w:val="29"/>
    <w:qFormat/>
    <w:rsid w:val="00F019F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019F8"/>
    <w:rPr>
      <w:rFonts w:ascii="Arial" w:hAnsi="Arial"/>
      <w:i/>
      <w:iCs/>
      <w:color w:val="404040" w:themeColor="text1" w:themeTint="BF"/>
      <w:kern w:val="16"/>
      <w:szCs w:val="24"/>
    </w:rPr>
  </w:style>
  <w:style w:type="paragraph" w:styleId="StandardWeb">
    <w:name w:val="Normal (Web)"/>
    <w:basedOn w:val="Standard"/>
    <w:uiPriority w:val="99"/>
    <w:unhideWhenUsed/>
    <w:rsid w:val="00F01C33"/>
    <w:pPr>
      <w:spacing w:before="100" w:beforeAutospacing="1" w:after="100" w:afterAutospacing="1" w:line="240" w:lineRule="auto"/>
    </w:pPr>
    <w:rPr>
      <w:rFonts w:ascii="Times New Roman" w:hAnsi="Times New Roman"/>
      <w:kern w:val="0"/>
      <w:sz w:val="24"/>
    </w:rPr>
  </w:style>
  <w:style w:type="character" w:styleId="NichtaufgelsteErwhnung">
    <w:name w:val="Unresolved Mention"/>
    <w:basedOn w:val="Absatz-Standardschriftart"/>
    <w:uiPriority w:val="99"/>
    <w:semiHidden/>
    <w:unhideWhenUsed/>
    <w:rsid w:val="009167E4"/>
    <w:rPr>
      <w:color w:val="605E5C"/>
      <w:shd w:val="clear" w:color="auto" w:fill="E1DFDD"/>
    </w:rPr>
  </w:style>
  <w:style w:type="paragraph" w:styleId="Sprechblasentext">
    <w:name w:val="Balloon Text"/>
    <w:basedOn w:val="Standard"/>
    <w:link w:val="SprechblasentextZchn"/>
    <w:rsid w:val="00EE10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EE10E4"/>
    <w:rPr>
      <w:rFonts w:ascii="Segoe UI" w:hAnsi="Segoe UI" w:cs="Segoe UI"/>
      <w:kern w:val="16"/>
      <w:sz w:val="18"/>
      <w:szCs w:val="18"/>
    </w:rPr>
  </w:style>
  <w:style w:type="paragraph" w:styleId="berarbeitung">
    <w:name w:val="Revision"/>
    <w:hidden/>
    <w:uiPriority w:val="99"/>
    <w:semiHidden/>
    <w:rsid w:val="00291A31"/>
    <w:rPr>
      <w:rFonts w:ascii="Arial" w:hAnsi="Arial"/>
      <w:kern w:val="16"/>
      <w:szCs w:val="24"/>
    </w:rPr>
  </w:style>
  <w:style w:type="paragraph" w:customStyle="1" w:styleId="BoilerplateBold">
    <w:name w:val="Boilerplate Bold"/>
    <w:basedOn w:val="Standard"/>
    <w:qFormat/>
    <w:rsid w:val="00B36007"/>
    <w:pPr>
      <w:spacing w:after="0" w:line="278" w:lineRule="auto"/>
    </w:pPr>
    <w:rPr>
      <w:rFonts w:eastAsia="Cambria"/>
      <w:b/>
      <w:color w:val="000000" w:themeColor="text1"/>
      <w:kern w:val="0"/>
      <w:sz w:val="18"/>
      <w:szCs w:val="18"/>
      <w:lang w:eastAsia="en-US"/>
    </w:rPr>
  </w:style>
  <w:style w:type="paragraph" w:customStyle="1" w:styleId="Boilerplate">
    <w:name w:val="Boilerplate"/>
    <w:basedOn w:val="Standard"/>
    <w:qFormat/>
    <w:rsid w:val="00B36007"/>
    <w:pPr>
      <w:spacing w:after="0" w:line="278" w:lineRule="auto"/>
    </w:pPr>
    <w:rPr>
      <w:rFonts w:eastAsia="Cambria"/>
      <w:color w:val="808080" w:themeColor="background1" w:themeShade="80"/>
      <w:kern w:val="0"/>
      <w:sz w:val="18"/>
      <w:szCs w:val="18"/>
      <w:lang w:eastAsia="en-US"/>
    </w:rPr>
  </w:style>
  <w:style w:type="character" w:styleId="BesuchterLink">
    <w:name w:val="FollowedHyperlink"/>
    <w:basedOn w:val="Absatz-Standardschriftart"/>
    <w:rsid w:val="00521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2614">
      <w:bodyDiv w:val="1"/>
      <w:marLeft w:val="0"/>
      <w:marRight w:val="0"/>
      <w:marTop w:val="0"/>
      <w:marBottom w:val="0"/>
      <w:divBdr>
        <w:top w:val="none" w:sz="0" w:space="0" w:color="auto"/>
        <w:left w:val="none" w:sz="0" w:space="0" w:color="auto"/>
        <w:bottom w:val="none" w:sz="0" w:space="0" w:color="auto"/>
        <w:right w:val="none" w:sz="0" w:space="0" w:color="auto"/>
      </w:divBdr>
    </w:div>
    <w:div w:id="1099830775">
      <w:bodyDiv w:val="1"/>
      <w:marLeft w:val="0"/>
      <w:marRight w:val="0"/>
      <w:marTop w:val="0"/>
      <w:marBottom w:val="0"/>
      <w:divBdr>
        <w:top w:val="none" w:sz="0" w:space="0" w:color="auto"/>
        <w:left w:val="none" w:sz="0" w:space="0" w:color="auto"/>
        <w:bottom w:val="none" w:sz="0" w:space="0" w:color="auto"/>
        <w:right w:val="none" w:sz="0" w:space="0" w:color="auto"/>
      </w:divBdr>
    </w:div>
    <w:div w:id="1362785495">
      <w:bodyDiv w:val="1"/>
      <w:marLeft w:val="0"/>
      <w:marRight w:val="0"/>
      <w:marTop w:val="0"/>
      <w:marBottom w:val="0"/>
      <w:divBdr>
        <w:top w:val="none" w:sz="0" w:space="0" w:color="auto"/>
        <w:left w:val="none" w:sz="0" w:space="0" w:color="auto"/>
        <w:bottom w:val="none" w:sz="0" w:space="0" w:color="auto"/>
        <w:right w:val="none" w:sz="0" w:space="0" w:color="auto"/>
      </w:divBdr>
    </w:div>
    <w:div w:id="16391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olek@g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IBVT\TU%20BS%20CD-Toolbox\TUBraunschweig_Brief_Digital_Word.dot\TUBraunschweig_Brief_Digital_Wo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16F9-E3FA-445B-8B61-60BF83944978}">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TUBraunschweig_Brief_Digital_Word</Template>
  <TotalTime>0</TotalTime>
  <Pages>5</Pages>
  <Words>956</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Technische Universität</vt:lpstr>
    </vt:vector>
  </TitlesOfParts>
  <Company>indiesoft</Company>
  <LinksUpToDate>false</LinksUpToDate>
  <CharactersWithSpaces>6583</CharactersWithSpaces>
  <SharedDoc>false</SharedDoc>
  <HLinks>
    <vt:vector size="6" baseType="variant">
      <vt:variant>
        <vt:i4>8323106</vt:i4>
      </vt:variant>
      <vt:variant>
        <vt:i4>0</vt:i4>
      </vt:variant>
      <vt:variant>
        <vt:i4>0</vt:i4>
      </vt:variant>
      <vt:variant>
        <vt:i4>5</vt:i4>
      </vt:variant>
      <vt:variant>
        <vt:lpwstr>http://www.ibvt.de/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Universität</dc:title>
  <dc:subject/>
  <dc:creator>Nele Buschke</dc:creator>
  <cp:keywords>, docId:0D6F5EEE347515251C48F67242C3FFE0</cp:keywords>
  <dc:description/>
  <cp:lastModifiedBy>Golek, Michael Dr.</cp:lastModifiedBy>
  <cp:revision>2</cp:revision>
  <cp:lastPrinted>2025-03-31T07:20:00Z</cp:lastPrinted>
  <dcterms:created xsi:type="dcterms:W3CDTF">2025-06-02T12:28:00Z</dcterms:created>
  <dcterms:modified xsi:type="dcterms:W3CDTF">2025-06-02T12:28:00Z</dcterms:modified>
</cp:coreProperties>
</file>