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7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918"/>
        <w:gridCol w:w="3562"/>
        <w:gridCol w:w="5127"/>
      </w:tblGrid>
      <w:tr w:rsidR="00AE73F1" w14:paraId="288A5E3B" w14:textId="77777777" w:rsidTr="00AC3B8D">
        <w:trPr>
          <w:trHeight w:val="1916"/>
        </w:trPr>
        <w:tc>
          <w:tcPr>
            <w:tcW w:w="3402" w:type="dxa"/>
            <w:gridSpan w:val="2"/>
            <w:shd w:val="clear" w:color="auto" w:fill="E6E6E6"/>
          </w:tcPr>
          <w:p w14:paraId="06E90BDB" w14:textId="55757593" w:rsidR="00C30CD3" w:rsidRPr="00237F8B" w:rsidRDefault="00A70E2B" w:rsidP="00D329A0">
            <w:pPr>
              <w:pStyle w:val="Presseinfo-berschrift1"/>
              <w:tabs>
                <w:tab w:val="left" w:pos="921"/>
              </w:tabs>
              <w:rPr>
                <w:sz w:val="24"/>
                <w:szCs w:val="24"/>
              </w:rPr>
            </w:pPr>
            <w:r>
              <w:t xml:space="preserve">     </w:t>
            </w:r>
            <w:r w:rsidRPr="00237F8B">
              <w:rPr>
                <w:sz w:val="28"/>
                <w:szCs w:val="28"/>
              </w:rPr>
              <w:t xml:space="preserve">  </w:t>
            </w:r>
            <w:r w:rsidR="00D329A0">
              <w:rPr>
                <w:sz w:val="28"/>
                <w:szCs w:val="28"/>
              </w:rPr>
              <w:tab/>
            </w:r>
            <w:r w:rsidRPr="00237F8B">
              <w:rPr>
                <w:sz w:val="28"/>
                <w:szCs w:val="28"/>
              </w:rPr>
              <w:t xml:space="preserve">      </w:t>
            </w:r>
            <w:r w:rsidR="00D329A0">
              <w:rPr>
                <w:noProof/>
              </w:rPr>
              <w:drawing>
                <wp:inline distT="0" distB="0" distL="0" distR="0" wp14:anchorId="769F86D1" wp14:editId="7612A4A2">
                  <wp:extent cx="2624068" cy="1749469"/>
                  <wp:effectExtent l="0" t="0" r="508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970" cy="208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F8B">
              <w:rPr>
                <w:sz w:val="28"/>
                <w:szCs w:val="28"/>
              </w:rPr>
              <w:t xml:space="preserve">                       </w:t>
            </w:r>
            <w:r w:rsidRPr="00237F8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5" w:type="dxa"/>
            <w:shd w:val="clear" w:color="auto" w:fill="E6E6E6"/>
          </w:tcPr>
          <w:p w14:paraId="58FEC35A" w14:textId="77777777" w:rsidR="00412B9F" w:rsidRPr="00412B9F" w:rsidRDefault="00412B9F" w:rsidP="001C36D1">
            <w:pPr>
              <w:pStyle w:val="Presseinfo-berschrift1"/>
              <w:ind w:firstLine="0"/>
              <w:rPr>
                <w:sz w:val="12"/>
                <w:szCs w:val="12"/>
              </w:rPr>
            </w:pPr>
          </w:p>
          <w:p w14:paraId="3DACFF73" w14:textId="46077BC4" w:rsidR="001C36D1" w:rsidRPr="00C01BA2" w:rsidRDefault="001C36D1" w:rsidP="001C36D1">
            <w:pPr>
              <w:pStyle w:val="Presseinfo-berschrift1"/>
              <w:ind w:firstLine="0"/>
            </w:pPr>
            <w:r w:rsidRPr="00C01BA2">
              <w:t>TARUK</w:t>
            </w:r>
            <w:r w:rsidR="00465556" w:rsidRPr="00C01BA2">
              <w:t xml:space="preserve"> </w:t>
            </w:r>
            <w:r w:rsidR="00724BBF">
              <w:t>unterstützt Reisebüros und verbreitet Zuversicht</w:t>
            </w:r>
          </w:p>
          <w:p w14:paraId="33FDBEB8" w14:textId="7BA4B1DF" w:rsidR="00C30CD3" w:rsidRPr="00AE73F1" w:rsidRDefault="00932D11" w:rsidP="00932D11">
            <w:pPr>
              <w:pStyle w:val="Presseinfo-berschrift1"/>
              <w:rPr>
                <w:sz w:val="28"/>
                <w:szCs w:val="28"/>
              </w:rPr>
            </w:pPr>
            <w:r w:rsidRPr="00AE73F1">
              <w:rPr>
                <w:color w:val="auto"/>
                <w:sz w:val="28"/>
                <w:szCs w:val="28"/>
              </w:rPr>
              <w:t xml:space="preserve">Mit </w:t>
            </w:r>
            <w:r w:rsidR="00724BBF">
              <w:rPr>
                <w:color w:val="auto"/>
                <w:sz w:val="28"/>
                <w:szCs w:val="28"/>
              </w:rPr>
              <w:t xml:space="preserve">der Auszahlung von Kickbacks, früheren Provisionszahlungen </w:t>
            </w:r>
            <w:r w:rsidR="00F31579">
              <w:rPr>
                <w:color w:val="auto"/>
                <w:sz w:val="28"/>
                <w:szCs w:val="28"/>
              </w:rPr>
              <w:t xml:space="preserve">und Sonderprovisionen </w:t>
            </w:r>
            <w:r w:rsidR="00724BBF">
              <w:rPr>
                <w:color w:val="auto"/>
                <w:sz w:val="28"/>
                <w:szCs w:val="28"/>
              </w:rPr>
              <w:t>unterstützt der Erlebnisreise</w:t>
            </w:r>
            <w:r w:rsidR="00712ED7">
              <w:rPr>
                <w:color w:val="auto"/>
                <w:sz w:val="28"/>
                <w:szCs w:val="28"/>
              </w:rPr>
              <w:t>veranstalter</w:t>
            </w:r>
            <w:r w:rsidR="00724BBF">
              <w:rPr>
                <w:color w:val="auto"/>
                <w:sz w:val="28"/>
                <w:szCs w:val="28"/>
              </w:rPr>
              <w:t xml:space="preserve"> </w:t>
            </w:r>
            <w:r w:rsidR="00F31579">
              <w:rPr>
                <w:color w:val="auto"/>
                <w:sz w:val="28"/>
                <w:szCs w:val="28"/>
              </w:rPr>
              <w:t>Agenturen</w:t>
            </w:r>
            <w:r w:rsidR="00CA0A9D">
              <w:rPr>
                <w:color w:val="auto"/>
                <w:sz w:val="28"/>
                <w:szCs w:val="28"/>
              </w:rPr>
              <w:t xml:space="preserve"> dabei</w:t>
            </w:r>
            <w:r w:rsidR="00724BBF">
              <w:rPr>
                <w:color w:val="auto"/>
                <w:sz w:val="28"/>
                <w:szCs w:val="28"/>
              </w:rPr>
              <w:t xml:space="preserve">, </w:t>
            </w:r>
            <w:r w:rsidR="00CA0A9D">
              <w:rPr>
                <w:color w:val="auto"/>
                <w:sz w:val="28"/>
                <w:szCs w:val="28"/>
              </w:rPr>
              <w:t>ihr</w:t>
            </w:r>
            <w:r w:rsidR="00724BBF">
              <w:rPr>
                <w:color w:val="auto"/>
                <w:sz w:val="28"/>
                <w:szCs w:val="28"/>
              </w:rPr>
              <w:t xml:space="preserve"> Geschäft wieder anzukurbeln.</w:t>
            </w:r>
          </w:p>
        </w:tc>
      </w:tr>
      <w:tr w:rsidR="00AE73F1" w14:paraId="69BC4F1A" w14:textId="77777777" w:rsidTr="00724BBF">
        <w:trPr>
          <w:trHeight w:val="46"/>
        </w:trPr>
        <w:tc>
          <w:tcPr>
            <w:tcW w:w="423" w:type="dxa"/>
            <w:shd w:val="clear" w:color="auto" w:fill="E6E6E6"/>
          </w:tcPr>
          <w:p w14:paraId="087A9D23" w14:textId="77777777" w:rsidR="0029187E" w:rsidRDefault="0029187E" w:rsidP="00EA6275">
            <w:pPr>
              <w:pStyle w:val="Presseinfo-berschrift1"/>
            </w:pPr>
          </w:p>
        </w:tc>
        <w:tc>
          <w:tcPr>
            <w:tcW w:w="9184" w:type="dxa"/>
            <w:gridSpan w:val="2"/>
            <w:shd w:val="clear" w:color="auto" w:fill="E6E6E6"/>
          </w:tcPr>
          <w:p w14:paraId="62EAEE14" w14:textId="77777777" w:rsidR="0029187E" w:rsidRPr="00412B9F" w:rsidRDefault="0029187E" w:rsidP="001C36D1">
            <w:pPr>
              <w:pStyle w:val="Presseinfo-berschrift1"/>
              <w:ind w:firstLine="0"/>
              <w:rPr>
                <w:sz w:val="12"/>
                <w:szCs w:val="12"/>
              </w:rPr>
            </w:pP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65CCAE19" w14:textId="4EB06724" w:rsidR="005B4EE1" w:rsidRDefault="00412B9F" w:rsidP="001C36D1">
      <w:pPr>
        <w:rPr>
          <w:rFonts w:ascii="Corbel" w:hAnsi="Corbel"/>
          <w:sz w:val="22"/>
        </w:rPr>
      </w:pPr>
      <w:r>
        <w:rPr>
          <w:rFonts w:ascii="Corbel" w:hAnsi="Corbel"/>
          <w:b/>
          <w:bCs/>
          <w:sz w:val="22"/>
        </w:rPr>
        <w:t>Caputh,</w:t>
      </w:r>
      <w:r w:rsidR="00465556">
        <w:rPr>
          <w:rFonts w:ascii="Corbel" w:hAnsi="Corbel"/>
          <w:b/>
          <w:bCs/>
          <w:sz w:val="22"/>
        </w:rPr>
        <w:t xml:space="preserve"> </w:t>
      </w:r>
      <w:r w:rsidR="00746EDD">
        <w:rPr>
          <w:rFonts w:ascii="Corbel" w:hAnsi="Corbel"/>
          <w:b/>
          <w:bCs/>
          <w:sz w:val="22"/>
        </w:rPr>
        <w:t>25</w:t>
      </w:r>
      <w:r w:rsidR="00724BBF">
        <w:rPr>
          <w:rFonts w:ascii="Corbel" w:hAnsi="Corbel"/>
          <w:b/>
          <w:bCs/>
          <w:sz w:val="22"/>
        </w:rPr>
        <w:t>. Juni</w:t>
      </w:r>
      <w:r w:rsidR="00F010D2">
        <w:rPr>
          <w:rFonts w:ascii="Corbel" w:hAnsi="Corbel"/>
          <w:b/>
          <w:bCs/>
          <w:sz w:val="22"/>
        </w:rPr>
        <w:t xml:space="preserve"> 20</w:t>
      </w:r>
      <w:r>
        <w:rPr>
          <w:rFonts w:ascii="Corbel" w:hAnsi="Corbel"/>
          <w:b/>
          <w:bCs/>
          <w:sz w:val="22"/>
        </w:rPr>
        <w:t>20</w:t>
      </w:r>
      <w:r w:rsidR="001C36D1" w:rsidRPr="001C36D1">
        <w:rPr>
          <w:rFonts w:ascii="Corbel" w:hAnsi="Corbel"/>
          <w:b/>
          <w:bCs/>
          <w:sz w:val="22"/>
        </w:rPr>
        <w:t xml:space="preserve"> – </w:t>
      </w:r>
      <w:r w:rsidR="00F258EB">
        <w:rPr>
          <w:rFonts w:ascii="Corbel" w:hAnsi="Corbel"/>
          <w:b/>
          <w:bCs/>
          <w:sz w:val="22"/>
        </w:rPr>
        <w:t>Reisebüros, die 2019 erfolgreich TARUK-Reisen vermittelt haben, überweist der Veranstalter in diesen Tagen zusätzlich zu ihrer Provision ein Kickback – je nach Umsatzvolumen – in Höhe von 1 bzw. 2 %. Mit früheren Provisionszahlungen bereits bei Kundenanzahlung</w:t>
      </w:r>
      <w:r w:rsidR="005B4EE1">
        <w:rPr>
          <w:rFonts w:ascii="Corbel" w:hAnsi="Corbel"/>
          <w:b/>
          <w:bCs/>
          <w:sz w:val="22"/>
        </w:rPr>
        <w:t xml:space="preserve">, </w:t>
      </w:r>
      <w:r w:rsidR="0071161D">
        <w:rPr>
          <w:rFonts w:ascii="Corbel" w:hAnsi="Corbel"/>
          <w:b/>
          <w:bCs/>
          <w:sz w:val="22"/>
        </w:rPr>
        <w:t>erhöhte Provisionen für neu konzipierte Sonderreisen</w:t>
      </w:r>
      <w:r w:rsidR="00F258EB">
        <w:rPr>
          <w:rFonts w:ascii="Corbel" w:hAnsi="Corbel"/>
          <w:b/>
          <w:bCs/>
          <w:sz w:val="22"/>
        </w:rPr>
        <w:t xml:space="preserve"> </w:t>
      </w:r>
      <w:r w:rsidR="005B4EE1">
        <w:rPr>
          <w:rFonts w:ascii="Corbel" w:hAnsi="Corbel"/>
          <w:b/>
          <w:bCs/>
          <w:sz w:val="22"/>
        </w:rPr>
        <w:t xml:space="preserve">und Benefits für die Kunden </w:t>
      </w:r>
      <w:r w:rsidR="00F258EB">
        <w:rPr>
          <w:rFonts w:ascii="Corbel" w:hAnsi="Corbel"/>
          <w:b/>
          <w:bCs/>
          <w:sz w:val="22"/>
        </w:rPr>
        <w:t xml:space="preserve">will der Kleingruppenspezialist Reisebüros außerdem </w:t>
      </w:r>
      <w:r w:rsidR="005B4EE1">
        <w:rPr>
          <w:rFonts w:ascii="Corbel" w:hAnsi="Corbel"/>
          <w:b/>
          <w:bCs/>
          <w:sz w:val="22"/>
        </w:rPr>
        <w:t xml:space="preserve">dabei unterstützen, ihr Geschäft wieder </w:t>
      </w:r>
      <w:r w:rsidR="00712ED7">
        <w:rPr>
          <w:rFonts w:ascii="Corbel" w:hAnsi="Corbel"/>
          <w:b/>
          <w:bCs/>
          <w:sz w:val="22"/>
        </w:rPr>
        <w:t>hochzufahren</w:t>
      </w:r>
      <w:r w:rsidR="005B4EE1">
        <w:rPr>
          <w:rFonts w:ascii="Corbel" w:hAnsi="Corbel"/>
          <w:b/>
          <w:bCs/>
          <w:sz w:val="22"/>
        </w:rPr>
        <w:t>.</w:t>
      </w:r>
      <w:r w:rsidR="00CA6362">
        <w:rPr>
          <w:rFonts w:ascii="Corbel" w:hAnsi="Corbel"/>
          <w:b/>
          <w:bCs/>
          <w:sz w:val="22"/>
        </w:rPr>
        <w:br/>
      </w:r>
      <w:r w:rsidR="00CA6362">
        <w:rPr>
          <w:rFonts w:ascii="Corbel" w:hAnsi="Corbel"/>
          <w:b/>
          <w:bCs/>
          <w:sz w:val="22"/>
        </w:rPr>
        <w:br/>
      </w:r>
      <w:r w:rsidR="005B4EE1">
        <w:rPr>
          <w:rFonts w:ascii="Corbel" w:hAnsi="Corbel"/>
          <w:sz w:val="22"/>
        </w:rPr>
        <w:t xml:space="preserve">„Mit der Auszahlung der Kickbacks </w:t>
      </w:r>
      <w:r w:rsidR="00EB7F61">
        <w:rPr>
          <w:rFonts w:ascii="Corbel" w:hAnsi="Corbel"/>
          <w:sz w:val="22"/>
        </w:rPr>
        <w:t xml:space="preserve">in einer Zeit, in der positive Nachrichten für Reisebüros </w:t>
      </w:r>
      <w:r w:rsidR="00F31579">
        <w:rPr>
          <w:rFonts w:ascii="Corbel" w:hAnsi="Corbel"/>
          <w:sz w:val="22"/>
        </w:rPr>
        <w:t xml:space="preserve">leider </w:t>
      </w:r>
      <w:r w:rsidR="00EB7F61">
        <w:rPr>
          <w:rFonts w:ascii="Corbel" w:hAnsi="Corbel"/>
          <w:sz w:val="22"/>
        </w:rPr>
        <w:t xml:space="preserve">Seltenheitswert haben, </w:t>
      </w:r>
      <w:r w:rsidR="005B4EE1">
        <w:rPr>
          <w:rFonts w:ascii="Corbel" w:hAnsi="Corbel"/>
          <w:sz w:val="22"/>
        </w:rPr>
        <w:t>möchten wir gegenüber unseren Vertriebspartnern positive Signal</w:t>
      </w:r>
      <w:r w:rsidR="00F31579">
        <w:rPr>
          <w:rFonts w:ascii="Corbel" w:hAnsi="Corbel"/>
          <w:sz w:val="22"/>
        </w:rPr>
        <w:t>e</w:t>
      </w:r>
      <w:r w:rsidR="005B4EE1">
        <w:rPr>
          <w:rFonts w:ascii="Corbel" w:hAnsi="Corbel"/>
          <w:sz w:val="22"/>
        </w:rPr>
        <w:t xml:space="preserve"> senden</w:t>
      </w:r>
      <w:r w:rsidR="00EB7F61">
        <w:rPr>
          <w:rFonts w:ascii="Corbel" w:hAnsi="Corbel"/>
          <w:sz w:val="22"/>
        </w:rPr>
        <w:t xml:space="preserve"> und einen – wenn auch nur kleinen – Beitrag für deren Liquidität leisten“, so TARUK-Chef Johannes Haape. </w:t>
      </w:r>
    </w:p>
    <w:p w14:paraId="44EE327E" w14:textId="31EF53A1" w:rsidR="00EB7F61" w:rsidRDefault="00A06C60" w:rsidP="001C36D1">
      <w:pPr>
        <w:rPr>
          <w:rFonts w:ascii="Corbel" w:hAnsi="Corbel"/>
          <w:sz w:val="22"/>
        </w:rPr>
      </w:pPr>
      <w:r>
        <w:rPr>
          <w:rFonts w:ascii="Corbel" w:hAnsi="Corbel"/>
          <w:b/>
          <w:bCs/>
          <w:sz w:val="22"/>
        </w:rPr>
        <w:t>Attraktive Mehrwerte für Agenturen und Kunden als Motivationsspritze</w:t>
      </w:r>
    </w:p>
    <w:p w14:paraId="451B2D97" w14:textId="1DCF2BA6" w:rsidR="00EB7F61" w:rsidRDefault="00712ED7" w:rsidP="001C36D1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Auch mit Blick in die Zukunft verbreitet der familiengeführte Spezialveranstalter Zuversicht – und hat ein Maßnahmenpaket geschnürt, um den Geschäftsbetrieb und den Vertrieb </w:t>
      </w:r>
      <w:r w:rsidR="00F31579">
        <w:rPr>
          <w:rFonts w:ascii="Corbel" w:hAnsi="Corbel"/>
          <w:sz w:val="22"/>
        </w:rPr>
        <w:t xml:space="preserve">in Reisebüros </w:t>
      </w:r>
      <w:r>
        <w:rPr>
          <w:rFonts w:ascii="Corbel" w:hAnsi="Corbel"/>
          <w:sz w:val="22"/>
        </w:rPr>
        <w:t xml:space="preserve">wieder anzukurbeln. </w:t>
      </w:r>
    </w:p>
    <w:p w14:paraId="2D70398F" w14:textId="5C7F9A2C" w:rsidR="00712ED7" w:rsidRDefault="00782715" w:rsidP="00712ED7">
      <w:pPr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Für </w:t>
      </w:r>
      <w:r w:rsidRPr="00712ED7">
        <w:rPr>
          <w:rFonts w:ascii="Corbel" w:hAnsi="Corbel"/>
          <w:sz w:val="22"/>
          <w:u w:val="single"/>
        </w:rPr>
        <w:t>alle Reisetermine bis Ende 2021</w:t>
      </w:r>
      <w:r>
        <w:rPr>
          <w:rFonts w:ascii="Corbel" w:hAnsi="Corbel"/>
          <w:sz w:val="22"/>
        </w:rPr>
        <w:t xml:space="preserve">, die bei TARUK bereits </w:t>
      </w:r>
      <w:r w:rsidR="0071161D">
        <w:rPr>
          <w:rFonts w:ascii="Corbel" w:hAnsi="Corbel"/>
          <w:sz w:val="22"/>
        </w:rPr>
        <w:t xml:space="preserve">sehr gut </w:t>
      </w:r>
      <w:proofErr w:type="spellStart"/>
      <w:r w:rsidR="0071161D">
        <w:rPr>
          <w:rFonts w:ascii="Corbel" w:hAnsi="Corbel"/>
          <w:sz w:val="22"/>
        </w:rPr>
        <w:t>angebucht</w:t>
      </w:r>
      <w:proofErr w:type="spellEnd"/>
      <w:r w:rsidR="0071161D">
        <w:rPr>
          <w:rFonts w:ascii="Corbel" w:hAnsi="Corbel"/>
          <w:sz w:val="22"/>
        </w:rPr>
        <w:t xml:space="preserve"> sind</w:t>
      </w:r>
      <w:r>
        <w:rPr>
          <w:rFonts w:ascii="Corbel" w:hAnsi="Corbel"/>
          <w:sz w:val="22"/>
        </w:rPr>
        <w:t xml:space="preserve">, gewährt der Veranstalter seinen Vertriebspartnern und Kunden verschiedene Benefits. Hierzu </w:t>
      </w:r>
      <w:r w:rsidR="00246710">
        <w:rPr>
          <w:rFonts w:ascii="Corbel" w:hAnsi="Corbel"/>
          <w:sz w:val="22"/>
        </w:rPr>
        <w:t>gehört</w:t>
      </w:r>
      <w:r>
        <w:rPr>
          <w:rFonts w:ascii="Corbel" w:hAnsi="Corbel"/>
          <w:sz w:val="22"/>
        </w:rPr>
        <w:t>, dass</w:t>
      </w:r>
      <w:r w:rsidR="00246710">
        <w:rPr>
          <w:rFonts w:ascii="Corbel" w:hAnsi="Corbel"/>
          <w:sz w:val="22"/>
        </w:rPr>
        <w:t xml:space="preserve"> die Provisionszahlung </w:t>
      </w:r>
      <w:r>
        <w:rPr>
          <w:rFonts w:ascii="Corbel" w:hAnsi="Corbel"/>
          <w:sz w:val="22"/>
        </w:rPr>
        <w:t xml:space="preserve">an Reisebüros </w:t>
      </w:r>
      <w:r w:rsidR="00246710">
        <w:rPr>
          <w:rFonts w:ascii="Corbel" w:hAnsi="Corbel"/>
          <w:sz w:val="22"/>
        </w:rPr>
        <w:t>für alle Neubuchungen im Jahr 2020 bereits zum Zeitpunkt der Anzahlung durch den Kunden</w:t>
      </w:r>
      <w:r>
        <w:rPr>
          <w:rFonts w:ascii="Corbel" w:hAnsi="Corbel"/>
          <w:sz w:val="22"/>
        </w:rPr>
        <w:t xml:space="preserve"> erfolgt</w:t>
      </w:r>
      <w:r w:rsidR="00246710">
        <w:rPr>
          <w:rFonts w:ascii="Corbel" w:hAnsi="Corbel"/>
          <w:sz w:val="22"/>
        </w:rPr>
        <w:t>.</w:t>
      </w:r>
      <w:r>
        <w:rPr>
          <w:rFonts w:ascii="Corbel" w:hAnsi="Corbel"/>
          <w:sz w:val="22"/>
        </w:rPr>
        <w:t xml:space="preserve"> </w:t>
      </w:r>
      <w:r w:rsidR="0071161D">
        <w:rPr>
          <w:rFonts w:ascii="Corbel" w:hAnsi="Corbel"/>
          <w:sz w:val="22"/>
        </w:rPr>
        <w:t>F</w:t>
      </w:r>
      <w:r w:rsidR="002A729F">
        <w:rPr>
          <w:rFonts w:ascii="Corbel" w:hAnsi="Corbel"/>
          <w:sz w:val="22"/>
        </w:rPr>
        <w:t xml:space="preserve">ür alle bis </w:t>
      </w:r>
      <w:r w:rsidR="00E10658">
        <w:rPr>
          <w:rFonts w:ascii="Corbel" w:hAnsi="Corbel"/>
          <w:sz w:val="22"/>
        </w:rPr>
        <w:t>Ende Juli</w:t>
      </w:r>
      <w:r w:rsidR="002A729F">
        <w:rPr>
          <w:rFonts w:ascii="Corbel" w:hAnsi="Corbel"/>
          <w:sz w:val="22"/>
        </w:rPr>
        <w:t xml:space="preserve"> gebuchten Reisen gilt, dass diese bis 90 Tage vor Reisebeginn kostenlos umgebucht werden können.</w:t>
      </w:r>
      <w:r w:rsidR="00712ED7" w:rsidRPr="00712ED7">
        <w:rPr>
          <w:rFonts w:ascii="Corbel" w:hAnsi="Corbel"/>
          <w:sz w:val="22"/>
        </w:rPr>
        <w:t xml:space="preserve"> </w:t>
      </w:r>
    </w:p>
    <w:p w14:paraId="21D34B8A" w14:textId="0D896766" w:rsidR="00485D58" w:rsidRPr="006A4706" w:rsidRDefault="001C45E8" w:rsidP="001C36D1">
      <w:pPr>
        <w:rPr>
          <w:rFonts w:ascii="Corbel" w:hAnsi="Corbel"/>
          <w:b/>
          <w:bCs/>
          <w:sz w:val="22"/>
        </w:rPr>
      </w:pPr>
      <w:r w:rsidRPr="001C45E8">
        <w:rPr>
          <w:rFonts w:ascii="Corbel" w:hAnsi="Corbel"/>
          <w:b/>
          <w:bCs/>
          <w:sz w:val="8"/>
          <w:szCs w:val="8"/>
        </w:rPr>
        <w:br/>
      </w:r>
      <w:r w:rsidR="002A729F">
        <w:rPr>
          <w:rFonts w:ascii="Corbel" w:hAnsi="Corbel"/>
          <w:b/>
          <w:bCs/>
          <w:sz w:val="22"/>
        </w:rPr>
        <w:t xml:space="preserve">13 % Provision für </w:t>
      </w:r>
      <w:r w:rsidR="00B44148">
        <w:rPr>
          <w:rFonts w:ascii="Corbel" w:hAnsi="Corbel"/>
          <w:b/>
          <w:bCs/>
          <w:sz w:val="22"/>
        </w:rPr>
        <w:t>TARUK-</w:t>
      </w:r>
      <w:r w:rsidR="002A729F">
        <w:rPr>
          <w:rFonts w:ascii="Corbel" w:hAnsi="Corbel"/>
          <w:b/>
          <w:bCs/>
          <w:sz w:val="22"/>
        </w:rPr>
        <w:t>Sonderreisen im Herbst und Winter</w:t>
      </w:r>
    </w:p>
    <w:p w14:paraId="651C154D" w14:textId="36651471" w:rsidR="0071161D" w:rsidRPr="0071161D" w:rsidRDefault="002A729F" w:rsidP="0071161D">
      <w:pPr>
        <w:pStyle w:val="Kommentartex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</w:rPr>
        <w:t xml:space="preserve">Als besondere und von </w:t>
      </w:r>
      <w:r w:rsidR="00F31579">
        <w:rPr>
          <w:rFonts w:ascii="Corbel" w:hAnsi="Corbel"/>
          <w:sz w:val="22"/>
        </w:rPr>
        <w:t>Optimismus</w:t>
      </w:r>
      <w:r>
        <w:rPr>
          <w:rFonts w:ascii="Corbel" w:hAnsi="Corbel"/>
          <w:sz w:val="22"/>
        </w:rPr>
        <w:t xml:space="preserve"> geprägte Maßnahme </w:t>
      </w:r>
      <w:r w:rsidR="00137F37">
        <w:rPr>
          <w:rFonts w:ascii="Corbel" w:hAnsi="Corbel"/>
          <w:sz w:val="22"/>
        </w:rPr>
        <w:t xml:space="preserve">haben die TARUK-Reiseexperten einige </w:t>
      </w:r>
      <w:r w:rsidR="0071161D">
        <w:rPr>
          <w:rFonts w:ascii="Corbel" w:hAnsi="Corbel"/>
          <w:sz w:val="22"/>
        </w:rPr>
        <w:t>Sonderreisen</w:t>
      </w:r>
      <w:r w:rsidR="00137F37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>für den kommenden Herbst und Winter</w:t>
      </w:r>
      <w:r w:rsidR="00137F37">
        <w:rPr>
          <w:rFonts w:ascii="Corbel" w:hAnsi="Corbel"/>
          <w:sz w:val="22"/>
        </w:rPr>
        <w:t xml:space="preserve"> konzipiert</w:t>
      </w:r>
      <w:r>
        <w:rPr>
          <w:rFonts w:ascii="Corbel" w:hAnsi="Corbel"/>
          <w:sz w:val="22"/>
        </w:rPr>
        <w:t xml:space="preserve">, mit der man flexibel auf die Rahmenbedingungen reagiert hat. Es handelt sich im Vergleich zu klassischen TARUK-Kleingruppenreisen </w:t>
      </w:r>
      <w:r w:rsidR="00C742A9">
        <w:rPr>
          <w:rFonts w:ascii="Corbel" w:hAnsi="Corbel"/>
          <w:sz w:val="22"/>
        </w:rPr>
        <w:t>um</w:t>
      </w:r>
      <w:r>
        <w:rPr>
          <w:rFonts w:ascii="Corbel" w:hAnsi="Corbel"/>
          <w:sz w:val="22"/>
        </w:rPr>
        <w:t xml:space="preserve"> etwas </w:t>
      </w:r>
      <w:r>
        <w:rPr>
          <w:rFonts w:ascii="Corbel" w:hAnsi="Corbel"/>
          <w:sz w:val="22"/>
        </w:rPr>
        <w:lastRenderedPageBreak/>
        <w:t xml:space="preserve">kürzere und </w:t>
      </w:r>
      <w:r w:rsidR="00465556">
        <w:rPr>
          <w:rFonts w:ascii="Corbel" w:hAnsi="Corbel"/>
          <w:sz w:val="22"/>
        </w:rPr>
        <w:t xml:space="preserve">deutlich </w:t>
      </w:r>
      <w:r>
        <w:rPr>
          <w:rFonts w:ascii="Corbel" w:hAnsi="Corbel"/>
          <w:sz w:val="22"/>
        </w:rPr>
        <w:t>preisgünstige</w:t>
      </w:r>
      <w:r w:rsidR="00C742A9">
        <w:rPr>
          <w:rFonts w:ascii="Corbel" w:hAnsi="Corbel"/>
          <w:sz w:val="22"/>
        </w:rPr>
        <w:t>re</w:t>
      </w:r>
      <w:r>
        <w:rPr>
          <w:rFonts w:ascii="Corbel" w:hAnsi="Corbel"/>
          <w:sz w:val="22"/>
        </w:rPr>
        <w:t xml:space="preserve"> Reisen in </w:t>
      </w:r>
      <w:r w:rsidR="00137F37">
        <w:rPr>
          <w:rFonts w:ascii="Corbel" w:hAnsi="Corbel"/>
          <w:sz w:val="22"/>
        </w:rPr>
        <w:t>vier attraktive</w:t>
      </w:r>
      <w:r>
        <w:rPr>
          <w:rFonts w:ascii="Corbel" w:hAnsi="Corbel"/>
          <w:sz w:val="22"/>
        </w:rPr>
        <w:t xml:space="preserve"> Zielgebiete, in denen TARUK über ein besonders gutes persönliches Netzwerk verfügt</w:t>
      </w:r>
      <w:r w:rsidR="00137F37">
        <w:rPr>
          <w:rFonts w:ascii="Corbel" w:hAnsi="Corbel"/>
          <w:sz w:val="22"/>
        </w:rPr>
        <w:t>: Botswana, Namibia, Costa Rica und Vietnam</w:t>
      </w:r>
      <w:r>
        <w:rPr>
          <w:rFonts w:ascii="Corbel" w:hAnsi="Corbel"/>
          <w:sz w:val="22"/>
        </w:rPr>
        <w:t xml:space="preserve">. </w:t>
      </w:r>
      <w:r w:rsidR="00137F37">
        <w:rPr>
          <w:rFonts w:ascii="Corbel" w:hAnsi="Corbel"/>
          <w:sz w:val="22"/>
        </w:rPr>
        <w:t>Für die Vermittlung dieser Sonderreisen zahlt TARUK Reisebüros eine Sonderprovision in Höhe von 13 % des Reisepreises</w:t>
      </w:r>
      <w:r w:rsidR="00137F37" w:rsidRPr="0071161D">
        <w:rPr>
          <w:rFonts w:ascii="Corbel" w:hAnsi="Corbel"/>
          <w:sz w:val="22"/>
          <w:szCs w:val="22"/>
        </w:rPr>
        <w:t>.</w:t>
      </w:r>
      <w:r w:rsidR="0071161D" w:rsidRPr="0071161D">
        <w:rPr>
          <w:rFonts w:ascii="Corbel" w:hAnsi="Corbel"/>
          <w:sz w:val="22"/>
          <w:szCs w:val="22"/>
        </w:rPr>
        <w:t xml:space="preserve"> Zusätzlich unterstützt der Veranstalter </w:t>
      </w:r>
      <w:r w:rsidR="0071161D">
        <w:rPr>
          <w:rFonts w:ascii="Corbel" w:hAnsi="Corbel"/>
          <w:sz w:val="22"/>
          <w:szCs w:val="22"/>
        </w:rPr>
        <w:t xml:space="preserve">seine Partner </w:t>
      </w:r>
      <w:r w:rsidR="0071161D" w:rsidRPr="0071161D">
        <w:rPr>
          <w:rFonts w:ascii="Corbel" w:hAnsi="Corbel"/>
          <w:sz w:val="22"/>
          <w:szCs w:val="22"/>
        </w:rPr>
        <w:t>mit Werb</w:t>
      </w:r>
      <w:r w:rsidR="0071161D">
        <w:rPr>
          <w:rFonts w:ascii="Corbel" w:hAnsi="Corbel"/>
          <w:sz w:val="22"/>
          <w:szCs w:val="22"/>
        </w:rPr>
        <w:t>emitteln</w:t>
      </w:r>
      <w:r w:rsidR="0071161D" w:rsidRPr="0071161D">
        <w:rPr>
          <w:rFonts w:ascii="Corbel" w:hAnsi="Corbel"/>
          <w:sz w:val="22"/>
          <w:szCs w:val="22"/>
        </w:rPr>
        <w:t xml:space="preserve"> wie </w:t>
      </w:r>
      <w:proofErr w:type="spellStart"/>
      <w:r w:rsidR="0071161D" w:rsidRPr="0071161D">
        <w:rPr>
          <w:rFonts w:ascii="Corbel" w:hAnsi="Corbel"/>
          <w:sz w:val="22"/>
          <w:szCs w:val="22"/>
        </w:rPr>
        <w:t>Schaufensterdeko</w:t>
      </w:r>
      <w:proofErr w:type="spellEnd"/>
      <w:r w:rsidR="0071161D" w:rsidRPr="0071161D">
        <w:rPr>
          <w:rFonts w:ascii="Corbel" w:hAnsi="Corbel"/>
          <w:sz w:val="22"/>
          <w:szCs w:val="22"/>
        </w:rPr>
        <w:t>,</w:t>
      </w:r>
      <w:r w:rsidR="0071161D">
        <w:rPr>
          <w:rFonts w:ascii="Corbel" w:hAnsi="Corbel"/>
          <w:sz w:val="22"/>
          <w:szCs w:val="22"/>
        </w:rPr>
        <w:t xml:space="preserve"> Flyern,</w:t>
      </w:r>
      <w:r w:rsidR="0071161D" w:rsidRPr="0071161D">
        <w:rPr>
          <w:rFonts w:ascii="Corbel" w:hAnsi="Corbel"/>
          <w:sz w:val="22"/>
          <w:szCs w:val="22"/>
        </w:rPr>
        <w:t xml:space="preserve"> </w:t>
      </w:r>
      <w:r w:rsidR="0071161D">
        <w:rPr>
          <w:rFonts w:ascii="Corbel" w:hAnsi="Corbel"/>
          <w:sz w:val="22"/>
          <w:szCs w:val="22"/>
        </w:rPr>
        <w:t xml:space="preserve">Inhalten für </w:t>
      </w:r>
      <w:r w:rsidR="0071161D" w:rsidRPr="0071161D">
        <w:rPr>
          <w:rFonts w:ascii="Corbel" w:hAnsi="Corbel"/>
          <w:sz w:val="22"/>
          <w:szCs w:val="22"/>
        </w:rPr>
        <w:t xml:space="preserve">Newsletter etc. </w:t>
      </w:r>
    </w:p>
    <w:p w14:paraId="6CCE86AD" w14:textId="77777777" w:rsidR="001C36D1" w:rsidRPr="00B3468F" w:rsidRDefault="001C36D1" w:rsidP="001C36D1">
      <w:pPr>
        <w:rPr>
          <w:rFonts w:ascii="Corbel" w:hAnsi="Corbel"/>
          <w:color w:val="808080"/>
          <w:sz w:val="6"/>
          <w:szCs w:val="6"/>
        </w:rPr>
      </w:pPr>
    </w:p>
    <w:p w14:paraId="4A2BDFA3" w14:textId="3950D152" w:rsidR="001C36D1" w:rsidRPr="00B3468F" w:rsidRDefault="001C36D1" w:rsidP="001C36D1">
      <w:pPr>
        <w:rPr>
          <w:rFonts w:ascii="Corbel" w:hAnsi="Corbel"/>
          <w:color w:val="808080"/>
          <w:sz w:val="4"/>
          <w:szCs w:val="4"/>
        </w:rPr>
      </w:pPr>
      <w:r w:rsidRPr="001C36D1">
        <w:rPr>
          <w:rFonts w:ascii="Corbel" w:hAnsi="Corbel"/>
          <w:color w:val="808080"/>
          <w:sz w:val="16"/>
          <w:szCs w:val="16"/>
        </w:rPr>
        <w:t xml:space="preserve">Textlänge: </w:t>
      </w:r>
      <w:r w:rsidR="0071161D">
        <w:rPr>
          <w:rFonts w:ascii="Corbel" w:hAnsi="Corbel"/>
          <w:color w:val="808080"/>
          <w:sz w:val="16"/>
          <w:szCs w:val="16"/>
        </w:rPr>
        <w:t>2.252</w:t>
      </w:r>
      <w:r w:rsidR="000A565E">
        <w:rPr>
          <w:rFonts w:ascii="Corbel" w:hAnsi="Corbel"/>
          <w:color w:val="808080"/>
          <w:sz w:val="16"/>
          <w:szCs w:val="16"/>
        </w:rPr>
        <w:t xml:space="preserve"> </w:t>
      </w:r>
      <w:r w:rsidRPr="001C36D1">
        <w:rPr>
          <w:rFonts w:ascii="Corbel" w:hAnsi="Corbel"/>
          <w:color w:val="808080"/>
          <w:sz w:val="16"/>
          <w:szCs w:val="16"/>
        </w:rPr>
        <w:t>Zeichen (inkl. Leerzeichen)</w:t>
      </w:r>
    </w:p>
    <w:p w14:paraId="6CA1A3E7" w14:textId="1019C7DC" w:rsidR="00C42B65" w:rsidRPr="00B3468F" w:rsidRDefault="00C42B65" w:rsidP="001C36D1">
      <w:pPr>
        <w:rPr>
          <w:rFonts w:ascii="Corbel" w:hAnsi="Corbel"/>
          <w:color w:val="808080"/>
          <w:sz w:val="4"/>
          <w:szCs w:val="4"/>
        </w:rPr>
      </w:pPr>
    </w:p>
    <w:p w14:paraId="48150EF9" w14:textId="04DE9CD1" w:rsidR="00C42B65" w:rsidRPr="00B3468F" w:rsidRDefault="00C42B65" w:rsidP="00B3468F">
      <w:pPr>
        <w:spacing w:after="0"/>
        <w:rPr>
          <w:sz w:val="16"/>
          <w:szCs w:val="16"/>
        </w:rPr>
      </w:pPr>
      <w:r w:rsidRPr="00C42B65">
        <w:rPr>
          <w:i/>
          <w:iCs/>
          <w:sz w:val="16"/>
          <w:szCs w:val="16"/>
        </w:rPr>
        <w:t xml:space="preserve">Bildunterschrift: </w:t>
      </w:r>
      <w:r>
        <w:rPr>
          <w:i/>
          <w:iCs/>
          <w:sz w:val="16"/>
          <w:szCs w:val="16"/>
        </w:rPr>
        <w:t xml:space="preserve"> </w:t>
      </w:r>
      <w:r w:rsidR="00EC39A9">
        <w:rPr>
          <w:i/>
          <w:iCs/>
          <w:sz w:val="16"/>
          <w:szCs w:val="16"/>
        </w:rPr>
        <w:t xml:space="preserve">Schon bald möchte TARUK Reisegästen faszinierende Naturschauspiele wie </w:t>
      </w:r>
      <w:r>
        <w:rPr>
          <w:i/>
          <w:iCs/>
          <w:sz w:val="16"/>
          <w:szCs w:val="16"/>
        </w:rPr>
        <w:t xml:space="preserve">die Dünen der Namib-Wüste wieder hautnah </w:t>
      </w:r>
      <w:r w:rsidR="00EC39A9">
        <w:rPr>
          <w:i/>
          <w:iCs/>
          <w:sz w:val="16"/>
          <w:szCs w:val="16"/>
        </w:rPr>
        <w:t>präsentieren</w:t>
      </w:r>
      <w:r>
        <w:rPr>
          <w:i/>
          <w:iCs/>
          <w:sz w:val="16"/>
          <w:szCs w:val="16"/>
        </w:rPr>
        <w:t xml:space="preserve"> (Foto: </w:t>
      </w:r>
      <w:r w:rsidRPr="00C42B65">
        <w:rPr>
          <w:sz w:val="16"/>
          <w:szCs w:val="16"/>
        </w:rPr>
        <w:t>TARUK)</w:t>
      </w:r>
    </w:p>
    <w:p w14:paraId="6DFA9F88" w14:textId="77777777" w:rsidR="001C36D1" w:rsidRPr="00237F8B" w:rsidRDefault="001C36D1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49258F" w14:paraId="4A0EF0FC" w14:textId="77777777" w:rsidTr="0060616B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4B2242" w:rsidRDefault="00C44821" w:rsidP="00D40636">
            <w:pPr>
              <w:pStyle w:val="Presseinfo-berschrift2"/>
            </w:pPr>
            <w:r>
              <w:t xml:space="preserve">Über </w:t>
            </w:r>
            <w:r w:rsidRPr="004B2242">
              <w:t>TARUK</w:t>
            </w:r>
            <w:r>
              <w:t xml:space="preserve"> </w:t>
            </w:r>
          </w:p>
          <w:p w14:paraId="2068E530" w14:textId="5642A433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Erstklassige Rundreisen in kleinen Gruppen sowie Selbstfahrer</w:t>
            </w:r>
            <w:r w:rsidR="00473C56">
              <w:t>t</w:t>
            </w:r>
            <w:r>
              <w:t>ouren</w:t>
            </w:r>
          </w:p>
          <w:p w14:paraId="732D2EC9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Persönlich konzipierte Routen und Reiseprogramme</w:t>
            </w:r>
          </w:p>
          <w:p w14:paraId="2768D8BF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Deutschsprachige Reiseleiter und handverlesene Unterkünfte</w:t>
            </w:r>
          </w:p>
          <w:p w14:paraId="7C4FD772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Intensive, authentische Begegnungen mit Menschen, Natur und Kultur</w:t>
            </w:r>
          </w:p>
          <w:p w14:paraId="1E093C3C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DVD in jedem Jahreskatalog – viele Reisefilme durch eigenes Filmteam erstellt und produziert</w:t>
            </w:r>
          </w:p>
          <w:p w14:paraId="63587B2C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Alle Katalogreisen auch als Privatreisen buchbar</w:t>
            </w:r>
          </w:p>
          <w:p w14:paraId="547A3BB9" w14:textId="78DA18DC" w:rsidR="00C44821" w:rsidRPr="00ED24AF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Reisen in </w:t>
            </w:r>
            <w:r w:rsidR="00237F8B">
              <w:t xml:space="preserve">über </w:t>
            </w:r>
            <w:r>
              <w:t>4</w:t>
            </w:r>
            <w:r w:rsidR="00237F8B">
              <w:t xml:space="preserve">0 </w:t>
            </w:r>
            <w:r>
              <w:t xml:space="preserve">Länder in fünf Kontinenten an rund 800 Abreiseterminen pro Jahr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Default="00C44821" w:rsidP="0060616B">
            <w:pPr>
              <w:spacing w:before="120" w:after="0" w:line="288" w:lineRule="auto"/>
              <w:jc w:val="center"/>
              <w:rPr>
                <w:b/>
                <w:sz w:val="18"/>
                <w:szCs w:val="18"/>
              </w:rPr>
            </w:pPr>
          </w:p>
          <w:p w14:paraId="151F984B" w14:textId="30F44D9E" w:rsidR="00C44821" w:rsidRDefault="00454996" w:rsidP="0060616B">
            <w:pPr>
              <w:pStyle w:val="Default"/>
              <w:spacing w:after="120"/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D1CA7DD" w:rsidR="00C44821" w:rsidRPr="00454996" w:rsidRDefault="00C44821" w:rsidP="0060616B">
            <w:pPr>
              <w:pStyle w:val="Default"/>
              <w:jc w:val="center"/>
              <w:rPr>
                <w:b/>
                <w:sz w:val="8"/>
                <w:szCs w:val="8"/>
              </w:rPr>
            </w:pPr>
            <w:r w:rsidRPr="00CA69F1">
              <w:rPr>
                <w:b/>
                <w:sz w:val="16"/>
                <w:szCs w:val="16"/>
              </w:rPr>
              <w:t>Ihr Pressekontakt bei TARUK</w:t>
            </w:r>
            <w:r w:rsidR="004356AF">
              <w:rPr>
                <w:b/>
                <w:sz w:val="16"/>
                <w:szCs w:val="16"/>
              </w:rPr>
              <w:t>:</w:t>
            </w:r>
            <w:r w:rsidR="00454996" w:rsidRPr="00454996">
              <w:rPr>
                <w:b/>
                <w:sz w:val="8"/>
                <w:szCs w:val="8"/>
              </w:rPr>
              <w:br/>
            </w:r>
          </w:p>
          <w:p w14:paraId="6E6B9152" w14:textId="77777777" w:rsidR="00454996" w:rsidRPr="00F74EE9" w:rsidRDefault="0043736B" w:rsidP="00454996">
            <w:pPr>
              <w:pStyle w:val="Default"/>
              <w:jc w:val="center"/>
              <w:rPr>
                <w:b/>
                <w:bCs/>
                <w:iCs/>
                <w:sz w:val="6"/>
                <w:szCs w:val="6"/>
              </w:rPr>
            </w:pPr>
            <w:r w:rsidRPr="00454996">
              <w:rPr>
                <w:b/>
                <w:bCs/>
                <w:iCs/>
                <w:sz w:val="16"/>
                <w:szCs w:val="16"/>
              </w:rPr>
              <w:t>Jens Harder</w:t>
            </w:r>
            <w:r w:rsidR="00C44821" w:rsidRPr="00454996">
              <w:rPr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73FD96A9" w:rsidR="00C44821" w:rsidRPr="00454996" w:rsidRDefault="00C44821" w:rsidP="00454996">
            <w:pPr>
              <w:pStyle w:val="Default"/>
              <w:jc w:val="center"/>
              <w:rPr>
                <w:iCs/>
                <w:sz w:val="6"/>
                <w:szCs w:val="6"/>
              </w:rPr>
            </w:pPr>
            <w:r w:rsidRPr="00F74EE9">
              <w:rPr>
                <w:b/>
                <w:bCs/>
                <w:iCs/>
                <w:sz w:val="6"/>
                <w:szCs w:val="6"/>
              </w:rPr>
              <w:t xml:space="preserve">                </w:t>
            </w:r>
            <w:r w:rsidR="00F74EE9" w:rsidRPr="00F74EE9">
              <w:rPr>
                <w:b/>
                <w:bCs/>
                <w:iCs/>
                <w:sz w:val="6"/>
                <w:szCs w:val="6"/>
              </w:rPr>
              <w:br/>
            </w:r>
            <w:r w:rsidR="00F74EE9">
              <w:rPr>
                <w:b/>
                <w:bCs/>
                <w:iCs/>
                <w:sz w:val="16"/>
                <w:szCs w:val="16"/>
              </w:rPr>
              <w:t xml:space="preserve">- </w:t>
            </w:r>
            <w:r w:rsidR="00F74EE9">
              <w:rPr>
                <w:iCs/>
                <w:sz w:val="16"/>
                <w:szCs w:val="16"/>
              </w:rPr>
              <w:t>Marketing &amp; PR -</w:t>
            </w:r>
            <w:r w:rsidR="00454996" w:rsidRPr="00454996">
              <w:rPr>
                <w:iCs/>
                <w:sz w:val="6"/>
                <w:szCs w:val="6"/>
              </w:rPr>
              <w:br/>
            </w:r>
          </w:p>
          <w:p w14:paraId="2C591FE8" w14:textId="77777777" w:rsidR="00C44821" w:rsidRPr="00454996" w:rsidRDefault="00C44821" w:rsidP="0060616B">
            <w:pPr>
              <w:pStyle w:val="Default"/>
              <w:jc w:val="center"/>
              <w:rPr>
                <w:iCs/>
                <w:sz w:val="16"/>
                <w:szCs w:val="16"/>
              </w:rPr>
            </w:pPr>
            <w:r w:rsidRPr="00454996">
              <w:rPr>
                <w:iCs/>
                <w:sz w:val="16"/>
                <w:szCs w:val="16"/>
              </w:rPr>
              <w:t>Straße der Einheit 54, 14548 Schwielowsee-Caputh</w:t>
            </w:r>
          </w:p>
          <w:p w14:paraId="7229E40A" w14:textId="76142660" w:rsidR="00C44821" w:rsidRPr="00CA69F1" w:rsidRDefault="00C44821" w:rsidP="0060616B">
            <w:pPr>
              <w:pStyle w:val="Default"/>
              <w:jc w:val="center"/>
              <w:rPr>
                <w:sz w:val="16"/>
                <w:szCs w:val="16"/>
              </w:rPr>
            </w:pPr>
            <w:r w:rsidRPr="00454996">
              <w:rPr>
                <w:iCs/>
                <w:sz w:val="16"/>
                <w:szCs w:val="16"/>
              </w:rPr>
              <w:t>Telefon: +49-(0</w:t>
            </w:r>
            <w:r w:rsidR="00454996">
              <w:rPr>
                <w:iCs/>
                <w:sz w:val="16"/>
                <w:szCs w:val="16"/>
              </w:rPr>
              <w:t>)33209</w:t>
            </w:r>
            <w:r w:rsidRPr="00454996">
              <w:rPr>
                <w:iCs/>
                <w:sz w:val="16"/>
                <w:szCs w:val="16"/>
              </w:rPr>
              <w:t>-</w:t>
            </w:r>
            <w:r w:rsidR="00454996">
              <w:rPr>
                <w:iCs/>
                <w:sz w:val="16"/>
                <w:szCs w:val="16"/>
              </w:rPr>
              <w:t>2174145</w:t>
            </w:r>
          </w:p>
          <w:p w14:paraId="41C55306" w14:textId="7B0B2666" w:rsidR="00C44821" w:rsidRPr="00921835" w:rsidRDefault="004356AF" w:rsidP="004356A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356AF">
              <w:rPr>
                <w:sz w:val="16"/>
                <w:szCs w:val="16"/>
              </w:rPr>
              <w:t>j.harder@taruk.com</w:t>
            </w:r>
            <w:r>
              <w:rPr>
                <w:sz w:val="16"/>
                <w:szCs w:val="16"/>
              </w:rPr>
              <w:br/>
            </w:r>
            <w:r w:rsidR="00C44821" w:rsidRPr="00454996">
              <w:rPr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2F3F" w:rsidRDefault="00C44821" w:rsidP="00AB3BA8">
      <w:pPr>
        <w:pStyle w:val="Default"/>
        <w:spacing w:after="120"/>
        <w:rPr>
          <w:sz w:val="12"/>
          <w:szCs w:val="12"/>
        </w:rPr>
      </w:pPr>
    </w:p>
    <w:sectPr w:rsidR="00C44821" w:rsidRPr="00282F3F" w:rsidSect="00092214">
      <w:headerReference w:type="default" r:id="rId10"/>
      <w:footerReference w:type="default" r:id="rId11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746EDD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746EDD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597D"/>
    <w:rsid w:val="000140A2"/>
    <w:rsid w:val="00020796"/>
    <w:rsid w:val="000208E4"/>
    <w:rsid w:val="00027FB0"/>
    <w:rsid w:val="00031DFE"/>
    <w:rsid w:val="000357B6"/>
    <w:rsid w:val="000416D1"/>
    <w:rsid w:val="00043024"/>
    <w:rsid w:val="00055205"/>
    <w:rsid w:val="0006162D"/>
    <w:rsid w:val="0006308E"/>
    <w:rsid w:val="00066FF2"/>
    <w:rsid w:val="0007348D"/>
    <w:rsid w:val="00075910"/>
    <w:rsid w:val="00080D4A"/>
    <w:rsid w:val="0008192F"/>
    <w:rsid w:val="00083439"/>
    <w:rsid w:val="00092214"/>
    <w:rsid w:val="000A3929"/>
    <w:rsid w:val="000A565E"/>
    <w:rsid w:val="000B0B65"/>
    <w:rsid w:val="000D225F"/>
    <w:rsid w:val="000D3EA5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67A"/>
    <w:rsid w:val="00107487"/>
    <w:rsid w:val="0011072D"/>
    <w:rsid w:val="00120F5B"/>
    <w:rsid w:val="00123A4C"/>
    <w:rsid w:val="001253E1"/>
    <w:rsid w:val="00125CDA"/>
    <w:rsid w:val="001328B9"/>
    <w:rsid w:val="001331BF"/>
    <w:rsid w:val="00136905"/>
    <w:rsid w:val="00137F37"/>
    <w:rsid w:val="00142970"/>
    <w:rsid w:val="00156CDE"/>
    <w:rsid w:val="00167A48"/>
    <w:rsid w:val="00167AC2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7669"/>
    <w:rsid w:val="001C11D3"/>
    <w:rsid w:val="001C36D1"/>
    <w:rsid w:val="001C3AC7"/>
    <w:rsid w:val="001C45E8"/>
    <w:rsid w:val="001C72B8"/>
    <w:rsid w:val="001D3800"/>
    <w:rsid w:val="001D3EF8"/>
    <w:rsid w:val="001D45DE"/>
    <w:rsid w:val="001E02D3"/>
    <w:rsid w:val="001E1A6D"/>
    <w:rsid w:val="001E3F5E"/>
    <w:rsid w:val="001F0043"/>
    <w:rsid w:val="001F0393"/>
    <w:rsid w:val="00205EFC"/>
    <w:rsid w:val="002123F7"/>
    <w:rsid w:val="0021313E"/>
    <w:rsid w:val="00213C9F"/>
    <w:rsid w:val="002161EC"/>
    <w:rsid w:val="002205E5"/>
    <w:rsid w:val="00223B67"/>
    <w:rsid w:val="00237F8B"/>
    <w:rsid w:val="002457CC"/>
    <w:rsid w:val="00246134"/>
    <w:rsid w:val="00246710"/>
    <w:rsid w:val="002524A3"/>
    <w:rsid w:val="00252DDA"/>
    <w:rsid w:val="00252EEB"/>
    <w:rsid w:val="002555BC"/>
    <w:rsid w:val="002626E8"/>
    <w:rsid w:val="00263C9A"/>
    <w:rsid w:val="0026445D"/>
    <w:rsid w:val="00264572"/>
    <w:rsid w:val="00265F5C"/>
    <w:rsid w:val="00282F3F"/>
    <w:rsid w:val="002841BF"/>
    <w:rsid w:val="002854F9"/>
    <w:rsid w:val="002857A0"/>
    <w:rsid w:val="00285E56"/>
    <w:rsid w:val="00290E2A"/>
    <w:rsid w:val="002913DD"/>
    <w:rsid w:val="0029187E"/>
    <w:rsid w:val="00293DF6"/>
    <w:rsid w:val="002A656E"/>
    <w:rsid w:val="002A729F"/>
    <w:rsid w:val="002C075B"/>
    <w:rsid w:val="002C1357"/>
    <w:rsid w:val="002C3F8C"/>
    <w:rsid w:val="002D03B3"/>
    <w:rsid w:val="002D7A6A"/>
    <w:rsid w:val="002D7F84"/>
    <w:rsid w:val="002F2A89"/>
    <w:rsid w:val="002F2F4B"/>
    <w:rsid w:val="002F362A"/>
    <w:rsid w:val="003236DF"/>
    <w:rsid w:val="00331144"/>
    <w:rsid w:val="0033627B"/>
    <w:rsid w:val="00337AB3"/>
    <w:rsid w:val="00341C9A"/>
    <w:rsid w:val="003441A5"/>
    <w:rsid w:val="003530CA"/>
    <w:rsid w:val="00360A48"/>
    <w:rsid w:val="00371702"/>
    <w:rsid w:val="00377519"/>
    <w:rsid w:val="003812C8"/>
    <w:rsid w:val="00384418"/>
    <w:rsid w:val="00385435"/>
    <w:rsid w:val="0038571E"/>
    <w:rsid w:val="00393013"/>
    <w:rsid w:val="00395137"/>
    <w:rsid w:val="003A129A"/>
    <w:rsid w:val="003A3504"/>
    <w:rsid w:val="003A5B13"/>
    <w:rsid w:val="003B177B"/>
    <w:rsid w:val="003B6BF5"/>
    <w:rsid w:val="003C0729"/>
    <w:rsid w:val="003C2ECB"/>
    <w:rsid w:val="003C3325"/>
    <w:rsid w:val="003C5135"/>
    <w:rsid w:val="003D257B"/>
    <w:rsid w:val="003D453E"/>
    <w:rsid w:val="003D5445"/>
    <w:rsid w:val="003D5497"/>
    <w:rsid w:val="003E0135"/>
    <w:rsid w:val="003E3CE7"/>
    <w:rsid w:val="003E67EE"/>
    <w:rsid w:val="003F227E"/>
    <w:rsid w:val="003F6E66"/>
    <w:rsid w:val="003F790C"/>
    <w:rsid w:val="004025BB"/>
    <w:rsid w:val="004047DA"/>
    <w:rsid w:val="00411575"/>
    <w:rsid w:val="00412B9F"/>
    <w:rsid w:val="00412BE7"/>
    <w:rsid w:val="00413142"/>
    <w:rsid w:val="00414C02"/>
    <w:rsid w:val="00425C41"/>
    <w:rsid w:val="0043051F"/>
    <w:rsid w:val="0043347D"/>
    <w:rsid w:val="004356AF"/>
    <w:rsid w:val="00435AA0"/>
    <w:rsid w:val="00437159"/>
    <w:rsid w:val="00437294"/>
    <w:rsid w:val="0043736B"/>
    <w:rsid w:val="00444F4D"/>
    <w:rsid w:val="004474BD"/>
    <w:rsid w:val="00451FD5"/>
    <w:rsid w:val="00452202"/>
    <w:rsid w:val="00454996"/>
    <w:rsid w:val="004636D1"/>
    <w:rsid w:val="00465556"/>
    <w:rsid w:val="00465FCD"/>
    <w:rsid w:val="00472C76"/>
    <w:rsid w:val="00473C56"/>
    <w:rsid w:val="00484365"/>
    <w:rsid w:val="00485D58"/>
    <w:rsid w:val="0049258F"/>
    <w:rsid w:val="00492E16"/>
    <w:rsid w:val="004A7DB4"/>
    <w:rsid w:val="004B1275"/>
    <w:rsid w:val="004B2242"/>
    <w:rsid w:val="004B3EA7"/>
    <w:rsid w:val="004B5C0A"/>
    <w:rsid w:val="004B6370"/>
    <w:rsid w:val="004C1493"/>
    <w:rsid w:val="004C624E"/>
    <w:rsid w:val="004C67D2"/>
    <w:rsid w:val="004C68CB"/>
    <w:rsid w:val="004D2BBF"/>
    <w:rsid w:val="004D669D"/>
    <w:rsid w:val="004D6711"/>
    <w:rsid w:val="004E056B"/>
    <w:rsid w:val="004E5285"/>
    <w:rsid w:val="004F1E48"/>
    <w:rsid w:val="00503CF6"/>
    <w:rsid w:val="0052601B"/>
    <w:rsid w:val="005274C3"/>
    <w:rsid w:val="0055403A"/>
    <w:rsid w:val="005649B5"/>
    <w:rsid w:val="005662B9"/>
    <w:rsid w:val="00575342"/>
    <w:rsid w:val="005763A7"/>
    <w:rsid w:val="0058023E"/>
    <w:rsid w:val="0058173F"/>
    <w:rsid w:val="0058464E"/>
    <w:rsid w:val="00587AEC"/>
    <w:rsid w:val="005927F2"/>
    <w:rsid w:val="00592D70"/>
    <w:rsid w:val="005A0807"/>
    <w:rsid w:val="005A68AF"/>
    <w:rsid w:val="005B4EE1"/>
    <w:rsid w:val="005B7DF5"/>
    <w:rsid w:val="005C1748"/>
    <w:rsid w:val="005C40F6"/>
    <w:rsid w:val="005C456C"/>
    <w:rsid w:val="005C6896"/>
    <w:rsid w:val="005D19F6"/>
    <w:rsid w:val="005D1C0F"/>
    <w:rsid w:val="005D4639"/>
    <w:rsid w:val="005E7E18"/>
    <w:rsid w:val="005E7F42"/>
    <w:rsid w:val="005F7C7A"/>
    <w:rsid w:val="00602492"/>
    <w:rsid w:val="0060256C"/>
    <w:rsid w:val="006036E4"/>
    <w:rsid w:val="00604A1D"/>
    <w:rsid w:val="00606863"/>
    <w:rsid w:val="00606A92"/>
    <w:rsid w:val="00606F0C"/>
    <w:rsid w:val="00607631"/>
    <w:rsid w:val="006157B5"/>
    <w:rsid w:val="00617DD7"/>
    <w:rsid w:val="0063396E"/>
    <w:rsid w:val="0064001E"/>
    <w:rsid w:val="00640EAF"/>
    <w:rsid w:val="00644B29"/>
    <w:rsid w:val="00645320"/>
    <w:rsid w:val="0064672E"/>
    <w:rsid w:val="00653597"/>
    <w:rsid w:val="00664C42"/>
    <w:rsid w:val="00670E6A"/>
    <w:rsid w:val="00672F21"/>
    <w:rsid w:val="00674B06"/>
    <w:rsid w:val="00677635"/>
    <w:rsid w:val="00682BC0"/>
    <w:rsid w:val="0068415F"/>
    <w:rsid w:val="006948A7"/>
    <w:rsid w:val="006A1711"/>
    <w:rsid w:val="006A1850"/>
    <w:rsid w:val="006A1F21"/>
    <w:rsid w:val="006A4706"/>
    <w:rsid w:val="006A4E65"/>
    <w:rsid w:val="006A685F"/>
    <w:rsid w:val="006B0539"/>
    <w:rsid w:val="006D2CD7"/>
    <w:rsid w:val="006E04C0"/>
    <w:rsid w:val="006E3500"/>
    <w:rsid w:val="006E4B1C"/>
    <w:rsid w:val="006E6E4B"/>
    <w:rsid w:val="006F063F"/>
    <w:rsid w:val="006F1AF6"/>
    <w:rsid w:val="006F6248"/>
    <w:rsid w:val="0070075B"/>
    <w:rsid w:val="007054C0"/>
    <w:rsid w:val="00706AC9"/>
    <w:rsid w:val="00707E45"/>
    <w:rsid w:val="0071161D"/>
    <w:rsid w:val="00712ED7"/>
    <w:rsid w:val="0071492F"/>
    <w:rsid w:val="00716F3B"/>
    <w:rsid w:val="00724BBF"/>
    <w:rsid w:val="0074254F"/>
    <w:rsid w:val="00746EDD"/>
    <w:rsid w:val="007523E3"/>
    <w:rsid w:val="00752C63"/>
    <w:rsid w:val="0076311A"/>
    <w:rsid w:val="007650DD"/>
    <w:rsid w:val="00782715"/>
    <w:rsid w:val="007840C7"/>
    <w:rsid w:val="00784928"/>
    <w:rsid w:val="00787410"/>
    <w:rsid w:val="00790EBB"/>
    <w:rsid w:val="007937A2"/>
    <w:rsid w:val="007A3117"/>
    <w:rsid w:val="007A540C"/>
    <w:rsid w:val="007A6906"/>
    <w:rsid w:val="007B1289"/>
    <w:rsid w:val="007B17AB"/>
    <w:rsid w:val="007B6926"/>
    <w:rsid w:val="007C257F"/>
    <w:rsid w:val="007C38F3"/>
    <w:rsid w:val="007C682C"/>
    <w:rsid w:val="007C7A9A"/>
    <w:rsid w:val="007D05CD"/>
    <w:rsid w:val="007D2D27"/>
    <w:rsid w:val="007D5AE0"/>
    <w:rsid w:val="007E5307"/>
    <w:rsid w:val="007F3A79"/>
    <w:rsid w:val="007F53EB"/>
    <w:rsid w:val="007F5734"/>
    <w:rsid w:val="007F7B3F"/>
    <w:rsid w:val="007F7F92"/>
    <w:rsid w:val="00800030"/>
    <w:rsid w:val="00801E82"/>
    <w:rsid w:val="008058BA"/>
    <w:rsid w:val="00806645"/>
    <w:rsid w:val="008074BA"/>
    <w:rsid w:val="0081021A"/>
    <w:rsid w:val="0081420E"/>
    <w:rsid w:val="00831543"/>
    <w:rsid w:val="00832572"/>
    <w:rsid w:val="00832BEC"/>
    <w:rsid w:val="0083498A"/>
    <w:rsid w:val="008364D7"/>
    <w:rsid w:val="00843CF0"/>
    <w:rsid w:val="008455F7"/>
    <w:rsid w:val="00847A30"/>
    <w:rsid w:val="008543BF"/>
    <w:rsid w:val="00855900"/>
    <w:rsid w:val="008572CD"/>
    <w:rsid w:val="00865574"/>
    <w:rsid w:val="0086667A"/>
    <w:rsid w:val="008669F9"/>
    <w:rsid w:val="0087301A"/>
    <w:rsid w:val="008761F3"/>
    <w:rsid w:val="0088122A"/>
    <w:rsid w:val="008832B1"/>
    <w:rsid w:val="00886B2D"/>
    <w:rsid w:val="008A5AE6"/>
    <w:rsid w:val="008C28BA"/>
    <w:rsid w:val="008C3CBA"/>
    <w:rsid w:val="008C582F"/>
    <w:rsid w:val="008D1963"/>
    <w:rsid w:val="008E60BC"/>
    <w:rsid w:val="008E7417"/>
    <w:rsid w:val="008F0036"/>
    <w:rsid w:val="008F1233"/>
    <w:rsid w:val="008F3D4D"/>
    <w:rsid w:val="008F6775"/>
    <w:rsid w:val="008F6E25"/>
    <w:rsid w:val="009057F2"/>
    <w:rsid w:val="00917152"/>
    <w:rsid w:val="009179D0"/>
    <w:rsid w:val="00917B51"/>
    <w:rsid w:val="00920931"/>
    <w:rsid w:val="00927D80"/>
    <w:rsid w:val="009323A3"/>
    <w:rsid w:val="00932D11"/>
    <w:rsid w:val="00933B24"/>
    <w:rsid w:val="009413E9"/>
    <w:rsid w:val="009428C0"/>
    <w:rsid w:val="00951B6E"/>
    <w:rsid w:val="00954FDF"/>
    <w:rsid w:val="009559F2"/>
    <w:rsid w:val="00956C8E"/>
    <w:rsid w:val="009620F3"/>
    <w:rsid w:val="0096339B"/>
    <w:rsid w:val="009764C3"/>
    <w:rsid w:val="009827E5"/>
    <w:rsid w:val="00983807"/>
    <w:rsid w:val="00984606"/>
    <w:rsid w:val="00986817"/>
    <w:rsid w:val="00992D82"/>
    <w:rsid w:val="00997C28"/>
    <w:rsid w:val="009A2E4B"/>
    <w:rsid w:val="009B309F"/>
    <w:rsid w:val="009C0E8E"/>
    <w:rsid w:val="009C2FFB"/>
    <w:rsid w:val="009D512C"/>
    <w:rsid w:val="009D61DC"/>
    <w:rsid w:val="009D7248"/>
    <w:rsid w:val="009E4BFB"/>
    <w:rsid w:val="009F0FB2"/>
    <w:rsid w:val="00A0646C"/>
    <w:rsid w:val="00A06757"/>
    <w:rsid w:val="00A06C60"/>
    <w:rsid w:val="00A150BF"/>
    <w:rsid w:val="00A3245D"/>
    <w:rsid w:val="00A352F9"/>
    <w:rsid w:val="00A353C9"/>
    <w:rsid w:val="00A375BF"/>
    <w:rsid w:val="00A4208F"/>
    <w:rsid w:val="00A432FD"/>
    <w:rsid w:val="00A43F01"/>
    <w:rsid w:val="00A56365"/>
    <w:rsid w:val="00A66B8F"/>
    <w:rsid w:val="00A70E2B"/>
    <w:rsid w:val="00A860C3"/>
    <w:rsid w:val="00A9225F"/>
    <w:rsid w:val="00A9302B"/>
    <w:rsid w:val="00AA1310"/>
    <w:rsid w:val="00AA322B"/>
    <w:rsid w:val="00AB24F4"/>
    <w:rsid w:val="00AB3BA8"/>
    <w:rsid w:val="00AB53D1"/>
    <w:rsid w:val="00AB5A8C"/>
    <w:rsid w:val="00AC21E0"/>
    <w:rsid w:val="00AC3B8D"/>
    <w:rsid w:val="00AC75FC"/>
    <w:rsid w:val="00AD2724"/>
    <w:rsid w:val="00AD2AC8"/>
    <w:rsid w:val="00AE73F1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3468F"/>
    <w:rsid w:val="00B40F66"/>
    <w:rsid w:val="00B42DEE"/>
    <w:rsid w:val="00B44148"/>
    <w:rsid w:val="00B5025D"/>
    <w:rsid w:val="00B507F0"/>
    <w:rsid w:val="00B52408"/>
    <w:rsid w:val="00B53D04"/>
    <w:rsid w:val="00B54FC6"/>
    <w:rsid w:val="00B57E9A"/>
    <w:rsid w:val="00B64765"/>
    <w:rsid w:val="00B64E59"/>
    <w:rsid w:val="00B77B13"/>
    <w:rsid w:val="00B80C89"/>
    <w:rsid w:val="00B864DC"/>
    <w:rsid w:val="00B871C3"/>
    <w:rsid w:val="00B90951"/>
    <w:rsid w:val="00B9200A"/>
    <w:rsid w:val="00BA5FB5"/>
    <w:rsid w:val="00BA6C77"/>
    <w:rsid w:val="00BB043D"/>
    <w:rsid w:val="00BB19AA"/>
    <w:rsid w:val="00BB34E6"/>
    <w:rsid w:val="00BB41AB"/>
    <w:rsid w:val="00BB48A3"/>
    <w:rsid w:val="00BC05B4"/>
    <w:rsid w:val="00BC0953"/>
    <w:rsid w:val="00BC6DB8"/>
    <w:rsid w:val="00BC7183"/>
    <w:rsid w:val="00BE3849"/>
    <w:rsid w:val="00BE3F58"/>
    <w:rsid w:val="00BE745E"/>
    <w:rsid w:val="00BF004A"/>
    <w:rsid w:val="00BF00EC"/>
    <w:rsid w:val="00BF4C33"/>
    <w:rsid w:val="00BF6067"/>
    <w:rsid w:val="00C01BA2"/>
    <w:rsid w:val="00C0417A"/>
    <w:rsid w:val="00C0544E"/>
    <w:rsid w:val="00C0703E"/>
    <w:rsid w:val="00C07E9D"/>
    <w:rsid w:val="00C1093F"/>
    <w:rsid w:val="00C10A5F"/>
    <w:rsid w:val="00C122EE"/>
    <w:rsid w:val="00C14F8A"/>
    <w:rsid w:val="00C160D3"/>
    <w:rsid w:val="00C20D0B"/>
    <w:rsid w:val="00C30CD3"/>
    <w:rsid w:val="00C3307E"/>
    <w:rsid w:val="00C34491"/>
    <w:rsid w:val="00C36131"/>
    <w:rsid w:val="00C426B4"/>
    <w:rsid w:val="00C42B65"/>
    <w:rsid w:val="00C43657"/>
    <w:rsid w:val="00C437F9"/>
    <w:rsid w:val="00C44821"/>
    <w:rsid w:val="00C6690D"/>
    <w:rsid w:val="00C66FA0"/>
    <w:rsid w:val="00C70E28"/>
    <w:rsid w:val="00C742A9"/>
    <w:rsid w:val="00C80628"/>
    <w:rsid w:val="00C818BD"/>
    <w:rsid w:val="00C876FA"/>
    <w:rsid w:val="00C96081"/>
    <w:rsid w:val="00CA0A9D"/>
    <w:rsid w:val="00CA1A5C"/>
    <w:rsid w:val="00CA5108"/>
    <w:rsid w:val="00CA6362"/>
    <w:rsid w:val="00CA67CD"/>
    <w:rsid w:val="00CA769F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D02EDA"/>
    <w:rsid w:val="00D0575B"/>
    <w:rsid w:val="00D153A8"/>
    <w:rsid w:val="00D211AA"/>
    <w:rsid w:val="00D22709"/>
    <w:rsid w:val="00D273B1"/>
    <w:rsid w:val="00D27F7E"/>
    <w:rsid w:val="00D316E2"/>
    <w:rsid w:val="00D329A0"/>
    <w:rsid w:val="00D40636"/>
    <w:rsid w:val="00D41728"/>
    <w:rsid w:val="00D51811"/>
    <w:rsid w:val="00D5283B"/>
    <w:rsid w:val="00D568A2"/>
    <w:rsid w:val="00D65E7D"/>
    <w:rsid w:val="00D67C93"/>
    <w:rsid w:val="00D71E06"/>
    <w:rsid w:val="00D81D76"/>
    <w:rsid w:val="00D87C35"/>
    <w:rsid w:val="00D97DA3"/>
    <w:rsid w:val="00DA1B16"/>
    <w:rsid w:val="00DA4A61"/>
    <w:rsid w:val="00DA738A"/>
    <w:rsid w:val="00DB5237"/>
    <w:rsid w:val="00DB6A76"/>
    <w:rsid w:val="00DC2CC8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6599"/>
    <w:rsid w:val="00DF72DC"/>
    <w:rsid w:val="00E04E00"/>
    <w:rsid w:val="00E07F77"/>
    <w:rsid w:val="00E10658"/>
    <w:rsid w:val="00E15A61"/>
    <w:rsid w:val="00E1787F"/>
    <w:rsid w:val="00E24EAA"/>
    <w:rsid w:val="00E34306"/>
    <w:rsid w:val="00E435A0"/>
    <w:rsid w:val="00E45723"/>
    <w:rsid w:val="00E45E34"/>
    <w:rsid w:val="00E67D08"/>
    <w:rsid w:val="00E7318E"/>
    <w:rsid w:val="00E732AB"/>
    <w:rsid w:val="00E749CE"/>
    <w:rsid w:val="00E776D0"/>
    <w:rsid w:val="00E9591D"/>
    <w:rsid w:val="00EA6275"/>
    <w:rsid w:val="00EB4CDF"/>
    <w:rsid w:val="00EB797B"/>
    <w:rsid w:val="00EB7F61"/>
    <w:rsid w:val="00EC39A9"/>
    <w:rsid w:val="00EC473A"/>
    <w:rsid w:val="00EC73A9"/>
    <w:rsid w:val="00ED77C8"/>
    <w:rsid w:val="00EE03BB"/>
    <w:rsid w:val="00EE0783"/>
    <w:rsid w:val="00EE39DC"/>
    <w:rsid w:val="00EE6D2E"/>
    <w:rsid w:val="00EF0BDD"/>
    <w:rsid w:val="00F010D2"/>
    <w:rsid w:val="00F023E2"/>
    <w:rsid w:val="00F02BDE"/>
    <w:rsid w:val="00F03644"/>
    <w:rsid w:val="00F258EB"/>
    <w:rsid w:val="00F31579"/>
    <w:rsid w:val="00F3348E"/>
    <w:rsid w:val="00F3530B"/>
    <w:rsid w:val="00F44DCD"/>
    <w:rsid w:val="00F5288E"/>
    <w:rsid w:val="00F60963"/>
    <w:rsid w:val="00F616B8"/>
    <w:rsid w:val="00F61D4B"/>
    <w:rsid w:val="00F62E73"/>
    <w:rsid w:val="00F635CF"/>
    <w:rsid w:val="00F74EE9"/>
    <w:rsid w:val="00F80504"/>
    <w:rsid w:val="00F83E5C"/>
    <w:rsid w:val="00F86750"/>
    <w:rsid w:val="00F90BFC"/>
    <w:rsid w:val="00F93889"/>
    <w:rsid w:val="00FA7925"/>
    <w:rsid w:val="00FB3161"/>
    <w:rsid w:val="00FB57CF"/>
    <w:rsid w:val="00FB6377"/>
    <w:rsid w:val="00FB7DCA"/>
    <w:rsid w:val="00FC23BC"/>
    <w:rsid w:val="00FC4B5D"/>
    <w:rsid w:val="00FC6D42"/>
    <w:rsid w:val="00FE4F20"/>
    <w:rsid w:val="00FE657C"/>
    <w:rsid w:val="00FF490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08779E"/>
  <w15:chartTrackingRefBased/>
  <w15:docId w15:val="{35E184BA-C70A-4721-B865-7FF8D00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EA6275"/>
    <w:pPr>
      <w:spacing w:before="0" w:after="120"/>
      <w:ind w:hanging="16"/>
    </w:pPr>
    <w:rPr>
      <w:rFonts w:ascii="Corbel" w:hAnsi="Corbel"/>
      <w:b/>
      <w:color w:val="881B43"/>
      <w:sz w:val="36"/>
      <w:szCs w:val="36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EA6275"/>
    <w:rPr>
      <w:rFonts w:ascii="Corbel" w:eastAsia="Times New Roman" w:hAnsi="Corbel"/>
      <w:b/>
      <w:color w:val="881B43"/>
      <w:sz w:val="36"/>
      <w:szCs w:val="36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4706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161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16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0DD6-75CA-4724-8A5C-F14A4CDD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5048</Characters>
  <Application>Microsoft Office Word</Application>
  <DocSecurity>0</DocSecurity>
  <Lines>162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cp:lastModifiedBy>Jens Harder</cp:lastModifiedBy>
  <cp:revision>3</cp:revision>
  <cp:lastPrinted>2020-05-11T08:23:00Z</cp:lastPrinted>
  <dcterms:created xsi:type="dcterms:W3CDTF">2020-06-25T07:46:00Z</dcterms:created>
  <dcterms:modified xsi:type="dcterms:W3CDTF">2020-06-25T10:19:00Z</dcterms:modified>
</cp:coreProperties>
</file>