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728" w14:textId="4B39C318" w:rsidR="00CA79D7" w:rsidRPr="004C322C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F40B12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1550FE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3613CB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</w:p>
    <w:p w14:paraId="7C2D2599" w14:textId="76976128" w:rsidR="00CA79D7" w:rsidRPr="004C322C" w:rsidRDefault="00F4739C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Den Blick in die Zukunft gerichtet</w:t>
      </w:r>
    </w:p>
    <w:p w14:paraId="743073FD" w14:textId="417D4D9D" w:rsidR="003152C9" w:rsidRPr="004C322C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4EADD5C" w14:textId="303D1107" w:rsidR="004F09D7" w:rsidRPr="00E822DD" w:rsidRDefault="00062237" w:rsidP="004F0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  <w:lang w:val="en-GB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  <w:lang w:val="en-GB"/>
        </w:rPr>
        <w:drawing>
          <wp:inline distT="0" distB="0" distL="0" distR="0" wp14:anchorId="33A0793E" wp14:editId="3D0C9B00">
            <wp:extent cx="3471088" cy="1924050"/>
            <wp:effectExtent l="19050" t="19050" r="15240" b="19050"/>
            <wp:docPr id="18923454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27" cy="19731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E5673" w:rsidRPr="00E822DD">
        <w:rPr>
          <w:rFonts w:ascii="Source Sans Pro" w:hAnsi="Source Sans Pro" w:cs="Source Sans Pro"/>
          <w:color w:val="0086A8"/>
          <w:sz w:val="22"/>
          <w:szCs w:val="22"/>
          <w:lang w:val="en-GB"/>
        </w:rPr>
        <w:br w:type="textWrapping" w:clear="all"/>
      </w:r>
    </w:p>
    <w:p w14:paraId="0785FA51" w14:textId="2E140515" w:rsidR="008C276D" w:rsidRDefault="0092334A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8B1BA3">
        <w:rPr>
          <w:rFonts w:ascii="Source Sans Pro" w:hAnsi="Source Sans Pro" w:cs="Source Sans Pro"/>
          <w:color w:val="0086A8"/>
          <w:sz w:val="22"/>
          <w:szCs w:val="22"/>
        </w:rPr>
        <w:t>0</w:t>
      </w:r>
      <w:r w:rsidR="004C322C">
        <w:rPr>
          <w:rFonts w:ascii="Source Sans Pro" w:hAnsi="Source Sans Pro" w:cs="Source Sans Pro"/>
          <w:color w:val="0086A8"/>
          <w:sz w:val="22"/>
          <w:szCs w:val="22"/>
        </w:rPr>
        <w:t>3</w:t>
      </w:r>
      <w:r w:rsidR="007D5A52" w:rsidRPr="008B1BA3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F40B12" w:rsidRPr="008B1BA3"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0021F4" w:rsidRPr="008B1BA3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 w:rsidR="003613CB" w:rsidRPr="008B1BA3">
        <w:rPr>
          <w:rFonts w:ascii="Source Sans Pro" w:hAnsi="Source Sans Pro" w:cs="Source Sans Pro"/>
          <w:color w:val="0087A8"/>
          <w:sz w:val="22"/>
          <w:szCs w:val="22"/>
        </w:rPr>
        <w:t>4</w:t>
      </w:r>
      <w:r w:rsidR="007D5A52" w:rsidRPr="008B1BA3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8B1BA3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7A17C3" w:rsidRPr="007A17C3">
        <w:rPr>
          <w:rFonts w:ascii="Source Sans Pro" w:hAnsi="Source Sans Pro" w:cs="Source Sans Pro"/>
          <w:color w:val="auto"/>
          <w:sz w:val="22"/>
          <w:szCs w:val="22"/>
        </w:rPr>
        <w:t xml:space="preserve">Die gute Nachricht: Im 1. Quartal 2024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>kletterte das Transaktionsvolumen für gewerbliche Immobilieninvestments</w:t>
      </w:r>
      <w:r w:rsidR="007A17C3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F4739C">
        <w:rPr>
          <w:rFonts w:ascii="Source Sans Pro" w:hAnsi="Source Sans Pro" w:cs="Source Sans Pro"/>
          <w:color w:val="auto"/>
          <w:sz w:val="22"/>
          <w:szCs w:val="22"/>
        </w:rPr>
        <w:t xml:space="preserve">an den deutschen Top-7-Standorten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 xml:space="preserve">um </w:t>
      </w:r>
      <w:r w:rsidR="007A17C3">
        <w:rPr>
          <w:rFonts w:ascii="Source Sans Pro" w:hAnsi="Source Sans Pro" w:cs="Source Sans Pro"/>
          <w:color w:val="auto"/>
          <w:sz w:val="22"/>
          <w:szCs w:val="22"/>
        </w:rPr>
        <w:t xml:space="preserve">19 %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 xml:space="preserve">verglichen mit dem </w:t>
      </w:r>
      <w:r w:rsidR="00F4739C">
        <w:rPr>
          <w:rFonts w:ascii="Source Sans Pro" w:hAnsi="Source Sans Pro" w:cs="Source Sans Pro"/>
          <w:color w:val="auto"/>
          <w:sz w:val="22"/>
          <w:szCs w:val="22"/>
        </w:rPr>
        <w:t>V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>orjahres</w:t>
      </w:r>
      <w:r w:rsidR="00F4739C">
        <w:rPr>
          <w:rFonts w:ascii="Source Sans Pro" w:hAnsi="Source Sans Pro" w:cs="Source Sans Pro"/>
          <w:color w:val="auto"/>
          <w:sz w:val="22"/>
          <w:szCs w:val="22"/>
        </w:rPr>
        <w:t xml:space="preserve">zeitraum. 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>D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 xml:space="preserve">ie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>Veräußerungen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>summierten sich auf 2,50 Mrd. €.</w:t>
      </w:r>
    </w:p>
    <w:p w14:paraId="781EB5B8" w14:textId="77777777" w:rsidR="008C276D" w:rsidRDefault="008C276D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20A155C4" w14:textId="19265557" w:rsidR="00F4739C" w:rsidRDefault="00F4739C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>Die schlechte</w:t>
      </w:r>
      <w:r w:rsidRPr="00F4739C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Pr="007A17C3">
        <w:rPr>
          <w:rFonts w:ascii="Source Sans Pro" w:hAnsi="Source Sans Pro" w:cs="Source Sans Pro"/>
          <w:color w:val="auto"/>
          <w:sz w:val="22"/>
          <w:szCs w:val="22"/>
        </w:rPr>
        <w:t>Nachricht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: Das 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>Top-7-Verkaufs</w:t>
      </w:r>
      <w:r>
        <w:rPr>
          <w:rFonts w:ascii="Source Sans Pro" w:hAnsi="Source Sans Pro" w:cs="Source Sans Pro"/>
          <w:color w:val="auto"/>
          <w:sz w:val="22"/>
          <w:szCs w:val="22"/>
        </w:rPr>
        <w:t>volumen vor einem Jahr</w:t>
      </w:r>
      <w:r w:rsidR="00BC7A4D">
        <w:rPr>
          <w:rFonts w:ascii="Source Sans Pro" w:hAnsi="Source Sans Pro" w:cs="Source Sans Pro"/>
          <w:color w:val="auto"/>
          <w:sz w:val="22"/>
          <w:szCs w:val="22"/>
        </w:rPr>
        <w:t xml:space="preserve"> (2,10 Mrd. €)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war 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 xml:space="preserve">nach 2009 </w:t>
      </w:r>
      <w:r w:rsidR="00BC7A4D">
        <w:rPr>
          <w:rFonts w:ascii="Source Sans Pro" w:hAnsi="Source Sans Pro" w:cs="Source Sans Pro"/>
          <w:color w:val="auto"/>
          <w:sz w:val="22"/>
          <w:szCs w:val="22"/>
        </w:rPr>
        <w:t xml:space="preserve">(1,66 Mrd. €)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das 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>zweit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niedrigste Ergebnis am Ende eines 1. Quartals. Daher handelt es sich bei </w:t>
      </w:r>
      <w:r w:rsidR="008C276D">
        <w:rPr>
          <w:rFonts w:ascii="Source Sans Pro" w:hAnsi="Source Sans Pro" w:cs="Source Sans Pro"/>
          <w:color w:val="auto"/>
          <w:sz w:val="22"/>
          <w:szCs w:val="22"/>
        </w:rPr>
        <w:t>der aktuellen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Steigerung 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>weniger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um eine nachhaltige Marktbelebung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 xml:space="preserve"> als um ein</w:t>
      </w:r>
      <w:r w:rsidR="007A17C3">
        <w:rPr>
          <w:rFonts w:ascii="Source Sans Pro" w:hAnsi="Source Sans Pro" w:cs="Source Sans Pro"/>
          <w:color w:val="auto"/>
          <w:sz w:val="22"/>
          <w:szCs w:val="22"/>
        </w:rPr>
        <w:t xml:space="preserve"> rechnerisch</w:t>
      </w:r>
      <w:r>
        <w:rPr>
          <w:rFonts w:ascii="Source Sans Pro" w:hAnsi="Source Sans Pro" w:cs="Source Sans Pro"/>
          <w:color w:val="auto"/>
          <w:sz w:val="22"/>
          <w:szCs w:val="22"/>
        </w:rPr>
        <w:t>e</w:t>
      </w:r>
      <w:r w:rsidR="00190761">
        <w:rPr>
          <w:rFonts w:ascii="Source Sans Pro" w:hAnsi="Source Sans Pro" w:cs="Source Sans Pro"/>
          <w:color w:val="auto"/>
          <w:sz w:val="22"/>
          <w:szCs w:val="22"/>
        </w:rPr>
        <w:t>s Plus</w:t>
      </w:r>
      <w:r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110F8E" w:rsidRPr="00110F8E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110F8E">
        <w:rPr>
          <w:rFonts w:ascii="Source Sans Pro" w:hAnsi="Source Sans Pro" w:cs="Source Sans Pro"/>
          <w:color w:val="auto"/>
          <w:sz w:val="22"/>
          <w:szCs w:val="22"/>
        </w:rPr>
        <w:t xml:space="preserve">Dies 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>ergaben</w:t>
      </w:r>
      <w:r w:rsidR="00110F8E">
        <w:rPr>
          <w:rFonts w:ascii="Source Sans Pro" w:hAnsi="Source Sans Pro" w:cs="Source Sans Pro"/>
          <w:color w:val="auto"/>
          <w:sz w:val="22"/>
          <w:szCs w:val="22"/>
        </w:rPr>
        <w:t xml:space="preserve"> Analysen von German Property Partners (GPP).</w:t>
      </w:r>
    </w:p>
    <w:p w14:paraId="608D6918" w14:textId="77777777" w:rsidR="00F4739C" w:rsidRDefault="00F4739C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4130C316" w14:textId="556C2EAB" w:rsidR="00F4739C" w:rsidRPr="008A3638" w:rsidRDefault="00F4739C" w:rsidP="00F4739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  <w:r w:rsidRPr="008A3638">
        <w:rPr>
          <w:rFonts w:ascii="Source Sans Pro" w:hAnsi="Source Sans Pro" w:cs="Arial"/>
          <w:bCs/>
          <w:i/>
          <w:sz w:val="22"/>
          <w:szCs w:val="22"/>
        </w:rPr>
        <w:t>„</w:t>
      </w:r>
      <w:r w:rsidR="008A3638" w:rsidRPr="008A3638">
        <w:rPr>
          <w:rFonts w:ascii="Source Sans Pro" w:hAnsi="Source Sans Pro" w:cs="Arial"/>
          <w:bCs/>
          <w:i/>
          <w:sz w:val="22"/>
          <w:szCs w:val="22"/>
        </w:rPr>
        <w:t>A</w:t>
      </w:r>
      <w:r w:rsidR="008A3638" w:rsidRPr="008A3638">
        <w:rPr>
          <w:rFonts w:ascii="Source Sans Pro" w:hAnsi="Source Sans Pro" w:cs="Source Sans Pro"/>
          <w:i/>
          <w:color w:val="auto"/>
          <w:sz w:val="22"/>
          <w:szCs w:val="22"/>
        </w:rPr>
        <w:t xml:space="preserve">n allen Top-7-Standorten fanden zwischen Januar und März </w:t>
      </w:r>
      <w:r w:rsidR="00682849">
        <w:rPr>
          <w:rFonts w:ascii="Source Sans Pro" w:hAnsi="Source Sans Pro" w:cs="Source Sans Pro"/>
          <w:i/>
          <w:color w:val="auto"/>
          <w:sz w:val="22"/>
          <w:szCs w:val="22"/>
        </w:rPr>
        <w:t xml:space="preserve">nur </w:t>
      </w:r>
      <w:r w:rsidR="008A3638" w:rsidRPr="008A3638">
        <w:rPr>
          <w:rFonts w:ascii="Source Sans Pro" w:hAnsi="Source Sans Pro" w:cs="Source Sans Pro"/>
          <w:i/>
          <w:color w:val="auto"/>
          <w:sz w:val="22"/>
          <w:szCs w:val="22"/>
        </w:rPr>
        <w:t>wenige Verkäufe statt.</w:t>
      </w:r>
      <w:r w:rsidR="008A3638" w:rsidRPr="008A3638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r w:rsidR="0050248F">
        <w:rPr>
          <w:rFonts w:ascii="Source Sans Pro" w:hAnsi="Source Sans Pro" w:cs="Arial"/>
          <w:bCs/>
          <w:i/>
          <w:sz w:val="22"/>
          <w:szCs w:val="22"/>
        </w:rPr>
        <w:t xml:space="preserve">Entsprechend </w:t>
      </w:r>
      <w:r w:rsidR="0050248F" w:rsidRPr="008A3638">
        <w:rPr>
          <w:rFonts w:ascii="Source Sans Pro" w:hAnsi="Source Sans Pro" w:cs="Arial"/>
          <w:bCs/>
          <w:i/>
          <w:sz w:val="22"/>
          <w:szCs w:val="22"/>
        </w:rPr>
        <w:t>verhalten</w:t>
      </w:r>
      <w:r w:rsidR="0050248F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r w:rsidR="009F5763">
        <w:rPr>
          <w:rFonts w:ascii="Source Sans Pro" w:hAnsi="Source Sans Pro" w:cs="Arial"/>
          <w:bCs/>
          <w:i/>
          <w:sz w:val="22"/>
          <w:szCs w:val="22"/>
        </w:rPr>
        <w:t>war</w:t>
      </w:r>
      <w:r w:rsidR="0050248F">
        <w:rPr>
          <w:rFonts w:ascii="Source Sans Pro" w:hAnsi="Source Sans Pro" w:cs="Arial"/>
          <w:bCs/>
          <w:i/>
          <w:sz w:val="22"/>
          <w:szCs w:val="22"/>
        </w:rPr>
        <w:t xml:space="preserve"> die</w:t>
      </w:r>
      <w:r w:rsidR="008A3638" w:rsidRPr="008A3638">
        <w:rPr>
          <w:rFonts w:ascii="Source Sans Pro" w:hAnsi="Source Sans Pro" w:cs="Arial"/>
          <w:bCs/>
          <w:i/>
          <w:sz w:val="22"/>
          <w:szCs w:val="22"/>
        </w:rPr>
        <w:t xml:space="preserve"> Stimmung</w:t>
      </w:r>
      <w:r w:rsidRPr="008A3638">
        <w:rPr>
          <w:rFonts w:ascii="Source Sans Pro" w:hAnsi="Source Sans Pro" w:cs="Arial"/>
          <w:bCs/>
          <w:i/>
          <w:sz w:val="22"/>
          <w:szCs w:val="22"/>
        </w:rPr>
        <w:t xml:space="preserve">“, </w:t>
      </w:r>
      <w:r w:rsidRPr="00340A89">
        <w:rPr>
          <w:rFonts w:ascii="Source Sans Pro" w:hAnsi="Source Sans Pro" w:cs="Arial"/>
          <w:bCs/>
          <w:iCs/>
          <w:sz w:val="22"/>
          <w:szCs w:val="22"/>
        </w:rPr>
        <w:t xml:space="preserve">ordnet GPP-Sprecher </w:t>
      </w:r>
      <w:r w:rsidRPr="00340A89">
        <w:rPr>
          <w:rFonts w:ascii="Source Sans Pro" w:hAnsi="Source Sans Pro" w:cs="Source Sans Pro"/>
          <w:b/>
          <w:iCs/>
          <w:sz w:val="22"/>
          <w:szCs w:val="22"/>
        </w:rPr>
        <w:t>Björn Holzwarth</w:t>
      </w:r>
      <w:r w:rsidRPr="00340A89">
        <w:rPr>
          <w:rFonts w:ascii="Source Sans Pro" w:hAnsi="Source Sans Pro" w:cs="Source Sans Pro"/>
          <w:bCs/>
          <w:iCs/>
          <w:sz w:val="22"/>
          <w:szCs w:val="22"/>
        </w:rPr>
        <w:t xml:space="preserve"> </w:t>
      </w:r>
      <w:r w:rsidRPr="00340A89">
        <w:rPr>
          <w:rFonts w:ascii="Source Sans Pro" w:hAnsi="Source Sans Pro" w:cs="Source Sans Pro"/>
          <w:iCs/>
          <w:sz w:val="22"/>
          <w:szCs w:val="22"/>
        </w:rPr>
        <w:t>ein.</w:t>
      </w:r>
    </w:p>
    <w:p w14:paraId="0132CFC8" w14:textId="77777777" w:rsidR="00F4739C" w:rsidRDefault="00F4739C" w:rsidP="00F4739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sz w:val="22"/>
          <w:szCs w:val="22"/>
        </w:rPr>
      </w:pPr>
    </w:p>
    <w:p w14:paraId="6E70C5A1" w14:textId="5B921510" w:rsidR="003613CB" w:rsidRDefault="00682849" w:rsidP="00903C74">
      <w:pPr>
        <w:pStyle w:val="EinfAbs"/>
        <w:numPr>
          <w:ilvl w:val="0"/>
          <w:numId w:val="12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>D</w:t>
      </w:r>
      <w:r w:rsidR="000C6B4F" w:rsidRPr="000C6B4F">
        <w:rPr>
          <w:rFonts w:ascii="Source Sans Pro" w:hAnsi="Source Sans Pro" w:cs="Source Sans Pro"/>
          <w:color w:val="auto"/>
          <w:sz w:val="22"/>
          <w:szCs w:val="22"/>
        </w:rPr>
        <w:t>ie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 xml:space="preserve"> Top-7-Märkte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starteten 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>extrem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 xml:space="preserve">unterschiedlich ins Jahr 2024: Während in Stuttgart </w:t>
      </w:r>
      <w:r w:rsidR="007A17C3">
        <w:rPr>
          <w:rFonts w:ascii="Source Sans Pro" w:hAnsi="Source Sans Pro" w:cs="Source Sans Pro"/>
          <w:color w:val="auto"/>
          <w:sz w:val="22"/>
          <w:szCs w:val="22"/>
        </w:rPr>
        <w:t>erstmals</w:t>
      </w:r>
      <w:r w:rsidR="0085416C">
        <w:rPr>
          <w:rFonts w:ascii="Source Sans Pro" w:hAnsi="Source Sans Pro" w:cs="Source Sans Pro"/>
          <w:color w:val="auto"/>
          <w:sz w:val="22"/>
          <w:szCs w:val="22"/>
        </w:rPr>
        <w:t xml:space="preserve"> kein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 xml:space="preserve"> einziger Verkauf stattfand, katapultierten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 xml:space="preserve">zwei Großabschlüsse 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>das Verkaufs</w:t>
      </w:r>
      <w:r w:rsidR="008472D3">
        <w:rPr>
          <w:rFonts w:ascii="Source Sans Pro" w:hAnsi="Source Sans Pro" w:cs="Source Sans Pro"/>
          <w:color w:val="auto"/>
          <w:sz w:val="22"/>
          <w:szCs w:val="22"/>
        </w:rPr>
        <w:t>-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>volumen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 xml:space="preserve"> in München um </w:t>
      </w:r>
      <w:r w:rsidR="008B68F7">
        <w:rPr>
          <w:rFonts w:ascii="Source Sans Pro" w:hAnsi="Source Sans Pro" w:cs="Source Sans Pro"/>
          <w:color w:val="auto"/>
          <w:sz w:val="22"/>
          <w:szCs w:val="22"/>
        </w:rPr>
        <w:t>142 %</w:t>
      </w:r>
      <w:r w:rsidR="000C6B4F">
        <w:rPr>
          <w:rFonts w:ascii="Source Sans Pro" w:hAnsi="Source Sans Pro" w:cs="Source Sans Pro"/>
          <w:color w:val="auto"/>
          <w:sz w:val="22"/>
          <w:szCs w:val="22"/>
        </w:rPr>
        <w:t xml:space="preserve"> in die Höhe</w:t>
      </w:r>
      <w:r w:rsidR="008B68F7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8472D3">
        <w:rPr>
          <w:rFonts w:ascii="Source Sans Pro" w:hAnsi="Source Sans Pro" w:cs="Source Sans Pro"/>
          <w:color w:val="auto"/>
          <w:sz w:val="22"/>
          <w:szCs w:val="22"/>
        </w:rPr>
        <w:t>Sie standen für</w:t>
      </w:r>
      <w:r w:rsidR="00340A89">
        <w:rPr>
          <w:rFonts w:ascii="Source Sans Pro" w:hAnsi="Source Sans Pro" w:cs="Source Sans Pro"/>
          <w:color w:val="auto"/>
          <w:sz w:val="22"/>
          <w:szCs w:val="22"/>
        </w:rPr>
        <w:t xml:space="preserve"> 80 % des Münchner Ergebnisses.</w:t>
      </w:r>
    </w:p>
    <w:p w14:paraId="0E60D9A6" w14:textId="6A551139" w:rsidR="00340A89" w:rsidRDefault="00340A89" w:rsidP="00903C74">
      <w:pPr>
        <w:pStyle w:val="EinfAbs"/>
        <w:numPr>
          <w:ilvl w:val="0"/>
          <w:numId w:val="12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 xml:space="preserve">Mit einem TAV-Anteil von 15 % 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 xml:space="preserve">(1Q23: </w:t>
      </w:r>
      <w:r w:rsidR="009F5763">
        <w:rPr>
          <w:rFonts w:ascii="Source Sans Pro" w:hAnsi="Source Sans Pro" w:cs="Source Sans Pro"/>
          <w:color w:val="auto"/>
          <w:sz w:val="22"/>
          <w:szCs w:val="22"/>
        </w:rPr>
        <w:t>40 %</w:t>
      </w:r>
      <w:r w:rsidR="00474AC5">
        <w:rPr>
          <w:rFonts w:ascii="Source Sans Pro" w:hAnsi="Source Sans Pro" w:cs="Source Sans Pro"/>
          <w:color w:val="auto"/>
          <w:sz w:val="22"/>
          <w:szCs w:val="22"/>
        </w:rPr>
        <w:t>)</w:t>
      </w:r>
      <w:r w:rsidR="009F5763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>machten internationale Investoren einen Bogen um die Top-7-Standorte.</w:t>
      </w:r>
      <w:r w:rsidR="00682849">
        <w:rPr>
          <w:rFonts w:ascii="Source Sans Pro" w:hAnsi="Source Sans Pro" w:cs="Source Sans Pro"/>
          <w:color w:val="auto"/>
          <w:sz w:val="22"/>
          <w:szCs w:val="22"/>
        </w:rPr>
        <w:t xml:space="preserve"> In Düsseldorf, Frankfurt, Stuttgart und München </w:t>
      </w:r>
      <w:r w:rsidR="000772AE">
        <w:rPr>
          <w:rFonts w:ascii="Source Sans Pro" w:hAnsi="Source Sans Pro" w:cs="Source Sans Pro"/>
          <w:color w:val="auto"/>
          <w:sz w:val="22"/>
          <w:szCs w:val="22"/>
        </w:rPr>
        <w:t>blieben</w:t>
      </w:r>
      <w:r w:rsidR="00682849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772AE">
        <w:rPr>
          <w:rFonts w:ascii="Source Sans Pro" w:hAnsi="Source Sans Pro" w:cs="Source Sans Pro"/>
          <w:color w:val="auto"/>
          <w:sz w:val="22"/>
          <w:szCs w:val="22"/>
        </w:rPr>
        <w:t>Käufer aus dem Ausland gänzlich aus.</w:t>
      </w:r>
      <w:r w:rsidR="00E77545">
        <w:rPr>
          <w:rFonts w:ascii="Source Sans Pro" w:hAnsi="Source Sans Pro" w:cs="Source Sans Pro"/>
          <w:color w:val="auto"/>
          <w:sz w:val="22"/>
          <w:szCs w:val="22"/>
        </w:rPr>
        <w:t xml:space="preserve"> Allerdings beobachten Internationale den deutschen Markt hinsichtlich sich bietender Chance sehr genau.</w:t>
      </w:r>
    </w:p>
    <w:p w14:paraId="0E27B180" w14:textId="6DBC643A" w:rsidR="009F5763" w:rsidRDefault="009F5763" w:rsidP="00903C74">
      <w:pPr>
        <w:pStyle w:val="EinfAbs"/>
        <w:numPr>
          <w:ilvl w:val="0"/>
          <w:numId w:val="12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 xml:space="preserve">Der größte TAV-Anteil mit 49 % entfiel auf Mischnutzungen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 xml:space="preserve">– aufgrund der zwei Großabschlüsse in München –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vor Büro- (18 %) </w:t>
      </w:r>
      <w:r w:rsidR="001304F6">
        <w:rPr>
          <w:rFonts w:ascii="Source Sans Pro" w:hAnsi="Source Sans Pro" w:cs="Source Sans Pro"/>
          <w:color w:val="auto"/>
          <w:sz w:val="22"/>
          <w:szCs w:val="22"/>
        </w:rPr>
        <w:t>und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9020E3">
        <w:rPr>
          <w:rFonts w:ascii="Source Sans Pro" w:hAnsi="Source Sans Pro" w:cs="Source Sans Pro"/>
          <w:color w:val="auto"/>
          <w:sz w:val="22"/>
          <w:szCs w:val="22"/>
        </w:rPr>
        <w:t xml:space="preserve">Industrie- und </w:t>
      </w:r>
      <w:r>
        <w:rPr>
          <w:rFonts w:ascii="Source Sans Pro" w:hAnsi="Source Sans Pro" w:cs="Source Sans Pro"/>
          <w:color w:val="auto"/>
          <w:sz w:val="22"/>
          <w:szCs w:val="22"/>
        </w:rPr>
        <w:t>Logistikimmobilien (13 %). Diese Assetklasse erfuhr mit +509 % auch den größten Zuwachs.</w:t>
      </w:r>
      <w:r w:rsidR="00DE49B7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</w:p>
    <w:p w14:paraId="2D2625EC" w14:textId="77777777" w:rsidR="009F5763" w:rsidRDefault="009F5763" w:rsidP="009F576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052BEB9C" w14:textId="356B7377" w:rsidR="00682849" w:rsidRPr="008B1BA3" w:rsidRDefault="009F5763" w:rsidP="009F576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9F5763">
        <w:rPr>
          <w:rFonts w:ascii="Source Sans Pro" w:hAnsi="Source Sans Pro" w:cs="Source Sans Pro"/>
          <w:b/>
          <w:bCs/>
          <w:color w:val="auto"/>
          <w:sz w:val="22"/>
          <w:szCs w:val="22"/>
        </w:rPr>
        <w:t>Holzwarth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: </w:t>
      </w:r>
      <w:r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„</w:t>
      </w:r>
      <w:r w:rsidR="00DE49B7" w:rsidRPr="00DE49B7">
        <w:rPr>
          <w:rFonts w:ascii="Source Sans Pro" w:hAnsi="Source Sans Pro" w:cs="Source Sans Pro"/>
          <w:i/>
          <w:iCs/>
          <w:color w:val="auto"/>
          <w:sz w:val="22"/>
          <w:szCs w:val="22"/>
        </w:rPr>
        <w:t>Auch bei Büros</w:t>
      </w:r>
      <w:r w:rsidR="00DE49B7" w:rsidRPr="00DE49B7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gibt es wieder mehr Aktivitäten.</w:t>
      </w:r>
      <w:r w:rsidR="00DE49B7" w:rsidRPr="00DE49B7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</w:t>
      </w:r>
      <w:r w:rsidR="00E77545" w:rsidRPr="00E77545">
        <w:rPr>
          <w:rFonts w:ascii="Source Sans Pro" w:hAnsi="Source Sans Pro" w:cs="Source Sans Pro"/>
          <w:i/>
          <w:iCs/>
          <w:sz w:val="22"/>
          <w:szCs w:val="22"/>
        </w:rPr>
        <w:t>Eigenkapitalstarken Käufern bietet der Markt aktuell sehr gute Opportunitäten.</w:t>
      </w:r>
      <w:r w:rsidR="00E77545">
        <w:rPr>
          <w:rFonts w:ascii="Source Sans Pro" w:hAnsi="Source Sans Pro" w:cs="Source Sans Pro"/>
          <w:iCs/>
          <w:sz w:val="22"/>
          <w:szCs w:val="22"/>
        </w:rPr>
        <w:t xml:space="preserve"> </w:t>
      </w:r>
      <w:r w:rsidR="008472F9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Die Spitzenrenditen von Büros </w:t>
      </w:r>
      <w:r w:rsidR="00910B65">
        <w:rPr>
          <w:rFonts w:ascii="Source Sans Pro" w:hAnsi="Source Sans Pro" w:cs="Source Sans Pro"/>
          <w:i/>
          <w:iCs/>
          <w:color w:val="auto"/>
          <w:sz w:val="22"/>
          <w:szCs w:val="22"/>
        </w:rPr>
        <w:t>sowie</w:t>
      </w:r>
      <w:r w:rsidR="008472F9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</w:t>
      </w:r>
      <w:r w:rsidR="009020E3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Industrie- und </w:t>
      </w:r>
      <w:r w:rsidR="008472F9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Logistikimmobilien </w:t>
      </w:r>
      <w:r w:rsidR="0081166B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haben sich deutlich angenähert</w:t>
      </w:r>
      <w:r w:rsid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,</w:t>
      </w:r>
      <w:r w:rsidR="00474AC5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</w:t>
      </w:r>
      <w:r w:rsid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wobei</w:t>
      </w:r>
      <w:r w:rsidR="00474AC5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ihre Aussagekraft aufgrund der geringen Transaktionszahlen weiterhin sehr eingeschränkt</w:t>
      </w:r>
      <w:r w:rsid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 xml:space="preserve"> ist. Angesichts der sinkenden Inflation und einer möglichen Leitzinssenkung werden wieder mehr Gespräche geführt und verschiedene Ansätze geprüft. Das deutet auf eine moderate Marktbelebung im weiteren Jahresverlauf hin</w:t>
      </w:r>
      <w:r w:rsidR="00474AC5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.</w:t>
      </w:r>
      <w:r w:rsidR="00991B64" w:rsidRPr="00991B64">
        <w:rPr>
          <w:rFonts w:ascii="Source Sans Pro" w:hAnsi="Source Sans Pro" w:cs="Source Sans Pro"/>
          <w:i/>
          <w:iCs/>
          <w:color w:val="auto"/>
          <w:sz w:val="22"/>
          <w:szCs w:val="22"/>
        </w:rPr>
        <w:t>“</w:t>
      </w:r>
    </w:p>
    <w:p w14:paraId="258AEB40" w14:textId="77777777" w:rsidR="003613CB" w:rsidRPr="008B1BA3" w:rsidRDefault="003613C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2E3C6E2E" w14:textId="55359704" w:rsidR="00E822DD" w:rsidRDefault="000D6F1F" w:rsidP="00991B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 w:rsidRPr="003B63A8">
        <w:rPr>
          <w:rFonts w:ascii="Source Sans Pro" w:hAnsi="Source Sans Pro" w:cs="Source Sans Pro"/>
          <w:sz w:val="22"/>
          <w:szCs w:val="22"/>
        </w:rPr>
        <w:t>Zu</w:t>
      </w:r>
      <w:r w:rsidRPr="00EB1611">
        <w:rPr>
          <w:rFonts w:ascii="Source Sans Pro" w:hAnsi="Source Sans Pro" w:cs="Source Sans Pro"/>
          <w:sz w:val="22"/>
          <w:szCs w:val="22"/>
        </w:rPr>
        <w:t xml:space="preserve"> dem Gewerbeimmobiliennetzwerk gehören </w:t>
      </w:r>
      <w:r w:rsidRPr="00EB1611">
        <w:rPr>
          <w:rFonts w:ascii="Source Sans Pro" w:hAnsi="Source Sans Pro" w:cs="Arial"/>
          <w:bCs/>
          <w:sz w:val="22"/>
          <w:szCs w:val="22"/>
        </w:rPr>
        <w:t>Grossmann &amp; Berger</w:t>
      </w:r>
      <w:r w:rsidR="00484027">
        <w:rPr>
          <w:rFonts w:ascii="Source Sans Pro" w:hAnsi="Source Sans Pro" w:cs="Arial"/>
          <w:bCs/>
          <w:sz w:val="22"/>
          <w:szCs w:val="22"/>
        </w:rPr>
        <w:t xml:space="preserve"> Immobilien</w:t>
      </w:r>
      <w:r w:rsidRPr="00EB1611">
        <w:rPr>
          <w:rFonts w:ascii="Source Sans Pro" w:hAnsi="Source Sans Pro" w:cs="Arial"/>
          <w:bCs/>
          <w:sz w:val="22"/>
          <w:szCs w:val="22"/>
        </w:rPr>
        <w:t xml:space="preserve">, </w:t>
      </w:r>
      <w:proofErr w:type="spellStart"/>
      <w:r w:rsidRPr="00EB1611">
        <w:rPr>
          <w:rFonts w:ascii="Source Sans Pro" w:hAnsi="Source Sans Pro" w:cs="Arial"/>
          <w:bCs/>
          <w:sz w:val="22"/>
          <w:szCs w:val="22"/>
        </w:rPr>
        <w:t>Anteon</w:t>
      </w:r>
      <w:proofErr w:type="spellEnd"/>
      <w:r w:rsidRPr="00EB1611">
        <w:rPr>
          <w:rFonts w:ascii="Source Sans Pro" w:hAnsi="Source Sans Pro" w:cs="Arial"/>
          <w:bCs/>
          <w:sz w:val="22"/>
          <w:szCs w:val="22"/>
        </w:rPr>
        <w:t xml:space="preserve"> Immobilien, GREIF &amp; CONTZEN Immobilien, </w:t>
      </w:r>
      <w:proofErr w:type="spellStart"/>
      <w:r w:rsidRPr="00EB1611">
        <w:rPr>
          <w:rFonts w:ascii="Source Sans Pro" w:hAnsi="Source Sans Pro" w:cs="Arial"/>
          <w:bCs/>
          <w:sz w:val="22"/>
          <w:szCs w:val="22"/>
        </w:rPr>
        <w:t>b</w:t>
      </w:r>
      <w:r>
        <w:rPr>
          <w:rFonts w:ascii="Source Sans Pro" w:hAnsi="Source Sans Pro" w:cs="Arial"/>
          <w:bCs/>
          <w:sz w:val="22"/>
          <w:szCs w:val="22"/>
        </w:rPr>
        <w:t>lackolive</w:t>
      </w:r>
      <w:proofErr w:type="spellEnd"/>
      <w:r>
        <w:rPr>
          <w:rFonts w:ascii="Source Sans Pro" w:hAnsi="Source Sans Pro" w:cs="Arial"/>
          <w:bCs/>
          <w:sz w:val="22"/>
          <w:szCs w:val="22"/>
        </w:rPr>
        <w:t xml:space="preserve"> und E &amp; G </w:t>
      </w:r>
      <w:r w:rsidR="00080FD4">
        <w:rPr>
          <w:rFonts w:ascii="Source Sans Pro" w:hAnsi="Source Sans Pro" w:cs="Arial"/>
          <w:bCs/>
          <w:sz w:val="22"/>
          <w:szCs w:val="22"/>
        </w:rPr>
        <w:t>Immobilien</w:t>
      </w:r>
      <w:r>
        <w:rPr>
          <w:rFonts w:ascii="Source Sans Pro" w:hAnsi="Source Sans Pro" w:cs="Arial"/>
          <w:bCs/>
          <w:sz w:val="22"/>
          <w:szCs w:val="22"/>
        </w:rPr>
        <w:t>.</w:t>
      </w:r>
    </w:p>
    <w:p w14:paraId="2933DBA6" w14:textId="77777777" w:rsidR="00635995" w:rsidRDefault="00635995" w:rsidP="00991B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/>
          <w:sz w:val="20"/>
        </w:rPr>
      </w:pPr>
    </w:p>
    <w:p w14:paraId="1554564B" w14:textId="77777777" w:rsidR="00E822DD" w:rsidRPr="00EF0944" w:rsidRDefault="00E822DD" w:rsidP="00E822DD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t>Top-7-Standorte | 1.</w:t>
      </w:r>
      <w:r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Pr="00161817">
        <w:rPr>
          <w:rFonts w:ascii="Source Sans Pro" w:hAnsi="Source Sans Pro" w:cs="Arial"/>
          <w:b/>
          <w:sz w:val="20"/>
        </w:rPr>
        <w:t>Quartal 202</w:t>
      </w:r>
      <w:r>
        <w:rPr>
          <w:rFonts w:ascii="Source Sans Pro" w:hAnsi="Source Sans Pro" w:cs="Arial"/>
          <w:b/>
          <w:sz w:val="20"/>
        </w:rPr>
        <w:t>4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992"/>
        <w:gridCol w:w="992"/>
        <w:gridCol w:w="851"/>
        <w:gridCol w:w="708"/>
        <w:gridCol w:w="854"/>
        <w:gridCol w:w="1062"/>
      </w:tblGrid>
      <w:tr w:rsidR="00910B65" w:rsidRPr="00161817" w14:paraId="2B554485" w14:textId="77777777" w:rsidTr="00E5677B">
        <w:tc>
          <w:tcPr>
            <w:tcW w:w="1555" w:type="dxa"/>
          </w:tcPr>
          <w:p w14:paraId="5F7F2C1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CCBA568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993" w:type="dxa"/>
          </w:tcPr>
          <w:p w14:paraId="1B9556F5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92" w:type="dxa"/>
          </w:tcPr>
          <w:p w14:paraId="4B35B61E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92" w:type="dxa"/>
          </w:tcPr>
          <w:p w14:paraId="669870D1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851" w:type="dxa"/>
          </w:tcPr>
          <w:p w14:paraId="012CEC8E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708" w:type="dxa"/>
          </w:tcPr>
          <w:p w14:paraId="337BA2E8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854" w:type="dxa"/>
          </w:tcPr>
          <w:p w14:paraId="29257547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1062" w:type="dxa"/>
          </w:tcPr>
          <w:p w14:paraId="1D10DF5A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910B65" w:rsidRPr="00161817" w14:paraId="277AF685" w14:textId="77777777" w:rsidTr="00E5677B">
        <w:tc>
          <w:tcPr>
            <w:tcW w:w="1555" w:type="dxa"/>
          </w:tcPr>
          <w:p w14:paraId="013262B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0501F81D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1275" w:type="dxa"/>
            <w:vAlign w:val="center"/>
          </w:tcPr>
          <w:p w14:paraId="37982267" w14:textId="19121626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370</w:t>
            </w:r>
          </w:p>
        </w:tc>
        <w:tc>
          <w:tcPr>
            <w:tcW w:w="993" w:type="dxa"/>
            <w:vAlign w:val="center"/>
          </w:tcPr>
          <w:p w14:paraId="626C970A" w14:textId="72986997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14:paraId="7AEB33B8" w14:textId="1A4A9FF2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vAlign w:val="center"/>
          </w:tcPr>
          <w:p w14:paraId="2C2C18EC" w14:textId="7D2E2C97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32C4F1F9" w14:textId="27258426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118</w:t>
            </w:r>
          </w:p>
        </w:tc>
        <w:tc>
          <w:tcPr>
            <w:tcW w:w="708" w:type="dxa"/>
            <w:vAlign w:val="center"/>
          </w:tcPr>
          <w:p w14:paraId="4883A7F0" w14:textId="1C640F01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CE6ACA" w14:textId="63F1840A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1.</w:t>
            </w:r>
            <w:r w:rsidR="006061BF"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200</w:t>
            </w:r>
          </w:p>
        </w:tc>
        <w:tc>
          <w:tcPr>
            <w:tcW w:w="1062" w:type="dxa"/>
            <w:vAlign w:val="center"/>
          </w:tcPr>
          <w:p w14:paraId="72E3C7F5" w14:textId="6E04813F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b/>
                <w:sz w:val="16"/>
                <w:szCs w:val="16"/>
              </w:rPr>
              <w:t>2</w:t>
            </w:r>
            <w:r w:rsidR="006061BF" w:rsidRPr="006061BF">
              <w:rPr>
                <w:rFonts w:ascii="Source Sans Pro" w:hAnsi="Source Sans Pro" w:cs="Arial"/>
                <w:b/>
                <w:sz w:val="16"/>
                <w:szCs w:val="16"/>
              </w:rPr>
              <w:t>,498</w:t>
            </w:r>
          </w:p>
        </w:tc>
      </w:tr>
      <w:tr w:rsidR="00910B65" w:rsidRPr="00161817" w14:paraId="5C518F86" w14:textId="77777777" w:rsidTr="00E5677B">
        <w:tc>
          <w:tcPr>
            <w:tcW w:w="1555" w:type="dxa"/>
          </w:tcPr>
          <w:p w14:paraId="3350112D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21AFC26B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1275" w:type="dxa"/>
            <w:vAlign w:val="center"/>
          </w:tcPr>
          <w:p w14:paraId="6EC238E4" w14:textId="14A4CD2E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118</w:t>
            </w:r>
          </w:p>
        </w:tc>
        <w:tc>
          <w:tcPr>
            <w:tcW w:w="993" w:type="dxa"/>
            <w:vAlign w:val="center"/>
          </w:tcPr>
          <w:p w14:paraId="2C0D819C" w14:textId="2D0F5A6C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vAlign w:val="center"/>
          </w:tcPr>
          <w:p w14:paraId="1D31FE0A" w14:textId="4724651C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-56</w:t>
            </w:r>
          </w:p>
        </w:tc>
        <w:tc>
          <w:tcPr>
            <w:tcW w:w="992" w:type="dxa"/>
            <w:vAlign w:val="center"/>
          </w:tcPr>
          <w:p w14:paraId="21EB7A3C" w14:textId="5B46291E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-50</w:t>
            </w:r>
          </w:p>
        </w:tc>
        <w:tc>
          <w:tcPr>
            <w:tcW w:w="851" w:type="dxa"/>
            <w:vAlign w:val="center"/>
          </w:tcPr>
          <w:p w14:paraId="61BD16E7" w14:textId="70BE70EF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14:paraId="2E248438" w14:textId="02C94B40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-100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F12C30" w14:textId="4851DDCD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142</w:t>
            </w:r>
          </w:p>
        </w:tc>
        <w:tc>
          <w:tcPr>
            <w:tcW w:w="1062" w:type="dxa"/>
            <w:vAlign w:val="center"/>
          </w:tcPr>
          <w:p w14:paraId="44391118" w14:textId="577DCD76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b/>
                <w:sz w:val="16"/>
                <w:szCs w:val="16"/>
              </w:rPr>
              <w:t>19</w:t>
            </w:r>
          </w:p>
        </w:tc>
      </w:tr>
      <w:tr w:rsidR="00910B65" w:rsidRPr="00161817" w14:paraId="0E2C9494" w14:textId="77777777" w:rsidTr="00E5677B">
        <w:tc>
          <w:tcPr>
            <w:tcW w:w="1555" w:type="dxa"/>
          </w:tcPr>
          <w:p w14:paraId="3C8BE28D" w14:textId="3F43E0C8" w:rsidR="00E822DD" w:rsidRPr="00161817" w:rsidRDefault="00E822DD" w:rsidP="006061BF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  <w:r w:rsidR="006061BF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1275" w:type="dxa"/>
            <w:vAlign w:val="center"/>
          </w:tcPr>
          <w:p w14:paraId="5D7F0600" w14:textId="0B287A4E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4,50</w:t>
            </w:r>
          </w:p>
        </w:tc>
        <w:tc>
          <w:tcPr>
            <w:tcW w:w="993" w:type="dxa"/>
            <w:vAlign w:val="center"/>
          </w:tcPr>
          <w:p w14:paraId="6D16127A" w14:textId="72D5E6A9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92" w:type="dxa"/>
            <w:vAlign w:val="center"/>
          </w:tcPr>
          <w:p w14:paraId="02CFC26B" w14:textId="6B61E05D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92" w:type="dxa"/>
            <w:vAlign w:val="center"/>
          </w:tcPr>
          <w:p w14:paraId="77622C27" w14:textId="00FACAA9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851" w:type="dxa"/>
            <w:vAlign w:val="center"/>
          </w:tcPr>
          <w:p w14:paraId="0C44D799" w14:textId="6DE79824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4,60</w:t>
            </w:r>
          </w:p>
        </w:tc>
        <w:tc>
          <w:tcPr>
            <w:tcW w:w="708" w:type="dxa"/>
            <w:vAlign w:val="center"/>
          </w:tcPr>
          <w:p w14:paraId="480FC3B3" w14:textId="320446A9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4,60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D38FEF" w14:textId="03DCB48C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1062" w:type="dxa"/>
            <w:vAlign w:val="center"/>
          </w:tcPr>
          <w:p w14:paraId="12457880" w14:textId="0FE0D474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b/>
                <w:sz w:val="16"/>
                <w:szCs w:val="16"/>
              </w:rPr>
              <w:t>4,47</w:t>
            </w:r>
          </w:p>
        </w:tc>
      </w:tr>
      <w:tr w:rsidR="00910B65" w:rsidRPr="00161817" w14:paraId="5B819F04" w14:textId="77777777" w:rsidTr="00E5677B">
        <w:tc>
          <w:tcPr>
            <w:tcW w:w="1555" w:type="dxa"/>
          </w:tcPr>
          <w:p w14:paraId="345B2B43" w14:textId="77777777" w:rsidR="006061BF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. Vorjahr</w:t>
            </w:r>
          </w:p>
          <w:p w14:paraId="5F4CAF94" w14:textId="4A9AEBF6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1275" w:type="dxa"/>
            <w:vAlign w:val="center"/>
          </w:tcPr>
          <w:p w14:paraId="1BF8BB5A" w14:textId="28AAEA9B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1,00</w:t>
            </w:r>
          </w:p>
        </w:tc>
        <w:tc>
          <w:tcPr>
            <w:tcW w:w="993" w:type="dxa"/>
            <w:vAlign w:val="center"/>
          </w:tcPr>
          <w:p w14:paraId="30382577" w14:textId="1CE04A07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0,65</w:t>
            </w:r>
          </w:p>
        </w:tc>
        <w:tc>
          <w:tcPr>
            <w:tcW w:w="992" w:type="dxa"/>
            <w:vAlign w:val="center"/>
          </w:tcPr>
          <w:p w14:paraId="750221CA" w14:textId="77777777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0,80</w:t>
            </w:r>
          </w:p>
        </w:tc>
        <w:tc>
          <w:tcPr>
            <w:tcW w:w="992" w:type="dxa"/>
            <w:vAlign w:val="center"/>
          </w:tcPr>
          <w:p w14:paraId="6DD7413C" w14:textId="77777777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851" w:type="dxa"/>
            <w:vAlign w:val="center"/>
          </w:tcPr>
          <w:p w14:paraId="75EE8890" w14:textId="3A58F67D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0,75</w:t>
            </w:r>
          </w:p>
        </w:tc>
        <w:tc>
          <w:tcPr>
            <w:tcW w:w="708" w:type="dxa"/>
            <w:vAlign w:val="center"/>
          </w:tcPr>
          <w:p w14:paraId="5AFA008F" w14:textId="4F61AD12" w:rsidR="00E822DD" w:rsidRPr="006061BF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  <w:u w:val="single"/>
              </w:rPr>
              <w:t>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F45EB7" w14:textId="41A28F88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6061BF" w:rsidRPr="006061BF">
              <w:rPr>
                <w:rFonts w:ascii="Source Sans Pro" w:hAnsi="Source Sans Pro" w:cs="Arial"/>
                <w:sz w:val="16"/>
                <w:szCs w:val="16"/>
              </w:rPr>
              <w:t>9</w:t>
            </w:r>
            <w:r w:rsidRPr="006061BF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14:paraId="10E27A7C" w14:textId="3F8F5F57" w:rsidR="00E822DD" w:rsidRPr="006061BF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6061BF"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6061BF" w:rsidRPr="006061BF">
              <w:rPr>
                <w:rFonts w:ascii="Source Sans Pro" w:hAnsi="Source Sans Pro" w:cs="Arial"/>
                <w:b/>
                <w:sz w:val="16"/>
                <w:szCs w:val="16"/>
              </w:rPr>
              <w:t>86</w:t>
            </w:r>
          </w:p>
        </w:tc>
      </w:tr>
      <w:tr w:rsidR="00910B65" w:rsidRPr="00161817" w14:paraId="2411BA51" w14:textId="77777777" w:rsidTr="00E5677B">
        <w:tc>
          <w:tcPr>
            <w:tcW w:w="1555" w:type="dxa"/>
          </w:tcPr>
          <w:p w14:paraId="16BE5098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1275" w:type="dxa"/>
            <w:vAlign w:val="center"/>
          </w:tcPr>
          <w:p w14:paraId="1E269F87" w14:textId="68DE3D23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993" w:type="dxa"/>
            <w:vAlign w:val="center"/>
          </w:tcPr>
          <w:p w14:paraId="4AC2BC62" w14:textId="4D375098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92" w:type="dxa"/>
            <w:vAlign w:val="center"/>
          </w:tcPr>
          <w:p w14:paraId="2BC1DA3D" w14:textId="157BF1A7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992" w:type="dxa"/>
            <w:vAlign w:val="center"/>
          </w:tcPr>
          <w:p w14:paraId="46DE1972" w14:textId="4DFF1FC1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851" w:type="dxa"/>
            <w:vAlign w:val="center"/>
          </w:tcPr>
          <w:p w14:paraId="51830899" w14:textId="5267C1EC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708" w:type="dxa"/>
            <w:vAlign w:val="center"/>
          </w:tcPr>
          <w:p w14:paraId="2AEDBBC9" w14:textId="77777777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49DE90" w14:textId="7114ADF1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2704CD" w:rsidRPr="002704CD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Pr="002704CD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14:paraId="15EC44A2" w14:textId="5C8337A4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2704CD" w:rsidRPr="002704CD">
              <w:rPr>
                <w:rFonts w:ascii="Source Sans Pro" w:hAnsi="Source Sans Pro" w:cs="Arial"/>
                <w:b/>
                <w:sz w:val="16"/>
                <w:szCs w:val="16"/>
              </w:rPr>
              <w:t>46</w:t>
            </w:r>
          </w:p>
        </w:tc>
      </w:tr>
      <w:tr w:rsidR="00910B65" w:rsidRPr="00161817" w14:paraId="7E552845" w14:textId="77777777" w:rsidTr="00E5677B">
        <w:tc>
          <w:tcPr>
            <w:tcW w:w="1555" w:type="dxa"/>
          </w:tcPr>
          <w:p w14:paraId="6DC11B9C" w14:textId="77777777" w:rsidR="006061BF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. Vorjahr</w:t>
            </w:r>
          </w:p>
          <w:p w14:paraId="5725897F" w14:textId="569358C3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1275" w:type="dxa"/>
            <w:vAlign w:val="center"/>
          </w:tcPr>
          <w:p w14:paraId="56189F55" w14:textId="0BB9E1FE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0,30</w:t>
            </w:r>
          </w:p>
        </w:tc>
        <w:tc>
          <w:tcPr>
            <w:tcW w:w="993" w:type="dxa"/>
            <w:vAlign w:val="center"/>
          </w:tcPr>
          <w:p w14:paraId="09A563B0" w14:textId="77777777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0,60</w:t>
            </w:r>
          </w:p>
        </w:tc>
        <w:tc>
          <w:tcPr>
            <w:tcW w:w="992" w:type="dxa"/>
            <w:vAlign w:val="center"/>
          </w:tcPr>
          <w:p w14:paraId="28EE0851" w14:textId="00520EB4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992" w:type="dxa"/>
            <w:vAlign w:val="center"/>
          </w:tcPr>
          <w:p w14:paraId="4EC1D9CD" w14:textId="05F5F994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vAlign w:val="center"/>
          </w:tcPr>
          <w:p w14:paraId="7DCD6729" w14:textId="28D03B12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0,60</w:t>
            </w:r>
          </w:p>
        </w:tc>
        <w:tc>
          <w:tcPr>
            <w:tcW w:w="708" w:type="dxa"/>
            <w:vAlign w:val="center"/>
          </w:tcPr>
          <w:p w14:paraId="4BFB79FE" w14:textId="0DA77EF3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983E6E9" w14:textId="21572ADB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1062" w:type="dxa"/>
            <w:vAlign w:val="center"/>
          </w:tcPr>
          <w:p w14:paraId="243E1FC2" w14:textId="7AAE4C21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b/>
                <w:sz w:val="16"/>
                <w:szCs w:val="16"/>
              </w:rPr>
              <w:t>0,31</w:t>
            </w:r>
          </w:p>
        </w:tc>
      </w:tr>
      <w:tr w:rsidR="00910B65" w:rsidRPr="00161817" w14:paraId="511D3D80" w14:textId="77777777" w:rsidTr="00E5677B">
        <w:trPr>
          <w:trHeight w:val="471"/>
        </w:trPr>
        <w:tc>
          <w:tcPr>
            <w:tcW w:w="1555" w:type="dxa"/>
          </w:tcPr>
          <w:p w14:paraId="23F6D442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4F399EC0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1275" w:type="dxa"/>
            <w:vAlign w:val="center"/>
          </w:tcPr>
          <w:p w14:paraId="708BFD1F" w14:textId="6541A210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Industrie &amp; Logistik</w:t>
            </w:r>
          </w:p>
        </w:tc>
        <w:tc>
          <w:tcPr>
            <w:tcW w:w="993" w:type="dxa"/>
            <w:vAlign w:val="center"/>
          </w:tcPr>
          <w:p w14:paraId="457A7224" w14:textId="6E7CABE0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Einzel</w:t>
            </w:r>
            <w:r w:rsidR="00910B65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2704CD">
              <w:rPr>
                <w:rFonts w:ascii="Source Sans Pro" w:hAnsi="Source Sans Pro" w:cs="Arial"/>
                <w:sz w:val="16"/>
                <w:szCs w:val="16"/>
              </w:rPr>
              <w:t>handel</w:t>
            </w:r>
          </w:p>
        </w:tc>
        <w:tc>
          <w:tcPr>
            <w:tcW w:w="992" w:type="dxa"/>
            <w:vAlign w:val="center"/>
          </w:tcPr>
          <w:p w14:paraId="0579ADDE" w14:textId="699DF31F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Industrie &amp; Logistik</w:t>
            </w:r>
          </w:p>
        </w:tc>
        <w:tc>
          <w:tcPr>
            <w:tcW w:w="992" w:type="dxa"/>
            <w:vAlign w:val="center"/>
          </w:tcPr>
          <w:p w14:paraId="280FC882" w14:textId="356C50DB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Industrie &amp; Logistik</w:t>
            </w:r>
          </w:p>
        </w:tc>
        <w:tc>
          <w:tcPr>
            <w:tcW w:w="851" w:type="dxa"/>
            <w:vAlign w:val="center"/>
          </w:tcPr>
          <w:p w14:paraId="008BF92C" w14:textId="77777777" w:rsidR="00E822DD" w:rsidRPr="002704CD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708" w:type="dxa"/>
            <w:vAlign w:val="center"/>
          </w:tcPr>
          <w:p w14:paraId="14E2CD93" w14:textId="59F3D7F3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BF549E8" w14:textId="3FDA9514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Misch</w:t>
            </w:r>
            <w:r w:rsidR="00910B65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2704CD">
              <w:rPr>
                <w:rFonts w:ascii="Source Sans Pro" w:hAnsi="Source Sans Pro" w:cs="Arial"/>
                <w:sz w:val="16"/>
                <w:szCs w:val="16"/>
              </w:rPr>
              <w:t>nutzung</w:t>
            </w:r>
          </w:p>
        </w:tc>
        <w:tc>
          <w:tcPr>
            <w:tcW w:w="1062" w:type="dxa"/>
            <w:vAlign w:val="center"/>
          </w:tcPr>
          <w:p w14:paraId="6C2135E3" w14:textId="36A370EF" w:rsidR="00E822DD" w:rsidRPr="002704CD" w:rsidRDefault="0001662B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Misch</w:t>
            </w:r>
            <w:r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2704CD">
              <w:rPr>
                <w:rFonts w:ascii="Source Sans Pro" w:hAnsi="Source Sans Pro" w:cs="Arial"/>
                <w:sz w:val="16"/>
                <w:szCs w:val="16"/>
              </w:rPr>
              <w:t>nutzung</w:t>
            </w:r>
          </w:p>
        </w:tc>
      </w:tr>
      <w:tr w:rsidR="00910B65" w:rsidRPr="00161817" w14:paraId="3C798CFE" w14:textId="77777777" w:rsidTr="00E5677B">
        <w:tc>
          <w:tcPr>
            <w:tcW w:w="1555" w:type="dxa"/>
          </w:tcPr>
          <w:p w14:paraId="69CD310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7FDF28CB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1275" w:type="dxa"/>
            <w:vAlign w:val="center"/>
          </w:tcPr>
          <w:p w14:paraId="2F2CDD9F" w14:textId="55181788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44</w:t>
            </w:r>
          </w:p>
        </w:tc>
        <w:tc>
          <w:tcPr>
            <w:tcW w:w="993" w:type="dxa"/>
            <w:vAlign w:val="center"/>
          </w:tcPr>
          <w:p w14:paraId="673EE990" w14:textId="5BA2F133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14:paraId="73931A1E" w14:textId="5FD553F1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center"/>
          </w:tcPr>
          <w:p w14:paraId="6D5DE4CF" w14:textId="69880D9A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vAlign w:val="center"/>
          </w:tcPr>
          <w:p w14:paraId="461FD967" w14:textId="37F853EB" w:rsidR="00E822DD" w:rsidRPr="002704CD" w:rsidRDefault="003B09D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center"/>
          </w:tcPr>
          <w:p w14:paraId="4EE4162A" w14:textId="2CAAEF96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33299E" w14:textId="54D47698" w:rsidR="00E822DD" w:rsidRPr="002704CD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  <w:u w:val="single"/>
              </w:rPr>
              <w:t>96</w:t>
            </w:r>
          </w:p>
        </w:tc>
        <w:tc>
          <w:tcPr>
            <w:tcW w:w="1062" w:type="dxa"/>
            <w:vAlign w:val="center"/>
          </w:tcPr>
          <w:p w14:paraId="08D05C82" w14:textId="52250CA3" w:rsidR="00E822DD" w:rsidRPr="002704CD" w:rsidRDefault="00910B65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49</w:t>
            </w:r>
          </w:p>
        </w:tc>
      </w:tr>
    </w:tbl>
    <w:p w14:paraId="1E22B4BB" w14:textId="48256A3C" w:rsidR="00E822DD" w:rsidRPr="00161817" w:rsidRDefault="00E822DD" w:rsidP="00E822DD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</w:t>
      </w:r>
      <w:r w:rsidR="002704CD">
        <w:rPr>
          <w:rFonts w:ascii="Source Sans Pro" w:hAnsi="Source Sans Pro" w:cs="Arial"/>
          <w:sz w:val="16"/>
          <w:szCs w:val="16"/>
        </w:rPr>
        <w:t>.</w:t>
      </w:r>
      <w:r w:rsidRPr="00161817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347C3636" w14:textId="77777777" w:rsidR="00E822DD" w:rsidRDefault="00E822DD" w:rsidP="00E822DD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CED34B8" w14:textId="6BA82FBE" w:rsidR="00161817" w:rsidRPr="00161817" w:rsidRDefault="00367F4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Größte</w:t>
      </w:r>
      <w:r w:rsidR="00161817" w:rsidRPr="00161817">
        <w:rPr>
          <w:rFonts w:ascii="Source Sans Pro" w:hAnsi="Source Sans Pro" w:cs="Arial"/>
          <w:b/>
          <w:sz w:val="20"/>
        </w:rPr>
        <w:t xml:space="preserve"> bekannte Abschlüsse | Top-7-Standorte | 1. Quartal 202</w:t>
      </w:r>
      <w:r w:rsidR="003613CB">
        <w:rPr>
          <w:rFonts w:ascii="Source Sans Pro" w:hAnsi="Source Sans Pro" w:cs="Arial"/>
          <w:b/>
          <w:sz w:val="20"/>
        </w:rPr>
        <w:t>4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583AC8" w:rsidRPr="00161817" w14:paraId="0B78E6CD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76C9D5C" w14:textId="105AFF42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7052B28" w14:textId="77777777" w:rsidR="00290917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„Fünf Höfe“,</w:t>
            </w:r>
          </w:p>
          <w:p w14:paraId="7CDDAAC2" w14:textId="403687D1" w:rsidR="00583AC8" w:rsidRPr="002704CD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Theatinerstraße 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EECDA99" w14:textId="7E6E2002" w:rsidR="00583AC8" w:rsidRPr="002704CD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F8AFED1" w14:textId="36AA6B62" w:rsidR="00583AC8" w:rsidRPr="002704CD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704CD">
              <w:rPr>
                <w:rFonts w:ascii="Source Sans Pro" w:hAnsi="Source Sans Pro" w:cs="Arial"/>
                <w:sz w:val="16"/>
                <w:szCs w:val="16"/>
              </w:rPr>
              <w:t>Union Investment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25E6C98" w14:textId="053348AD" w:rsidR="00583AC8" w:rsidRPr="002704CD" w:rsidRDefault="00080FD4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715</w:t>
            </w:r>
          </w:p>
        </w:tc>
      </w:tr>
      <w:tr w:rsidR="00583AC8" w:rsidRPr="00161817" w14:paraId="61DBCEAF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6119DA2" w14:textId="6F626365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CD90978" w14:textId="3FE2207D" w:rsidR="00583AC8" w:rsidRPr="00A86AF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Maximilianstraße 12-14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D4D3495" w14:textId="51730FC7" w:rsidR="00583AC8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Commerz Real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E718DC" w14:textId="2CA88799" w:rsidR="00583AC8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Centrum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B19CDE" w14:textId="2518FC86" w:rsidR="00583AC8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250</w:t>
            </w:r>
          </w:p>
        </w:tc>
      </w:tr>
      <w:tr w:rsidR="000B4A9D" w:rsidRPr="00161817" w14:paraId="5809275A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CE0EC77" w14:textId="21B4E028" w:rsidR="000B4A9D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CB0E9DA" w14:textId="77777777" w:rsidR="00290917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„Romy“,</w:t>
            </w:r>
          </w:p>
          <w:p w14:paraId="5BDC97A7" w14:textId="3541E9BE" w:rsidR="000B4A9D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Rosenstraße 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8B2B66A" w14:textId="7A5E3232" w:rsidR="000B4A9D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Concept Real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0CC4B1" w14:textId="2AF41E45" w:rsidR="000B4A9D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 xml:space="preserve">Signa Prime </w:t>
            </w:r>
            <w:proofErr w:type="spellStart"/>
            <w:r w:rsidRPr="00A86AFC">
              <w:rPr>
                <w:rFonts w:ascii="Source Sans Pro" w:hAnsi="Source Sans Pro" w:cs="Arial"/>
                <w:sz w:val="16"/>
                <w:szCs w:val="16"/>
              </w:rPr>
              <w:t>Selection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73E29F60" w14:textId="77DD5945" w:rsidR="000B4A9D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85</w:t>
            </w:r>
          </w:p>
        </w:tc>
      </w:tr>
      <w:tr w:rsidR="00A86AFC" w:rsidRPr="00161817" w14:paraId="56BA8532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FCB2338" w14:textId="2E1C59D8" w:rsid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F12C1DA" w14:textId="718D5102" w:rsidR="00A86AFC" w:rsidRPr="00A86AFC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„Karstadt“-Anteilsverkauf, Müllerstraße 25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DA3D656" w14:textId="350A37A2" w:rsidR="00A86AFC" w:rsidRPr="00A86AFC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Versicherungskammer Bayern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1626ABF" w14:textId="5F29A378" w:rsidR="00A86AFC" w:rsidRPr="00A86AFC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Signa Development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7A6027F" w14:textId="30E1FF8C" w:rsidR="00A86AFC" w:rsidRPr="00A86AFC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80</w:t>
            </w:r>
          </w:p>
        </w:tc>
      </w:tr>
      <w:tr w:rsidR="00A86AFC" w:rsidRPr="00161817" w14:paraId="63828BED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0D05ABB" w14:textId="6FC71952" w:rsid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4356EB5" w14:textId="4A0F6825" w:rsidR="00A86AFC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Dornbusch 2-4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E4E721" w14:textId="6698CEFC" w:rsidR="00A86AFC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Montano Real Estate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883A5F9" w14:textId="46B68904" w:rsidR="00A86AFC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Ofi</w:t>
            </w:r>
            <w:proofErr w:type="spellEnd"/>
            <w:r>
              <w:rPr>
                <w:rFonts w:ascii="Source Sans Pro" w:hAnsi="Source Sans Pro" w:cs="Arial"/>
                <w:sz w:val="16"/>
                <w:szCs w:val="16"/>
              </w:rPr>
              <w:t xml:space="preserve"> Invest Real Estate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82F1C9" w14:textId="6E49BDFE" w:rsidR="00A86AFC" w:rsidRP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37</w:t>
            </w:r>
          </w:p>
        </w:tc>
      </w:tr>
      <w:tr w:rsidR="000B4A9D" w:rsidRPr="00161817" w14:paraId="4962DD99" w14:textId="77777777" w:rsidTr="00073A63">
        <w:trPr>
          <w:trHeight w:val="140"/>
        </w:trPr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5742589" w14:textId="7777777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  <w:vAlign w:val="center"/>
          </w:tcPr>
          <w:p w14:paraId="03D0F1B5" w14:textId="77777777" w:rsidR="000B4A9D" w:rsidRPr="003613C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01D566D4" w14:textId="77777777" w:rsidR="000B4A9D" w:rsidRPr="003613C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190" w:type="dxa"/>
            <w:shd w:val="clear" w:color="auto" w:fill="AEAAAA" w:themeFill="background2" w:themeFillShade="BF"/>
            <w:vAlign w:val="center"/>
          </w:tcPr>
          <w:p w14:paraId="72D67DB9" w14:textId="77777777" w:rsidR="000B4A9D" w:rsidRPr="003613C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1014" w:type="dxa"/>
            <w:shd w:val="clear" w:color="auto" w:fill="AEAAAA" w:themeFill="background2" w:themeFillShade="BF"/>
            <w:vAlign w:val="center"/>
          </w:tcPr>
          <w:p w14:paraId="29A21095" w14:textId="77777777" w:rsidR="000B4A9D" w:rsidRPr="003613C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</w:tr>
      <w:tr w:rsidR="00290917" w:rsidRPr="00161817" w14:paraId="5F44FAC1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98977BA" w14:textId="789A2F5F" w:rsidR="00290917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E18515D" w14:textId="77777777" w:rsidR="00290917" w:rsidRPr="00A86AFC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„LEIQ“, Nordring 144,</w:t>
            </w:r>
          </w:p>
          <w:p w14:paraId="39C2F037" w14:textId="15F62E63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Goethering 60 + 66, Offenbach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863910" w14:textId="71C97F82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 xml:space="preserve">HT Top 8 </w:t>
            </w:r>
            <w:proofErr w:type="spellStart"/>
            <w:r w:rsidRPr="00A86AFC">
              <w:rPr>
                <w:rFonts w:ascii="Source Sans Pro" w:hAnsi="Source Sans Pro" w:cs="Arial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647CE70" w14:textId="59981086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 xml:space="preserve">Adolf Lupp, HT </w:t>
            </w:r>
            <w:proofErr w:type="spellStart"/>
            <w:r w:rsidRPr="00A86AFC">
              <w:rPr>
                <w:rFonts w:ascii="Source Sans Pro" w:hAnsi="Source Sans Pro" w:cs="Arial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6BC77E4B" w14:textId="39BED66C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290917" w:rsidRPr="00161817" w14:paraId="72F51164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6E275A54" w14:textId="6934BCBB" w:rsidR="00290917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5AF2501" w14:textId="77777777" w:rsidR="00290917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„Freudenberger-Areal“,</w:t>
            </w:r>
          </w:p>
          <w:p w14:paraId="76C13D07" w14:textId="5538F8D7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proofErr w:type="spellStart"/>
            <w:r w:rsidRPr="00A86AFC">
              <w:rPr>
                <w:rFonts w:ascii="Source Sans Pro" w:hAnsi="Source Sans Pro" w:cs="Arial"/>
                <w:sz w:val="16"/>
                <w:szCs w:val="16"/>
              </w:rPr>
              <w:t>Seevestraße</w:t>
            </w:r>
            <w:proofErr w:type="spellEnd"/>
            <w:r w:rsidRPr="00A86AFC">
              <w:rPr>
                <w:rFonts w:ascii="Source Sans Pro" w:hAnsi="Source Sans Pro" w:cs="Arial"/>
                <w:sz w:val="16"/>
                <w:szCs w:val="16"/>
              </w:rPr>
              <w:t xml:space="preserve"> 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4F20C3" w14:textId="5B75CCE1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Freie und Hansestadt Hamburg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A8D658" w14:textId="5141BAFD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Gateway Real Estate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33D167" w14:textId="61AF6149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290917" w:rsidRPr="00161817" w14:paraId="0522854A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C3D97D4" w14:textId="20342482" w:rsidR="00290917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C276FF1" w14:textId="77777777" w:rsidR="00290917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„Atrium-Office“,</w:t>
            </w:r>
          </w:p>
          <w:p w14:paraId="71F66CD0" w14:textId="35BAD919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Glockengießerwall 21/22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5B96EBC" w14:textId="62C02793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Cells Group für Staatsfonds Kuwait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5D9EFDA" w14:textId="00BB1F47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Savills IM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4D33199" w14:textId="25AB9759" w:rsidR="00290917" w:rsidRPr="003613CB" w:rsidRDefault="00290917" w:rsidP="00290917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A86AF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26AE2616" w14:textId="09D96CE5" w:rsidR="00604E20" w:rsidRPr="002704CD" w:rsidRDefault="002704CD" w:rsidP="00EF0944">
      <w:pPr>
        <w:widowControl w:val="0"/>
        <w:rPr>
          <w:rFonts w:ascii="Source Sans Pro" w:hAnsi="Source Sans Pro" w:cs="Arial"/>
          <w:sz w:val="16"/>
          <w:szCs w:val="16"/>
        </w:rPr>
      </w:pPr>
      <w:r>
        <w:rPr>
          <w:rFonts w:ascii="Source Sans Pro" w:hAnsi="Source Sans Pro" w:cs="Arial"/>
          <w:sz w:val="16"/>
          <w:szCs w:val="16"/>
        </w:rPr>
        <w:t>*</w:t>
      </w:r>
      <w:r w:rsidRPr="009E00E8">
        <w:rPr>
          <w:rFonts w:ascii="Source Sans Pro" w:hAnsi="Source Sans Pro" w:cs="Arial"/>
          <w:sz w:val="16"/>
          <w:szCs w:val="16"/>
        </w:rPr>
        <w:t>Die aufgeführten Kaufpreise basieren auf öffentlich verfügbaren Angaben; wo solche fehlen, sind die Kaufpreise geschätzt</w:t>
      </w:r>
      <w:r>
        <w:rPr>
          <w:rFonts w:ascii="Source Sans Pro" w:hAnsi="Source Sans Pro" w:cs="Arial"/>
          <w:sz w:val="16"/>
          <w:szCs w:val="16"/>
        </w:rPr>
        <w:t xml:space="preserve">. </w:t>
      </w:r>
      <w:r w:rsidR="00161817" w:rsidRPr="00161817">
        <w:rPr>
          <w:rFonts w:ascii="Source Sans Pro" w:hAnsi="Source Sans Pro" w:cs="Arial"/>
          <w:sz w:val="16"/>
          <w:szCs w:val="16"/>
        </w:rPr>
        <w:t>Quelle:</w:t>
      </w:r>
      <w:r w:rsidR="00161817" w:rsidRPr="002704CD">
        <w:rPr>
          <w:rFonts w:ascii="Source Sans Pro" w:hAnsi="Source Sans Pro" w:cs="Arial"/>
          <w:sz w:val="16"/>
          <w:szCs w:val="16"/>
        </w:rPr>
        <w:t xml:space="preserve"> German Property Partners (GPP)</w:t>
      </w:r>
    </w:p>
    <w:p w14:paraId="384D0EB4" w14:textId="110C0624" w:rsidR="00161817" w:rsidRDefault="00073A63" w:rsidP="00E822DD">
      <w:pPr>
        <w:widowControl w:val="0"/>
        <w:rPr>
          <w:rFonts w:ascii="Source Sans Pro" w:hAnsi="Source Sans Pro" w:cs="Source Sans Pro"/>
          <w:sz w:val="22"/>
          <w:szCs w:val="22"/>
        </w:rPr>
      </w:pPr>
      <w:r w:rsidRPr="002704CD">
        <w:rPr>
          <w:rFonts w:ascii="Source Sans Pro" w:hAnsi="Source Sans Pro" w:cs="Arial"/>
          <w:b/>
          <w:sz w:val="20"/>
        </w:rPr>
        <w:br/>
      </w:r>
    </w:p>
    <w:p w14:paraId="40601320" w14:textId="77777777" w:rsidR="00E822DD" w:rsidRDefault="00E822DD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1C388C03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5B30F4FB" w:rsidR="00E1280F" w:rsidRPr="00E1280F" w:rsidRDefault="0093738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</w:t>
      </w:r>
      <w:r w:rsidR="00F6024C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immobilien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Anteon Immobilien, GREIF &amp; CONTZEN Immobilien, blackolive und E &amp; G </w:t>
      </w:r>
      <w:r w:rsidR="00F6024C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immobilien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7A96D1EF" w14:textId="77777777" w:rsidR="007F12A3" w:rsidRPr="00E1280F" w:rsidRDefault="007F12A3" w:rsidP="007F12A3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6011ECBB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3267071B" w14:textId="05540F4C" w:rsidR="00D56A51" w:rsidRDefault="0093738F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44867C81" w14:textId="77777777" w:rsidR="00F6024C" w:rsidRDefault="00F6024C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sz w:val="14"/>
          <w:szCs w:val="14"/>
        </w:rPr>
      </w:pPr>
    </w:p>
    <w:p w14:paraId="468FAFF6" w14:textId="00332105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7BA91A41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11376CC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8B1BA3">
      <w:rPr>
        <w:rFonts w:ascii="Source Sans Pro" w:hAnsi="Source Sans Pro" w:cs="Source Sans Pro"/>
        <w:color w:val="0087A8"/>
        <w:sz w:val="18"/>
        <w:szCs w:val="18"/>
      </w:rPr>
      <w:t>993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615A5002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BA3">
      <w:rPr>
        <w:rFonts w:ascii="Source Sans Pro" w:hAnsi="Source Sans Pro" w:cs="Source Sans Pro"/>
        <w:color w:val="0087A8"/>
        <w:sz w:val="18"/>
        <w:szCs w:val="18"/>
      </w:rPr>
      <w:t>Britt Finke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5A22ACEE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58B6CAB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8B1BA3">
      <w:rPr>
        <w:rFonts w:ascii="Source Sans Pro" w:hAnsi="Source Sans Pro" w:cs="Source Sans Pro"/>
        <w:color w:val="0087A8"/>
        <w:sz w:val="18"/>
        <w:szCs w:val="18"/>
      </w:rPr>
      <w:t>993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011F4A14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BA3">
      <w:rPr>
        <w:rFonts w:ascii="Source Sans Pro" w:hAnsi="Source Sans Pro" w:cs="Source Sans Pro"/>
        <w:color w:val="0087A8"/>
        <w:sz w:val="18"/>
        <w:szCs w:val="18"/>
      </w:rPr>
      <w:t>Britt Finke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E87"/>
    <w:multiLevelType w:val="hybridMultilevel"/>
    <w:tmpl w:val="D2941DE4"/>
    <w:lvl w:ilvl="0" w:tplc="E22A0C4A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F1E"/>
    <w:multiLevelType w:val="hybridMultilevel"/>
    <w:tmpl w:val="4B542F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3BB"/>
    <w:multiLevelType w:val="hybridMultilevel"/>
    <w:tmpl w:val="A8BA5CB4"/>
    <w:lvl w:ilvl="0" w:tplc="8778A3D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C0E33"/>
    <w:multiLevelType w:val="hybridMultilevel"/>
    <w:tmpl w:val="2BE8E350"/>
    <w:lvl w:ilvl="0" w:tplc="B82AA30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36C0"/>
    <w:multiLevelType w:val="hybridMultilevel"/>
    <w:tmpl w:val="51220B10"/>
    <w:lvl w:ilvl="0" w:tplc="782E1AF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30DF"/>
    <w:multiLevelType w:val="hybridMultilevel"/>
    <w:tmpl w:val="C9B00D30"/>
    <w:lvl w:ilvl="0" w:tplc="59D258A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C230A"/>
    <w:multiLevelType w:val="hybridMultilevel"/>
    <w:tmpl w:val="C442B6BA"/>
    <w:lvl w:ilvl="0" w:tplc="5A6C334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13C1"/>
    <w:multiLevelType w:val="hybridMultilevel"/>
    <w:tmpl w:val="05F49C50"/>
    <w:lvl w:ilvl="0" w:tplc="82300CE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6D1F"/>
    <w:multiLevelType w:val="hybridMultilevel"/>
    <w:tmpl w:val="456A7860"/>
    <w:lvl w:ilvl="0" w:tplc="B774640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D78BD"/>
    <w:multiLevelType w:val="hybridMultilevel"/>
    <w:tmpl w:val="904C4D60"/>
    <w:lvl w:ilvl="0" w:tplc="51F0D846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C4963"/>
    <w:multiLevelType w:val="hybridMultilevel"/>
    <w:tmpl w:val="751880B2"/>
    <w:lvl w:ilvl="0" w:tplc="AF12DF7E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85149"/>
    <w:multiLevelType w:val="hybridMultilevel"/>
    <w:tmpl w:val="EDEAD9E0"/>
    <w:lvl w:ilvl="0" w:tplc="2782346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455">
    <w:abstractNumId w:val="11"/>
  </w:num>
  <w:num w:numId="2" w16cid:durableId="926688968">
    <w:abstractNumId w:val="10"/>
  </w:num>
  <w:num w:numId="3" w16cid:durableId="1912889337">
    <w:abstractNumId w:val="7"/>
  </w:num>
  <w:num w:numId="4" w16cid:durableId="1828858959">
    <w:abstractNumId w:val="3"/>
  </w:num>
  <w:num w:numId="5" w16cid:durableId="175654468">
    <w:abstractNumId w:val="0"/>
  </w:num>
  <w:num w:numId="6" w16cid:durableId="1750498072">
    <w:abstractNumId w:val="9"/>
  </w:num>
  <w:num w:numId="7" w16cid:durableId="2109495306">
    <w:abstractNumId w:val="8"/>
  </w:num>
  <w:num w:numId="8" w16cid:durableId="1150563889">
    <w:abstractNumId w:val="6"/>
  </w:num>
  <w:num w:numId="9" w16cid:durableId="1740327186">
    <w:abstractNumId w:val="2"/>
  </w:num>
  <w:num w:numId="10" w16cid:durableId="648098363">
    <w:abstractNumId w:val="4"/>
  </w:num>
  <w:num w:numId="11" w16cid:durableId="2062632712">
    <w:abstractNumId w:val="5"/>
  </w:num>
  <w:num w:numId="12" w16cid:durableId="21380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85"/>
    <w:rsid w:val="00001F24"/>
    <w:rsid w:val="000021F4"/>
    <w:rsid w:val="00004E93"/>
    <w:rsid w:val="000136D7"/>
    <w:rsid w:val="00013C9D"/>
    <w:rsid w:val="00013D73"/>
    <w:rsid w:val="0001662B"/>
    <w:rsid w:val="00020AC9"/>
    <w:rsid w:val="00027EA3"/>
    <w:rsid w:val="00032028"/>
    <w:rsid w:val="00034121"/>
    <w:rsid w:val="000440EB"/>
    <w:rsid w:val="0005029E"/>
    <w:rsid w:val="000610DA"/>
    <w:rsid w:val="00062237"/>
    <w:rsid w:val="00065685"/>
    <w:rsid w:val="000663B5"/>
    <w:rsid w:val="000665E2"/>
    <w:rsid w:val="00066A8A"/>
    <w:rsid w:val="00072A30"/>
    <w:rsid w:val="00073A63"/>
    <w:rsid w:val="000772AE"/>
    <w:rsid w:val="00077E8A"/>
    <w:rsid w:val="00080FD4"/>
    <w:rsid w:val="00082C59"/>
    <w:rsid w:val="00091562"/>
    <w:rsid w:val="00091D49"/>
    <w:rsid w:val="00091E5B"/>
    <w:rsid w:val="0009382E"/>
    <w:rsid w:val="000A072C"/>
    <w:rsid w:val="000A4FBB"/>
    <w:rsid w:val="000A6A78"/>
    <w:rsid w:val="000B2DF4"/>
    <w:rsid w:val="000B310B"/>
    <w:rsid w:val="000B4A9D"/>
    <w:rsid w:val="000C3A22"/>
    <w:rsid w:val="000C6B4F"/>
    <w:rsid w:val="000D5A87"/>
    <w:rsid w:val="000D6F1F"/>
    <w:rsid w:val="000D7B09"/>
    <w:rsid w:val="000D7FD3"/>
    <w:rsid w:val="000E194E"/>
    <w:rsid w:val="000E4F2C"/>
    <w:rsid w:val="000E6577"/>
    <w:rsid w:val="000E694E"/>
    <w:rsid w:val="000E753B"/>
    <w:rsid w:val="000F57F1"/>
    <w:rsid w:val="001104E2"/>
    <w:rsid w:val="00110917"/>
    <w:rsid w:val="00110E37"/>
    <w:rsid w:val="00110F8E"/>
    <w:rsid w:val="00113D8C"/>
    <w:rsid w:val="00120624"/>
    <w:rsid w:val="0012156C"/>
    <w:rsid w:val="001304F6"/>
    <w:rsid w:val="00131DC5"/>
    <w:rsid w:val="001340F8"/>
    <w:rsid w:val="00146388"/>
    <w:rsid w:val="00150092"/>
    <w:rsid w:val="001550FE"/>
    <w:rsid w:val="00155828"/>
    <w:rsid w:val="00156AF6"/>
    <w:rsid w:val="00161817"/>
    <w:rsid w:val="00162CC4"/>
    <w:rsid w:val="001647B3"/>
    <w:rsid w:val="00166ED2"/>
    <w:rsid w:val="00176433"/>
    <w:rsid w:val="0018092C"/>
    <w:rsid w:val="00181706"/>
    <w:rsid w:val="00184BB0"/>
    <w:rsid w:val="00190761"/>
    <w:rsid w:val="001963BB"/>
    <w:rsid w:val="001A22F5"/>
    <w:rsid w:val="001B786B"/>
    <w:rsid w:val="001C32DB"/>
    <w:rsid w:val="001C33FC"/>
    <w:rsid w:val="001C518B"/>
    <w:rsid w:val="001D00A5"/>
    <w:rsid w:val="001E1829"/>
    <w:rsid w:val="001E5503"/>
    <w:rsid w:val="001E7716"/>
    <w:rsid w:val="001F218D"/>
    <w:rsid w:val="001F35E1"/>
    <w:rsid w:val="00200C83"/>
    <w:rsid w:val="002014F7"/>
    <w:rsid w:val="00202DD3"/>
    <w:rsid w:val="0022694F"/>
    <w:rsid w:val="00235393"/>
    <w:rsid w:val="00264A0A"/>
    <w:rsid w:val="00265CA3"/>
    <w:rsid w:val="002704CD"/>
    <w:rsid w:val="00270F3A"/>
    <w:rsid w:val="0028070D"/>
    <w:rsid w:val="00282ED8"/>
    <w:rsid w:val="00290672"/>
    <w:rsid w:val="00290917"/>
    <w:rsid w:val="002A09C2"/>
    <w:rsid w:val="002A42FA"/>
    <w:rsid w:val="002A480D"/>
    <w:rsid w:val="002A7D58"/>
    <w:rsid w:val="002B63FD"/>
    <w:rsid w:val="002B749A"/>
    <w:rsid w:val="002C52C5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40A89"/>
    <w:rsid w:val="00341D84"/>
    <w:rsid w:val="003424EC"/>
    <w:rsid w:val="0034454C"/>
    <w:rsid w:val="00355438"/>
    <w:rsid w:val="00355ED1"/>
    <w:rsid w:val="003613CB"/>
    <w:rsid w:val="00363075"/>
    <w:rsid w:val="00364C2C"/>
    <w:rsid w:val="00366AF3"/>
    <w:rsid w:val="00367F4F"/>
    <w:rsid w:val="00370785"/>
    <w:rsid w:val="00371640"/>
    <w:rsid w:val="00374F87"/>
    <w:rsid w:val="00375256"/>
    <w:rsid w:val="00392E9E"/>
    <w:rsid w:val="003948FA"/>
    <w:rsid w:val="00394B04"/>
    <w:rsid w:val="003A463F"/>
    <w:rsid w:val="003B09DC"/>
    <w:rsid w:val="003B10B7"/>
    <w:rsid w:val="003B4145"/>
    <w:rsid w:val="003B4C22"/>
    <w:rsid w:val="003B63A8"/>
    <w:rsid w:val="003D36F0"/>
    <w:rsid w:val="003D3F73"/>
    <w:rsid w:val="003D5215"/>
    <w:rsid w:val="003D5D91"/>
    <w:rsid w:val="003E772C"/>
    <w:rsid w:val="003F293B"/>
    <w:rsid w:val="003F5E07"/>
    <w:rsid w:val="003F6066"/>
    <w:rsid w:val="0040331F"/>
    <w:rsid w:val="00403C95"/>
    <w:rsid w:val="00404BCC"/>
    <w:rsid w:val="00405679"/>
    <w:rsid w:val="004061B9"/>
    <w:rsid w:val="0041188F"/>
    <w:rsid w:val="00423DAC"/>
    <w:rsid w:val="00425DBF"/>
    <w:rsid w:val="00426531"/>
    <w:rsid w:val="00430DA2"/>
    <w:rsid w:val="004329C6"/>
    <w:rsid w:val="004338CA"/>
    <w:rsid w:val="004343B1"/>
    <w:rsid w:val="00434EB9"/>
    <w:rsid w:val="00436DD0"/>
    <w:rsid w:val="00442B5C"/>
    <w:rsid w:val="00453F14"/>
    <w:rsid w:val="00456442"/>
    <w:rsid w:val="00462200"/>
    <w:rsid w:val="00465A6E"/>
    <w:rsid w:val="00474099"/>
    <w:rsid w:val="00474AC5"/>
    <w:rsid w:val="004804A5"/>
    <w:rsid w:val="00481D27"/>
    <w:rsid w:val="00484027"/>
    <w:rsid w:val="00486F74"/>
    <w:rsid w:val="00491CBC"/>
    <w:rsid w:val="004956AE"/>
    <w:rsid w:val="004A2A30"/>
    <w:rsid w:val="004A2D54"/>
    <w:rsid w:val="004A60FB"/>
    <w:rsid w:val="004B5CB6"/>
    <w:rsid w:val="004C322C"/>
    <w:rsid w:val="004C616B"/>
    <w:rsid w:val="004D2CD0"/>
    <w:rsid w:val="004D30FB"/>
    <w:rsid w:val="004D31CF"/>
    <w:rsid w:val="004F09D7"/>
    <w:rsid w:val="004F1EDD"/>
    <w:rsid w:val="004F38BF"/>
    <w:rsid w:val="004F5262"/>
    <w:rsid w:val="004F77D4"/>
    <w:rsid w:val="00500981"/>
    <w:rsid w:val="00501428"/>
    <w:rsid w:val="0050248F"/>
    <w:rsid w:val="005045E7"/>
    <w:rsid w:val="00510C33"/>
    <w:rsid w:val="005122A0"/>
    <w:rsid w:val="0052371C"/>
    <w:rsid w:val="0054038E"/>
    <w:rsid w:val="0054593A"/>
    <w:rsid w:val="00547877"/>
    <w:rsid w:val="00554C9F"/>
    <w:rsid w:val="005550A4"/>
    <w:rsid w:val="00557B57"/>
    <w:rsid w:val="005644BE"/>
    <w:rsid w:val="0057524E"/>
    <w:rsid w:val="00575A55"/>
    <w:rsid w:val="00583AC8"/>
    <w:rsid w:val="00584565"/>
    <w:rsid w:val="00593E99"/>
    <w:rsid w:val="005A5999"/>
    <w:rsid w:val="005C25D5"/>
    <w:rsid w:val="005C47F7"/>
    <w:rsid w:val="005D0D0E"/>
    <w:rsid w:val="005D449F"/>
    <w:rsid w:val="005D73BE"/>
    <w:rsid w:val="005E1C97"/>
    <w:rsid w:val="005E6515"/>
    <w:rsid w:val="005F1F6B"/>
    <w:rsid w:val="005F3B7B"/>
    <w:rsid w:val="0060257F"/>
    <w:rsid w:val="00604E20"/>
    <w:rsid w:val="00604F63"/>
    <w:rsid w:val="00605989"/>
    <w:rsid w:val="006061BF"/>
    <w:rsid w:val="00607CF6"/>
    <w:rsid w:val="00610BB3"/>
    <w:rsid w:val="00613713"/>
    <w:rsid w:val="006224FB"/>
    <w:rsid w:val="0063115F"/>
    <w:rsid w:val="00632159"/>
    <w:rsid w:val="00635995"/>
    <w:rsid w:val="006363DA"/>
    <w:rsid w:val="006432C0"/>
    <w:rsid w:val="006456EA"/>
    <w:rsid w:val="00653983"/>
    <w:rsid w:val="006609C2"/>
    <w:rsid w:val="00663D75"/>
    <w:rsid w:val="0066478F"/>
    <w:rsid w:val="00675E89"/>
    <w:rsid w:val="00682849"/>
    <w:rsid w:val="00695F46"/>
    <w:rsid w:val="006969F1"/>
    <w:rsid w:val="006A3C35"/>
    <w:rsid w:val="006A6D11"/>
    <w:rsid w:val="006B2259"/>
    <w:rsid w:val="006B3ECE"/>
    <w:rsid w:val="006C5754"/>
    <w:rsid w:val="006D03D9"/>
    <w:rsid w:val="006D6526"/>
    <w:rsid w:val="006E06BE"/>
    <w:rsid w:val="006E674D"/>
    <w:rsid w:val="006E6770"/>
    <w:rsid w:val="006F154A"/>
    <w:rsid w:val="00701992"/>
    <w:rsid w:val="0070363C"/>
    <w:rsid w:val="00712023"/>
    <w:rsid w:val="007144E9"/>
    <w:rsid w:val="007145C9"/>
    <w:rsid w:val="00714A1F"/>
    <w:rsid w:val="00717328"/>
    <w:rsid w:val="0072073D"/>
    <w:rsid w:val="00742C04"/>
    <w:rsid w:val="0074571D"/>
    <w:rsid w:val="00750962"/>
    <w:rsid w:val="00750A05"/>
    <w:rsid w:val="00752C05"/>
    <w:rsid w:val="00767018"/>
    <w:rsid w:val="0077196D"/>
    <w:rsid w:val="00771C92"/>
    <w:rsid w:val="00795586"/>
    <w:rsid w:val="00797DA3"/>
    <w:rsid w:val="007A17C3"/>
    <w:rsid w:val="007A4844"/>
    <w:rsid w:val="007A4BE6"/>
    <w:rsid w:val="007B1DFE"/>
    <w:rsid w:val="007B33CE"/>
    <w:rsid w:val="007B7B81"/>
    <w:rsid w:val="007C1429"/>
    <w:rsid w:val="007C5441"/>
    <w:rsid w:val="007D1495"/>
    <w:rsid w:val="007D5A52"/>
    <w:rsid w:val="007D5CA1"/>
    <w:rsid w:val="007D75C8"/>
    <w:rsid w:val="007E2C66"/>
    <w:rsid w:val="007F1021"/>
    <w:rsid w:val="007F12A3"/>
    <w:rsid w:val="007F1BD3"/>
    <w:rsid w:val="007F2DBB"/>
    <w:rsid w:val="007F7E7C"/>
    <w:rsid w:val="00806C63"/>
    <w:rsid w:val="0081166B"/>
    <w:rsid w:val="00816613"/>
    <w:rsid w:val="00821A81"/>
    <w:rsid w:val="00825F63"/>
    <w:rsid w:val="008322D8"/>
    <w:rsid w:val="00837E5B"/>
    <w:rsid w:val="008472D3"/>
    <w:rsid w:val="008472F9"/>
    <w:rsid w:val="00851067"/>
    <w:rsid w:val="0085416C"/>
    <w:rsid w:val="00855329"/>
    <w:rsid w:val="00856A7C"/>
    <w:rsid w:val="0086041F"/>
    <w:rsid w:val="008739E7"/>
    <w:rsid w:val="00874645"/>
    <w:rsid w:val="00881685"/>
    <w:rsid w:val="008844D9"/>
    <w:rsid w:val="00891C3A"/>
    <w:rsid w:val="00895E64"/>
    <w:rsid w:val="008A3638"/>
    <w:rsid w:val="008A3A3B"/>
    <w:rsid w:val="008A7188"/>
    <w:rsid w:val="008B1BA3"/>
    <w:rsid w:val="008B68F7"/>
    <w:rsid w:val="008C276D"/>
    <w:rsid w:val="008E0A69"/>
    <w:rsid w:val="008F2058"/>
    <w:rsid w:val="008F3731"/>
    <w:rsid w:val="009020E3"/>
    <w:rsid w:val="00903C74"/>
    <w:rsid w:val="00904B69"/>
    <w:rsid w:val="009064CE"/>
    <w:rsid w:val="0090663A"/>
    <w:rsid w:val="00910AD1"/>
    <w:rsid w:val="00910B65"/>
    <w:rsid w:val="00912233"/>
    <w:rsid w:val="00914021"/>
    <w:rsid w:val="00917410"/>
    <w:rsid w:val="0092334A"/>
    <w:rsid w:val="009264D0"/>
    <w:rsid w:val="0093360A"/>
    <w:rsid w:val="009358D3"/>
    <w:rsid w:val="0093738F"/>
    <w:rsid w:val="00955433"/>
    <w:rsid w:val="00955764"/>
    <w:rsid w:val="00957A6F"/>
    <w:rsid w:val="0096086D"/>
    <w:rsid w:val="009649C2"/>
    <w:rsid w:val="00965DEB"/>
    <w:rsid w:val="00966A04"/>
    <w:rsid w:val="009738DE"/>
    <w:rsid w:val="00980BEB"/>
    <w:rsid w:val="00980D94"/>
    <w:rsid w:val="00982F7B"/>
    <w:rsid w:val="009843D4"/>
    <w:rsid w:val="00986361"/>
    <w:rsid w:val="009867A7"/>
    <w:rsid w:val="0099076D"/>
    <w:rsid w:val="00991B64"/>
    <w:rsid w:val="0099690F"/>
    <w:rsid w:val="00996D38"/>
    <w:rsid w:val="00997F89"/>
    <w:rsid w:val="009A10C6"/>
    <w:rsid w:val="009A4503"/>
    <w:rsid w:val="009B008F"/>
    <w:rsid w:val="009C2D11"/>
    <w:rsid w:val="009C3FDE"/>
    <w:rsid w:val="009C4CE9"/>
    <w:rsid w:val="009F28F5"/>
    <w:rsid w:val="009F5763"/>
    <w:rsid w:val="00A06310"/>
    <w:rsid w:val="00A07846"/>
    <w:rsid w:val="00A17CA6"/>
    <w:rsid w:val="00A22C2C"/>
    <w:rsid w:val="00A22FBF"/>
    <w:rsid w:val="00A2670C"/>
    <w:rsid w:val="00A3040C"/>
    <w:rsid w:val="00A346EF"/>
    <w:rsid w:val="00A53E9E"/>
    <w:rsid w:val="00A54087"/>
    <w:rsid w:val="00A57024"/>
    <w:rsid w:val="00A61757"/>
    <w:rsid w:val="00A63939"/>
    <w:rsid w:val="00A65690"/>
    <w:rsid w:val="00A65FB0"/>
    <w:rsid w:val="00A66A23"/>
    <w:rsid w:val="00A743C6"/>
    <w:rsid w:val="00A8148C"/>
    <w:rsid w:val="00A831E7"/>
    <w:rsid w:val="00A85640"/>
    <w:rsid w:val="00A86AFC"/>
    <w:rsid w:val="00A91DC1"/>
    <w:rsid w:val="00A9412B"/>
    <w:rsid w:val="00AB536E"/>
    <w:rsid w:val="00AB69AD"/>
    <w:rsid w:val="00AB747E"/>
    <w:rsid w:val="00AC31F4"/>
    <w:rsid w:val="00AC6B15"/>
    <w:rsid w:val="00AD2569"/>
    <w:rsid w:val="00AD4124"/>
    <w:rsid w:val="00AD7DB5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062A5"/>
    <w:rsid w:val="00B14C16"/>
    <w:rsid w:val="00B14E68"/>
    <w:rsid w:val="00B23669"/>
    <w:rsid w:val="00B24860"/>
    <w:rsid w:val="00B33789"/>
    <w:rsid w:val="00B434EA"/>
    <w:rsid w:val="00B46BC1"/>
    <w:rsid w:val="00B56AFB"/>
    <w:rsid w:val="00B576A5"/>
    <w:rsid w:val="00B862DB"/>
    <w:rsid w:val="00B922EE"/>
    <w:rsid w:val="00B9596E"/>
    <w:rsid w:val="00BA2FA0"/>
    <w:rsid w:val="00BA3D8E"/>
    <w:rsid w:val="00BA40B4"/>
    <w:rsid w:val="00BA49EB"/>
    <w:rsid w:val="00BB0F85"/>
    <w:rsid w:val="00BC0132"/>
    <w:rsid w:val="00BC0598"/>
    <w:rsid w:val="00BC6B47"/>
    <w:rsid w:val="00BC7A4D"/>
    <w:rsid w:val="00BD0526"/>
    <w:rsid w:val="00BD2784"/>
    <w:rsid w:val="00BD46B2"/>
    <w:rsid w:val="00BE4710"/>
    <w:rsid w:val="00BF11C6"/>
    <w:rsid w:val="00C11004"/>
    <w:rsid w:val="00C111FE"/>
    <w:rsid w:val="00C1497F"/>
    <w:rsid w:val="00C20B9C"/>
    <w:rsid w:val="00C21E75"/>
    <w:rsid w:val="00C2509E"/>
    <w:rsid w:val="00C2778C"/>
    <w:rsid w:val="00C27F6A"/>
    <w:rsid w:val="00C3159C"/>
    <w:rsid w:val="00C35841"/>
    <w:rsid w:val="00C409C6"/>
    <w:rsid w:val="00C41C74"/>
    <w:rsid w:val="00C4260E"/>
    <w:rsid w:val="00C43C76"/>
    <w:rsid w:val="00C47B63"/>
    <w:rsid w:val="00C47F8B"/>
    <w:rsid w:val="00C50567"/>
    <w:rsid w:val="00C742DD"/>
    <w:rsid w:val="00C846F6"/>
    <w:rsid w:val="00C94B4E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D7E39"/>
    <w:rsid w:val="00CE2EFB"/>
    <w:rsid w:val="00CE5A10"/>
    <w:rsid w:val="00CF2D6E"/>
    <w:rsid w:val="00D02FD8"/>
    <w:rsid w:val="00D10832"/>
    <w:rsid w:val="00D11A3A"/>
    <w:rsid w:val="00D3104C"/>
    <w:rsid w:val="00D42152"/>
    <w:rsid w:val="00D43D89"/>
    <w:rsid w:val="00D50FDD"/>
    <w:rsid w:val="00D513E4"/>
    <w:rsid w:val="00D53B8E"/>
    <w:rsid w:val="00D56A51"/>
    <w:rsid w:val="00D602AC"/>
    <w:rsid w:val="00D70824"/>
    <w:rsid w:val="00D760A9"/>
    <w:rsid w:val="00D760CF"/>
    <w:rsid w:val="00D925B8"/>
    <w:rsid w:val="00D949D0"/>
    <w:rsid w:val="00DA3B66"/>
    <w:rsid w:val="00DA4453"/>
    <w:rsid w:val="00DA4D95"/>
    <w:rsid w:val="00DA6836"/>
    <w:rsid w:val="00DA733A"/>
    <w:rsid w:val="00DB2417"/>
    <w:rsid w:val="00DC05A3"/>
    <w:rsid w:val="00DC6A0C"/>
    <w:rsid w:val="00DE49B7"/>
    <w:rsid w:val="00E03DB3"/>
    <w:rsid w:val="00E04EB8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356BD"/>
    <w:rsid w:val="00E412D0"/>
    <w:rsid w:val="00E4317C"/>
    <w:rsid w:val="00E53D4C"/>
    <w:rsid w:val="00E5677B"/>
    <w:rsid w:val="00E609ED"/>
    <w:rsid w:val="00E63703"/>
    <w:rsid w:val="00E64DDC"/>
    <w:rsid w:val="00E704C6"/>
    <w:rsid w:val="00E77545"/>
    <w:rsid w:val="00E775AC"/>
    <w:rsid w:val="00E77A47"/>
    <w:rsid w:val="00E77B98"/>
    <w:rsid w:val="00E822DD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3D73"/>
    <w:rsid w:val="00ED3FA6"/>
    <w:rsid w:val="00ED5CDF"/>
    <w:rsid w:val="00ED6DCA"/>
    <w:rsid w:val="00EF0944"/>
    <w:rsid w:val="00EF7BE7"/>
    <w:rsid w:val="00F05141"/>
    <w:rsid w:val="00F07267"/>
    <w:rsid w:val="00F159E2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4739C"/>
    <w:rsid w:val="00F53F80"/>
    <w:rsid w:val="00F5697E"/>
    <w:rsid w:val="00F57625"/>
    <w:rsid w:val="00F6024C"/>
    <w:rsid w:val="00F673A2"/>
    <w:rsid w:val="00F67B89"/>
    <w:rsid w:val="00F71A10"/>
    <w:rsid w:val="00F72A3E"/>
    <w:rsid w:val="00F74B67"/>
    <w:rsid w:val="00F7577B"/>
    <w:rsid w:val="00F8348D"/>
    <w:rsid w:val="00F91726"/>
    <w:rsid w:val="00FB3B53"/>
    <w:rsid w:val="00FB551B"/>
    <w:rsid w:val="00FC2947"/>
    <w:rsid w:val="00FC69D9"/>
    <w:rsid w:val="00FD28C1"/>
    <w:rsid w:val="00FD7412"/>
    <w:rsid w:val="00FE6F42"/>
    <w:rsid w:val="00FE7EF3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465A6E"/>
    <w:pPr>
      <w:ind w:left="720"/>
      <w:contextualSpacing/>
    </w:pPr>
  </w:style>
  <w:style w:type="paragraph" w:styleId="berarbeitung">
    <w:name w:val="Revision"/>
    <w:hidden/>
    <w:uiPriority w:val="99"/>
    <w:semiHidden/>
    <w:rsid w:val="0091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Britt Finke</cp:lastModifiedBy>
  <cp:revision>32</cp:revision>
  <cp:lastPrinted>2022-03-30T15:12:00Z</cp:lastPrinted>
  <dcterms:created xsi:type="dcterms:W3CDTF">2024-04-02T12:13:00Z</dcterms:created>
  <dcterms:modified xsi:type="dcterms:W3CDTF">2024-04-02T15:17:00Z</dcterms:modified>
</cp:coreProperties>
</file>