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F6D78" w14:textId="77777777" w:rsidR="00EF6BD0" w:rsidRDefault="00EF6BD0" w:rsidP="00EF6BD0">
      <w:r>
        <w:rPr>
          <w:noProof/>
          <w:lang w:eastAsia="de-DE"/>
        </w:rPr>
        <w:drawing>
          <wp:anchor distT="0" distB="0" distL="114300" distR="114300" simplePos="0" relativeHeight="251659264" behindDoc="0" locked="0" layoutInCell="1" allowOverlap="1" wp14:anchorId="0267B3A9" wp14:editId="5F641390">
            <wp:simplePos x="0" y="0"/>
            <wp:positionH relativeFrom="column">
              <wp:posOffset>3938905</wp:posOffset>
            </wp:positionH>
            <wp:positionV relativeFrom="paragraph">
              <wp:posOffset>0</wp:posOffset>
            </wp:positionV>
            <wp:extent cx="1950720" cy="341630"/>
            <wp:effectExtent l="0" t="0" r="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0720" cy="341630"/>
                    </a:xfrm>
                    <a:prstGeom prst="rect">
                      <a:avLst/>
                    </a:prstGeom>
                    <a:noFill/>
                  </pic:spPr>
                </pic:pic>
              </a:graphicData>
            </a:graphic>
          </wp:anchor>
        </w:drawing>
      </w:r>
    </w:p>
    <w:p w14:paraId="6CB2D3C0" w14:textId="1D4F6BDC" w:rsidR="00EF6BD0" w:rsidRDefault="00EF6BD0" w:rsidP="00EF6BD0"/>
    <w:p w14:paraId="23725A39" w14:textId="77777777" w:rsidR="00EF6BD0" w:rsidRPr="00BD57C1" w:rsidRDefault="00EF6BD0" w:rsidP="00EF6BD0">
      <w:pPr>
        <w:rPr>
          <w:rFonts w:ascii="Plain Thin" w:hAnsi="Plain Thin"/>
          <w:sz w:val="24"/>
          <w:szCs w:val="24"/>
        </w:rPr>
      </w:pPr>
      <w:r w:rsidRPr="00BD57C1">
        <w:rPr>
          <w:rFonts w:ascii="Plain Thin" w:hAnsi="Plain Thin"/>
          <w:sz w:val="24"/>
          <w:szCs w:val="24"/>
        </w:rPr>
        <w:t>PRESSEINFORMATION</w:t>
      </w:r>
    </w:p>
    <w:p w14:paraId="6852E74C" w14:textId="75E5A8B3" w:rsidR="00EF6BD0" w:rsidRPr="00EF6BD0" w:rsidRDefault="00EF6BD0">
      <w:pPr>
        <w:rPr>
          <w:rFonts w:ascii="Plain Light" w:hAnsi="Plain Light"/>
          <w:sz w:val="40"/>
          <w:szCs w:val="40"/>
        </w:rPr>
      </w:pPr>
      <w:r w:rsidRPr="00EF6BD0">
        <w:rPr>
          <w:rFonts w:ascii="Plain Light" w:hAnsi="Plain Light"/>
          <w:sz w:val="40"/>
          <w:szCs w:val="40"/>
        </w:rPr>
        <w:t xml:space="preserve">ETL ADHOGA </w:t>
      </w:r>
      <w:proofErr w:type="spellStart"/>
      <w:r w:rsidRPr="00EF6BD0">
        <w:rPr>
          <w:rFonts w:ascii="Plain Light" w:hAnsi="Plain Light"/>
          <w:sz w:val="40"/>
          <w:szCs w:val="40"/>
        </w:rPr>
        <w:t>GASTRObriefing</w:t>
      </w:r>
      <w:proofErr w:type="spellEnd"/>
      <w:r w:rsidRPr="00EF6BD0">
        <w:rPr>
          <w:rFonts w:ascii="Plain Light" w:hAnsi="Plain Light"/>
          <w:sz w:val="40"/>
          <w:szCs w:val="40"/>
        </w:rPr>
        <w:t xml:space="preserve"> zum einjährigen Jubiläum mit Themenschwerpunkt Überbrückungshilfe</w:t>
      </w:r>
    </w:p>
    <w:p w14:paraId="067A884D" w14:textId="77777777" w:rsidR="00EF6BD0" w:rsidRDefault="00EF6BD0"/>
    <w:p w14:paraId="5934918A" w14:textId="4E59FAEE" w:rsidR="00CA4453" w:rsidRPr="00EF6BD0" w:rsidRDefault="00EF6BD0">
      <w:pPr>
        <w:rPr>
          <w:rFonts w:ascii="Plain Thin" w:hAnsi="Plain Thin"/>
          <w:b/>
          <w:i/>
        </w:rPr>
      </w:pPr>
      <w:r w:rsidRPr="00EF6BD0">
        <w:rPr>
          <w:rFonts w:ascii="Plain Thin" w:hAnsi="Plain Thin"/>
          <w:b/>
          <w:i/>
        </w:rPr>
        <w:t xml:space="preserve">Berlin/Essen. 02. November 2021. </w:t>
      </w:r>
      <w:r w:rsidR="00DE7C85" w:rsidRPr="00EF6BD0">
        <w:rPr>
          <w:rFonts w:ascii="Plain Thin" w:hAnsi="Plain Thin"/>
          <w:b/>
          <w:i/>
        </w:rPr>
        <w:t xml:space="preserve">Vor fast genau einem Jahr, am 3. November 2020, startete das </w:t>
      </w:r>
      <w:proofErr w:type="spellStart"/>
      <w:r w:rsidR="00DE7C85" w:rsidRPr="00EF6BD0">
        <w:rPr>
          <w:rFonts w:ascii="Plain Thin" w:hAnsi="Plain Thin"/>
          <w:b/>
          <w:i/>
        </w:rPr>
        <w:t>GASTRObriefing</w:t>
      </w:r>
      <w:proofErr w:type="spellEnd"/>
      <w:r w:rsidR="00DE7C85" w:rsidRPr="00EF6BD0">
        <w:rPr>
          <w:rFonts w:ascii="Plain Thin" w:hAnsi="Plain Thin"/>
          <w:b/>
          <w:i/>
        </w:rPr>
        <w:t xml:space="preserve"> von ETL ADHOGA als wöchentlich stattfindendes branchenspezifisches Live-Update von, für und mit Gastronom</w:t>
      </w:r>
      <w:r w:rsidR="00AE6BCE" w:rsidRPr="00EF6BD0">
        <w:rPr>
          <w:rFonts w:ascii="Plain Thin" w:hAnsi="Plain Thin"/>
          <w:b/>
          <w:i/>
        </w:rPr>
        <w:t>en</w:t>
      </w:r>
      <w:r w:rsidR="00DE7C85" w:rsidRPr="00EF6BD0">
        <w:rPr>
          <w:rFonts w:ascii="Plain Thin" w:hAnsi="Plain Thin"/>
          <w:b/>
          <w:i/>
        </w:rPr>
        <w:t xml:space="preserve"> und Expert</w:t>
      </w:r>
      <w:r w:rsidR="00AE6BCE" w:rsidRPr="00EF6BD0">
        <w:rPr>
          <w:rFonts w:ascii="Plain Thin" w:hAnsi="Plain Thin"/>
          <w:b/>
          <w:i/>
        </w:rPr>
        <w:t>en</w:t>
      </w:r>
      <w:r w:rsidR="00DE7C85" w:rsidRPr="00EF6BD0">
        <w:rPr>
          <w:rFonts w:ascii="Plain Thin" w:hAnsi="Plain Thin"/>
          <w:b/>
          <w:i/>
        </w:rPr>
        <w:t xml:space="preserve">. </w:t>
      </w:r>
      <w:r w:rsidRPr="00EF6BD0">
        <w:rPr>
          <w:rFonts w:ascii="Plain Thin" w:hAnsi="Plain Thin"/>
          <w:b/>
          <w:i/>
        </w:rPr>
        <w:t>Am Dienstag, dem 2. November 2021, widmet sich das Format in seiner 53. Folge dem Thema Schlussabrechnung der Corona-Überbrückungshilf</w:t>
      </w:r>
      <w:r>
        <w:rPr>
          <w:rFonts w:ascii="Plain Thin" w:hAnsi="Plain Thin"/>
          <w:b/>
          <w:i/>
        </w:rPr>
        <w:t>en und warnt vor einem „</w:t>
      </w:r>
      <w:r w:rsidRPr="00EF6BD0">
        <w:rPr>
          <w:rFonts w:ascii="Plain Thin" w:hAnsi="Plain Thin"/>
          <w:b/>
          <w:i/>
        </w:rPr>
        <w:t xml:space="preserve">bösen Erwachen“ kurz vorm Jahresende. Zu diesem Anlass empfängt </w:t>
      </w:r>
      <w:r>
        <w:rPr>
          <w:rFonts w:ascii="Plain Thin" w:hAnsi="Plain Thin"/>
          <w:b/>
          <w:i/>
        </w:rPr>
        <w:t xml:space="preserve">ETL ADHOGA-Leiter </w:t>
      </w:r>
      <w:r w:rsidRPr="00EF6BD0">
        <w:rPr>
          <w:rFonts w:ascii="Plain Thin" w:hAnsi="Plain Thin"/>
          <w:b/>
          <w:i/>
        </w:rPr>
        <w:t xml:space="preserve">Erich Nagl den Rechtsanwalt Steffen </w:t>
      </w:r>
      <w:proofErr w:type="spellStart"/>
      <w:r w:rsidRPr="00EF6BD0">
        <w:rPr>
          <w:rFonts w:ascii="Plain Thin" w:hAnsi="Plain Thin"/>
          <w:b/>
          <w:i/>
        </w:rPr>
        <w:t>Pasler</w:t>
      </w:r>
      <w:proofErr w:type="spellEnd"/>
      <w:r w:rsidRPr="00EF6BD0">
        <w:rPr>
          <w:rFonts w:ascii="Plain Thin" w:hAnsi="Plain Thin"/>
          <w:b/>
          <w:i/>
        </w:rPr>
        <w:t xml:space="preserve"> in der Sendung. </w:t>
      </w:r>
      <w:r w:rsidR="00DE7C85" w:rsidRPr="00EF6BD0">
        <w:rPr>
          <w:rFonts w:ascii="Plain Thin" w:hAnsi="Plain Thin"/>
          <w:b/>
          <w:i/>
        </w:rPr>
        <w:t xml:space="preserve">Zwar hat sich seit Folge 1 der Name des damals noch unter dem Titel „ETL ADHOGA Newsflash“ fungierenden </w:t>
      </w:r>
      <w:r w:rsidR="00CA4453" w:rsidRPr="00EF6BD0">
        <w:rPr>
          <w:rFonts w:ascii="Plain Thin" w:hAnsi="Plain Thin"/>
          <w:b/>
          <w:i/>
        </w:rPr>
        <w:t xml:space="preserve">Formats geändert, und auch optisch und inhaltlich sind die enormen Entwicklungsschritte der Live-Updates nicht zu übersehen. Doch im Kern blieb das </w:t>
      </w:r>
      <w:proofErr w:type="spellStart"/>
      <w:r w:rsidR="00CA4453" w:rsidRPr="00EF6BD0">
        <w:rPr>
          <w:rFonts w:ascii="Plain Thin" w:hAnsi="Plain Thin"/>
          <w:b/>
          <w:i/>
        </w:rPr>
        <w:t>GASTRObriefing</w:t>
      </w:r>
      <w:proofErr w:type="spellEnd"/>
      <w:r w:rsidR="00CA4453" w:rsidRPr="00EF6BD0">
        <w:rPr>
          <w:rFonts w:ascii="Plain Thin" w:hAnsi="Plain Thin"/>
          <w:b/>
          <w:i/>
        </w:rPr>
        <w:t xml:space="preserve"> seinem anfänglichen Versprechen treu</w:t>
      </w:r>
      <w:r w:rsidR="00960659" w:rsidRPr="00EF6BD0">
        <w:rPr>
          <w:rFonts w:ascii="Plain Thin" w:hAnsi="Plain Thin"/>
          <w:b/>
          <w:i/>
        </w:rPr>
        <w:t>, wie Erich Nagl betont</w:t>
      </w:r>
      <w:r w:rsidR="00CA4453" w:rsidRPr="00EF6BD0">
        <w:rPr>
          <w:rFonts w:ascii="Plain Thin" w:hAnsi="Plain Thin"/>
          <w:b/>
          <w:i/>
        </w:rPr>
        <w:t xml:space="preserve">: </w:t>
      </w:r>
      <w:r w:rsidR="00960659" w:rsidRPr="00EF6BD0">
        <w:rPr>
          <w:rFonts w:ascii="Plain Thin" w:hAnsi="Plain Thin"/>
          <w:b/>
          <w:i/>
        </w:rPr>
        <w:t>„</w:t>
      </w:r>
      <w:r w:rsidR="00CA4453" w:rsidRPr="00EF6BD0">
        <w:rPr>
          <w:rFonts w:ascii="Plain Thin" w:hAnsi="Plain Thin"/>
          <w:b/>
          <w:i/>
        </w:rPr>
        <w:t>Dem Gastgewerbe in einer herausfordernden Zeit beizustehen, regelmäßig wichtige Informationen rund um Steuern, Recht und Unternehmens</w:t>
      </w:r>
      <w:r w:rsidR="00B221E7" w:rsidRPr="00EF6BD0">
        <w:rPr>
          <w:rFonts w:ascii="Plain Thin" w:hAnsi="Plain Thin"/>
          <w:b/>
          <w:i/>
        </w:rPr>
        <w:t>prozesse</w:t>
      </w:r>
      <w:r w:rsidR="00CA4453" w:rsidRPr="00EF6BD0">
        <w:rPr>
          <w:rFonts w:ascii="Plain Thin" w:hAnsi="Plain Thin"/>
          <w:b/>
          <w:i/>
        </w:rPr>
        <w:t xml:space="preserve"> zu vermitteln und gemeinsam mit den Teilnehmenden und hochkarätigen Gästen die neuesten Entwicklungen der Branche vorzustellen, zu diskutieren und zu analysieren.</w:t>
      </w:r>
      <w:r w:rsidR="00960659" w:rsidRPr="00EF6BD0">
        <w:rPr>
          <w:rFonts w:ascii="Plain Thin" w:hAnsi="Plain Thin"/>
          <w:b/>
          <w:i/>
        </w:rPr>
        <w:t>“</w:t>
      </w:r>
    </w:p>
    <w:p w14:paraId="7B52A9FA" w14:textId="40CF12F0" w:rsidR="009E26DC" w:rsidRPr="00EF6BD0" w:rsidRDefault="00947FCA">
      <w:pPr>
        <w:rPr>
          <w:rFonts w:ascii="Plain Thin" w:hAnsi="Plain Thin"/>
          <w:strike/>
          <w:color w:val="FF0000"/>
        </w:rPr>
      </w:pPr>
      <w:r w:rsidRPr="00EF6BD0">
        <w:rPr>
          <w:rFonts w:ascii="Plain Thin" w:hAnsi="Plain Thin"/>
        </w:rPr>
        <w:t xml:space="preserve">Die Produktion der Live-Events, </w:t>
      </w:r>
      <w:r w:rsidR="00A12BFD" w:rsidRPr="00EF6BD0">
        <w:rPr>
          <w:rFonts w:ascii="Plain Thin" w:hAnsi="Plain Thin"/>
        </w:rPr>
        <w:t xml:space="preserve">für gewöhnlich </w:t>
      </w:r>
      <w:r w:rsidRPr="00EF6BD0">
        <w:rPr>
          <w:rFonts w:ascii="Plain Thin" w:hAnsi="Plain Thin"/>
        </w:rPr>
        <w:t xml:space="preserve">moderiert von Erich Nagl und </w:t>
      </w:r>
      <w:r w:rsidR="00B221E7" w:rsidRPr="00EF6BD0">
        <w:rPr>
          <w:rFonts w:ascii="Plain Thin" w:hAnsi="Plain Thin"/>
        </w:rPr>
        <w:t>Senior</w:t>
      </w:r>
      <w:r w:rsidR="00B221E7" w:rsidRPr="00EF6BD0">
        <w:rPr>
          <w:rFonts w:ascii="Plain Thin" w:hAnsi="Plain Thin"/>
          <w:color w:val="FF0000"/>
        </w:rPr>
        <w:t xml:space="preserve"> </w:t>
      </w:r>
      <w:r w:rsidR="00AE6BCE" w:rsidRPr="00EF6BD0">
        <w:rPr>
          <w:rFonts w:ascii="Plain Thin" w:hAnsi="Plain Thin"/>
        </w:rPr>
        <w:t xml:space="preserve">Business Development Manager </w:t>
      </w:r>
      <w:r w:rsidR="00960659" w:rsidRPr="00EF6BD0">
        <w:rPr>
          <w:rFonts w:ascii="Plain Thin" w:hAnsi="Plain Thin"/>
        </w:rPr>
        <w:t>Konstantin F. Ballek</w:t>
      </w:r>
      <w:r w:rsidRPr="00EF6BD0">
        <w:rPr>
          <w:rFonts w:ascii="Plain Thin" w:hAnsi="Plain Thin"/>
        </w:rPr>
        <w:t xml:space="preserve">, findet im hauseigenen </w:t>
      </w:r>
      <w:proofErr w:type="spellStart"/>
      <w:r w:rsidRPr="00EF6BD0">
        <w:rPr>
          <w:rFonts w:ascii="Plain Thin" w:hAnsi="Plain Thin"/>
        </w:rPr>
        <w:t>Greenscreen</w:t>
      </w:r>
      <w:proofErr w:type="spellEnd"/>
      <w:r w:rsidRPr="00EF6BD0">
        <w:rPr>
          <w:rFonts w:ascii="Plain Thin" w:hAnsi="Plain Thin"/>
        </w:rPr>
        <w:t xml:space="preserve">-Studio statt. Dabei werden Teilnehmer der ersten Stunde den großen Fortschritt in der optischen Präsentation des Formats erkennen. So begleitet der Zuschauer seit einigen Folgen Moderator Erich Nagl im Intro beim Gang durch das ETL-Hauptgebäude in Berlin Mitte und kann einen Blick „hinter die Kulissen“ der Produktion werfen. Transparenz und Nahbarkeit, die auch im </w:t>
      </w:r>
      <w:r w:rsidRPr="00EF6BD0">
        <w:rPr>
          <w:rFonts w:ascii="Plain Thin" w:hAnsi="Plain Thin"/>
          <w:i/>
        </w:rPr>
        <w:t xml:space="preserve">gastronomischen Du </w:t>
      </w:r>
      <w:r w:rsidRPr="00EF6BD0">
        <w:rPr>
          <w:rFonts w:ascii="Plain Thin" w:hAnsi="Plain Thin"/>
        </w:rPr>
        <w:t xml:space="preserve">zum Ausdruck kommt, welches mit Folge 30 Einzug in das </w:t>
      </w:r>
      <w:proofErr w:type="spellStart"/>
      <w:r w:rsidRPr="00EF6BD0">
        <w:rPr>
          <w:rFonts w:ascii="Plain Thin" w:hAnsi="Plain Thin"/>
        </w:rPr>
        <w:t>GASTRObriefing</w:t>
      </w:r>
      <w:proofErr w:type="spellEnd"/>
      <w:r w:rsidRPr="00EF6BD0">
        <w:rPr>
          <w:rFonts w:ascii="Plain Thin" w:hAnsi="Plain Thin"/>
        </w:rPr>
        <w:t xml:space="preserve"> gehalten hat.</w:t>
      </w:r>
    </w:p>
    <w:p w14:paraId="53473F31" w14:textId="77777777" w:rsidR="00960659" w:rsidRPr="00EF6BD0" w:rsidRDefault="00947FCA">
      <w:pPr>
        <w:rPr>
          <w:rFonts w:ascii="Plain Thin" w:hAnsi="Plain Thin"/>
        </w:rPr>
      </w:pPr>
      <w:r w:rsidRPr="00EF6BD0">
        <w:rPr>
          <w:rFonts w:ascii="Plain Thin" w:hAnsi="Plain Thin"/>
        </w:rPr>
        <w:t xml:space="preserve">Seit #43 stellt das </w:t>
      </w:r>
      <w:proofErr w:type="spellStart"/>
      <w:r w:rsidRPr="00EF6BD0">
        <w:rPr>
          <w:rFonts w:ascii="Plain Thin" w:hAnsi="Plain Thin"/>
        </w:rPr>
        <w:t>GASTRObriefing</w:t>
      </w:r>
      <w:proofErr w:type="spellEnd"/>
      <w:r w:rsidRPr="00EF6BD0">
        <w:rPr>
          <w:rFonts w:ascii="Plain Thin" w:hAnsi="Plain Thin"/>
        </w:rPr>
        <w:t xml:space="preserve"> den inhaltlichen Mehrwert der Interviewpartner noch stärker ins Zentrum. Zum einen nimmt das Gespräch mit den Branchenvertretern und/oder Experten nun den Großteil der Sendezeit in Anspruch, zum anderen steht die Aufzeichnung der Folge seitdem nicht mehr nur als Video-, sondern auch als Audioformat auf allen geläufigen Podcast-Plattformen zur</w:t>
      </w:r>
      <w:r w:rsidR="00960659" w:rsidRPr="00EF6BD0">
        <w:rPr>
          <w:rFonts w:ascii="Plain Thin" w:hAnsi="Plain Thin"/>
        </w:rPr>
        <w:t xml:space="preserve"> Nachbetrachtung zur Verfügung. </w:t>
      </w:r>
    </w:p>
    <w:p w14:paraId="05A2E3B6" w14:textId="7247A39E" w:rsidR="00947FCA" w:rsidRDefault="00960659">
      <w:pPr>
        <w:rPr>
          <w:rFonts w:ascii="Plain Thin" w:hAnsi="Plain Thin"/>
        </w:rPr>
      </w:pPr>
      <w:r w:rsidRPr="00EF6BD0">
        <w:rPr>
          <w:rFonts w:ascii="Plain Thin" w:hAnsi="Plain Thin"/>
        </w:rPr>
        <w:t xml:space="preserve">Welche Zwischenbilanz ziehen die </w:t>
      </w:r>
      <w:r w:rsidR="002A5EAF" w:rsidRPr="00EF6BD0">
        <w:rPr>
          <w:rFonts w:ascii="Plain Thin" w:hAnsi="Plain Thin"/>
        </w:rPr>
        <w:t xml:space="preserve">ETL </w:t>
      </w:r>
      <w:r w:rsidRPr="00EF6BD0">
        <w:rPr>
          <w:rFonts w:ascii="Plain Thin" w:hAnsi="Plain Thin"/>
        </w:rPr>
        <w:t xml:space="preserve">ADHOGA-Verantwortlichen also nach einem Jahr </w:t>
      </w:r>
      <w:proofErr w:type="spellStart"/>
      <w:r w:rsidRPr="00EF6BD0">
        <w:rPr>
          <w:rFonts w:ascii="Plain Thin" w:hAnsi="Plain Thin"/>
        </w:rPr>
        <w:t>GASTRObriefing</w:t>
      </w:r>
      <w:proofErr w:type="spellEnd"/>
      <w:r w:rsidR="00E44B4B" w:rsidRPr="00EF6BD0">
        <w:rPr>
          <w:rFonts w:ascii="Plain Thin" w:hAnsi="Plain Thin"/>
        </w:rPr>
        <w:t xml:space="preserve"> und </w:t>
      </w:r>
      <w:r w:rsidR="002A5EAF" w:rsidRPr="00EF6BD0">
        <w:rPr>
          <w:rFonts w:ascii="Plain Thin" w:hAnsi="Plain Thin"/>
        </w:rPr>
        <w:t xml:space="preserve">insgesamt </w:t>
      </w:r>
      <w:r w:rsidR="00E44B4B" w:rsidRPr="00EF6BD0">
        <w:rPr>
          <w:rFonts w:ascii="Plain Thin" w:eastAsia="Times New Roman" w:hAnsi="Plain Thin"/>
          <w:i/>
        </w:rPr>
        <w:t>111.300 Sekunden Sendezeit</w:t>
      </w:r>
      <w:r w:rsidRPr="00EF6BD0">
        <w:rPr>
          <w:rFonts w:ascii="Plain Thin" w:hAnsi="Plain Thin"/>
        </w:rPr>
        <w:t xml:space="preserve">? </w:t>
      </w:r>
      <w:r w:rsidR="00612A2C" w:rsidRPr="00EF6BD0">
        <w:rPr>
          <w:rFonts w:ascii="Plain Thin" w:hAnsi="Plain Thin"/>
        </w:rPr>
        <w:t xml:space="preserve">„Das Briefing ist wie die </w:t>
      </w:r>
      <w:r w:rsidR="00612A2C" w:rsidRPr="00EF6BD0">
        <w:rPr>
          <w:rFonts w:ascii="Plain Thin" w:hAnsi="Plain Thin"/>
        </w:rPr>
        <w:lastRenderedPageBreak/>
        <w:t>gesamte Branche einer ständigen Weiterentwicklung verpflichtet“, so Konstantin F. Ballek. „</w:t>
      </w:r>
      <w:r w:rsidR="00947FCA" w:rsidRPr="00EF6BD0">
        <w:rPr>
          <w:rFonts w:ascii="Plain Thin" w:hAnsi="Plain Thin"/>
        </w:rPr>
        <w:t>Bei allen Optimierungen</w:t>
      </w:r>
      <w:r w:rsidR="00612A2C" w:rsidRPr="00EF6BD0">
        <w:rPr>
          <w:rFonts w:ascii="Plain Thin" w:hAnsi="Plain Thin"/>
        </w:rPr>
        <w:t xml:space="preserve"> </w:t>
      </w:r>
      <w:r w:rsidR="00947FCA" w:rsidRPr="00EF6BD0">
        <w:rPr>
          <w:rFonts w:ascii="Plain Thin" w:hAnsi="Plain Thin"/>
        </w:rPr>
        <w:t>hält das Format weiterhin, was es seit Folge 1 im November 2020 versprochen hat: nah am Mandanten und mit Expertise und Verständnis für die Herausforderungen der Gastro</w:t>
      </w:r>
      <w:r w:rsidR="00612A2C" w:rsidRPr="00EF6BD0">
        <w:rPr>
          <w:rFonts w:ascii="Plain Thin" w:hAnsi="Plain Thin"/>
        </w:rPr>
        <w:t>nomie und Hotellerie</w:t>
      </w:r>
      <w:r w:rsidRPr="00EF6BD0">
        <w:rPr>
          <w:rFonts w:ascii="Plain Thin" w:hAnsi="Plain Thin"/>
        </w:rPr>
        <w:t>.“ Und Erich Nagl ergänzt</w:t>
      </w:r>
      <w:r w:rsidR="00612A2C" w:rsidRPr="00EF6BD0">
        <w:rPr>
          <w:rFonts w:ascii="Plain Thin" w:hAnsi="Plain Thin"/>
        </w:rPr>
        <w:t xml:space="preserve">: „Wir sind stolz auf die erreichte Entwicklung des Formats. Das </w:t>
      </w:r>
      <w:proofErr w:type="spellStart"/>
      <w:r w:rsidR="00612A2C" w:rsidRPr="00EF6BD0">
        <w:rPr>
          <w:rFonts w:ascii="Plain Thin" w:hAnsi="Plain Thin"/>
        </w:rPr>
        <w:t>GASTRObriefing</w:t>
      </w:r>
      <w:proofErr w:type="spellEnd"/>
      <w:r w:rsidR="00612A2C" w:rsidRPr="00EF6BD0">
        <w:rPr>
          <w:rFonts w:ascii="Plain Thin" w:hAnsi="Plain Thin"/>
        </w:rPr>
        <w:t xml:space="preserve"> ist zum relevanten Austausch- und Informationsportal für Branchenvertreter geworden. Diese Möglichkeit werden wir auch in Zukunft bieten – zusammen mit unseren Mandanten u</w:t>
      </w:r>
      <w:r w:rsidR="00EF6BD0">
        <w:rPr>
          <w:rFonts w:ascii="Plain Thin" w:hAnsi="Plain Thin"/>
        </w:rPr>
        <w:t>nd weiteren spannenden Gästen.“</w:t>
      </w:r>
    </w:p>
    <w:p w14:paraId="415CE0EE" w14:textId="232DE01B" w:rsidR="00EF6BD0" w:rsidRDefault="00EF6BD0">
      <w:pPr>
        <w:rPr>
          <w:rFonts w:ascii="Plain Thin" w:hAnsi="Plain Thin"/>
        </w:rPr>
      </w:pPr>
    </w:p>
    <w:p w14:paraId="31FB36E3" w14:textId="6FF48356" w:rsidR="00EF6BD0" w:rsidRDefault="00EF6BD0">
      <w:pPr>
        <w:rPr>
          <w:rFonts w:ascii="Plain Thin" w:hAnsi="Plain Thin"/>
        </w:rPr>
      </w:pPr>
      <w:r>
        <w:rPr>
          <w:rFonts w:ascii="Plain Thin" w:hAnsi="Plain Thin"/>
        </w:rPr>
        <w:t>Zur Anmeldung für die Jubiläumsfolge #53:</w:t>
      </w:r>
    </w:p>
    <w:p w14:paraId="125F60F9" w14:textId="389533E0" w:rsidR="00EF6BD0" w:rsidRDefault="002348B7">
      <w:pPr>
        <w:rPr>
          <w:rFonts w:ascii="Plain Thin" w:hAnsi="Plain Thin"/>
        </w:rPr>
      </w:pPr>
      <w:hyperlink r:id="rId5" w:history="1">
        <w:r w:rsidR="00EF6BD0" w:rsidRPr="00C43558">
          <w:rPr>
            <w:rStyle w:val="Hyperlink"/>
            <w:rFonts w:ascii="Plain Thin" w:hAnsi="Plain Thin"/>
          </w:rPr>
          <w:t>https://zoom.us/webinar/register/5716213394379/WN_IZZEFC62QNmT0CJrgVLhPg</w:t>
        </w:r>
      </w:hyperlink>
    </w:p>
    <w:p w14:paraId="777F2A40" w14:textId="4EF3E327" w:rsidR="00EF6BD0" w:rsidRDefault="00EF6BD0">
      <w:pPr>
        <w:rPr>
          <w:rFonts w:ascii="Plain Thin" w:hAnsi="Plain Thin"/>
        </w:rPr>
      </w:pPr>
    </w:p>
    <w:p w14:paraId="3C15B5F9" w14:textId="77777777" w:rsidR="00EF6BD0" w:rsidRPr="00706D90" w:rsidRDefault="00EF6BD0" w:rsidP="00EF6BD0">
      <w:pPr>
        <w:spacing w:line="240" w:lineRule="auto"/>
        <w:rPr>
          <w:rFonts w:ascii="Plain" w:eastAsia="Calibri" w:hAnsi="Plain" w:cs="Times New Roman"/>
          <w:b/>
          <w:bCs/>
        </w:rPr>
      </w:pPr>
      <w:r w:rsidRPr="00706D90">
        <w:rPr>
          <w:rFonts w:ascii="Plain" w:eastAsia="Calibri" w:hAnsi="Plain" w:cs="Times New Roman"/>
          <w:b/>
          <w:bCs/>
        </w:rPr>
        <w:t>Über ETL ADHOGA</w:t>
      </w:r>
    </w:p>
    <w:p w14:paraId="27F2F62A" w14:textId="77777777" w:rsidR="00EF6BD0" w:rsidRPr="00706D90" w:rsidRDefault="00EF6BD0" w:rsidP="00EF6BD0">
      <w:pPr>
        <w:spacing w:before="360" w:after="0" w:line="240" w:lineRule="auto"/>
        <w:contextualSpacing/>
        <w:jc w:val="both"/>
        <w:rPr>
          <w:rFonts w:ascii="Plain Thin" w:eastAsia="Calibri" w:hAnsi="Plain Thin" w:cs="Times New Roman"/>
          <w:sz w:val="16"/>
          <w:szCs w:val="16"/>
        </w:rPr>
      </w:pPr>
      <w:r w:rsidRPr="00706D90">
        <w:rPr>
          <w:rFonts w:ascii="Plain Thin" w:eastAsia="Calibri" w:hAnsi="Plain Thin" w:cs="Times New Roman"/>
          <w:sz w:val="16"/>
          <w:szCs w:val="16"/>
        </w:rPr>
        <w:t>Die ETL ADHOGA Steuerberatungsgesellschaft AG ist als Teil der ETL-Gruppe auf die Beratung von Gastronomen und Hoteliers rund um die Themen Steuern, Recht und Unternehmensführung spezialisiert.</w:t>
      </w:r>
    </w:p>
    <w:p w14:paraId="2EDA6188" w14:textId="433D2580" w:rsidR="00EF6BD0" w:rsidRPr="00706D90" w:rsidRDefault="00EF6BD0" w:rsidP="00EF6BD0">
      <w:pPr>
        <w:spacing w:before="360" w:after="0" w:line="240" w:lineRule="auto"/>
        <w:contextualSpacing/>
        <w:jc w:val="both"/>
        <w:rPr>
          <w:rFonts w:ascii="Plain Thin" w:eastAsia="Calibri" w:hAnsi="Plain Thin" w:cs="Times New Roman"/>
          <w:sz w:val="16"/>
          <w:szCs w:val="16"/>
        </w:rPr>
      </w:pPr>
      <w:r w:rsidRPr="00706D90">
        <w:rPr>
          <w:rFonts w:ascii="Plain Thin" w:eastAsia="Calibri" w:hAnsi="Plain Thin" w:cs="Times New Roman"/>
          <w:sz w:val="16"/>
          <w:szCs w:val="16"/>
        </w:rPr>
        <w:t xml:space="preserve">Zu den Leistungen von ADHOGA im Bereich der Steuerberatung für Hotels und Gaststätten zählen die Klassische Steuerberatung, Finanz- und Lohnbuchhaltung, Bilanzen und Steuererklärungen sowie betriebswirtschaftliche Beratung. Deutschlandweit verzeichnen die auf Hotellerie und Gastronomie spezialisierten Berater von ETL </w:t>
      </w:r>
      <w:r w:rsidR="002348B7">
        <w:rPr>
          <w:rFonts w:ascii="Plain Thin" w:eastAsia="Calibri" w:hAnsi="Plain Thin" w:cs="Times New Roman"/>
          <w:sz w:val="16"/>
          <w:szCs w:val="16"/>
        </w:rPr>
        <w:t>ADHOGA bereits über 1.000 Mandanten</w:t>
      </w:r>
      <w:bookmarkStart w:id="0" w:name="_GoBack"/>
      <w:bookmarkEnd w:id="0"/>
      <w:r w:rsidRPr="00706D90">
        <w:rPr>
          <w:rFonts w:ascii="Plain Thin" w:eastAsia="Calibri" w:hAnsi="Plain Thin" w:cs="Times New Roman"/>
          <w:sz w:val="16"/>
          <w:szCs w:val="16"/>
        </w:rPr>
        <w:t>. Im Rahmen der gesamten ETL-Gruppe</w:t>
      </w:r>
      <w:r w:rsidR="002348B7">
        <w:rPr>
          <w:rFonts w:ascii="Plain Thin" w:eastAsia="Calibri" w:hAnsi="Plain Thin" w:cs="Times New Roman"/>
          <w:sz w:val="16"/>
          <w:szCs w:val="16"/>
        </w:rPr>
        <w:t xml:space="preserve"> werden</w:t>
      </w:r>
      <w:r w:rsidRPr="00706D90">
        <w:rPr>
          <w:rFonts w:ascii="Plain Thin" w:eastAsia="Calibri" w:hAnsi="Plain Thin" w:cs="Times New Roman"/>
          <w:sz w:val="16"/>
          <w:szCs w:val="16"/>
        </w:rPr>
        <w:t xml:space="preserve"> über 4.000 Hotellerie- und Gastronomiebetriebe betreut.</w:t>
      </w:r>
    </w:p>
    <w:p w14:paraId="0ADC61B2" w14:textId="77777777" w:rsidR="00EF6BD0" w:rsidRPr="00706D90" w:rsidRDefault="00EF6BD0" w:rsidP="00EF6BD0">
      <w:pPr>
        <w:spacing w:before="360" w:after="0" w:line="240" w:lineRule="auto"/>
        <w:contextualSpacing/>
        <w:jc w:val="both"/>
        <w:rPr>
          <w:rFonts w:ascii="Plain Thin" w:eastAsia="Calibri" w:hAnsi="Plain Thin" w:cs="Times New Roman"/>
          <w:sz w:val="16"/>
          <w:szCs w:val="16"/>
        </w:rPr>
      </w:pPr>
    </w:p>
    <w:p w14:paraId="439CA17C" w14:textId="77777777" w:rsidR="00EF6BD0" w:rsidRPr="00706D90" w:rsidRDefault="00EF6BD0" w:rsidP="00EF6BD0">
      <w:pPr>
        <w:spacing w:before="360" w:after="0" w:line="240" w:lineRule="auto"/>
        <w:contextualSpacing/>
        <w:jc w:val="both"/>
        <w:rPr>
          <w:rFonts w:ascii="Plain Thin" w:eastAsia="Calibri" w:hAnsi="Plain Thin" w:cs="Times New Roman"/>
          <w:b/>
          <w:sz w:val="16"/>
          <w:szCs w:val="16"/>
        </w:rPr>
      </w:pPr>
      <w:r w:rsidRPr="00706D90">
        <w:rPr>
          <w:rFonts w:ascii="Plain Thin" w:eastAsia="Calibri" w:hAnsi="Plain Thin" w:cs="Times New Roman"/>
          <w:b/>
          <w:sz w:val="16"/>
          <w:szCs w:val="16"/>
        </w:rPr>
        <w:t>Pressekontakt</w:t>
      </w:r>
    </w:p>
    <w:p w14:paraId="6AEBF83F" w14:textId="77777777" w:rsidR="00EF6BD0" w:rsidRPr="00706D90" w:rsidRDefault="00EF6BD0" w:rsidP="00EF6BD0">
      <w:pPr>
        <w:spacing w:after="0" w:line="240" w:lineRule="auto"/>
        <w:contextualSpacing/>
        <w:jc w:val="both"/>
        <w:rPr>
          <w:rFonts w:ascii="Plain Thin" w:eastAsia="Calibri" w:hAnsi="Plain Thin" w:cs="Calibri Light"/>
          <w:sz w:val="16"/>
          <w:szCs w:val="16"/>
        </w:rPr>
      </w:pPr>
      <w:r w:rsidRPr="00706D90">
        <w:rPr>
          <w:rFonts w:ascii="Plain Thin" w:eastAsia="Calibri" w:hAnsi="Plain Thin" w:cs="Calibri Light"/>
          <w:sz w:val="16"/>
          <w:szCs w:val="16"/>
        </w:rPr>
        <w:t>Danyal Alaybeyoglu, Tel.: 030 22 64 02 30, E-Mail: danyal.alaybeyoglu@etl.de, ETL, Mauerstraße 86-88, 10117 Berlin, www.etl.de</w:t>
      </w:r>
    </w:p>
    <w:p w14:paraId="7D5E33A5" w14:textId="77777777" w:rsidR="00EF6BD0" w:rsidRPr="00EF6BD0" w:rsidRDefault="00EF6BD0">
      <w:pPr>
        <w:rPr>
          <w:rFonts w:ascii="Plain Thin" w:hAnsi="Plain Thin"/>
        </w:rPr>
      </w:pPr>
    </w:p>
    <w:p w14:paraId="39D1EF99" w14:textId="7B022823" w:rsidR="005F110A" w:rsidRPr="00ED75A1" w:rsidRDefault="005F110A">
      <w:pPr>
        <w:rPr>
          <w:rFonts w:ascii="Plain Thin" w:hAnsi="Plain Thin"/>
        </w:rPr>
      </w:pPr>
    </w:p>
    <w:sectPr w:rsidR="005F110A" w:rsidRPr="00ED75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in Thin">
    <w:panose1 w:val="020B0403020202020204"/>
    <w:charset w:val="00"/>
    <w:family w:val="swiss"/>
    <w:notTrueType/>
    <w:pitch w:val="variable"/>
    <w:sig w:usb0="8000002F" w:usb1="00002000" w:usb2="00000000" w:usb3="00000000" w:csb0="00000093" w:csb1="00000000"/>
  </w:font>
  <w:font w:name="Plain Light">
    <w:panose1 w:val="020B0403020202020204"/>
    <w:charset w:val="00"/>
    <w:family w:val="swiss"/>
    <w:notTrueType/>
    <w:pitch w:val="variable"/>
    <w:sig w:usb0="8000002F" w:usb1="00002000" w:usb2="00000000" w:usb3="00000000" w:csb0="00000093" w:csb1="00000000"/>
  </w:font>
  <w:font w:name="Plain">
    <w:panose1 w:val="020B0503020202020204"/>
    <w:charset w:val="00"/>
    <w:family w:val="swiss"/>
    <w:notTrueType/>
    <w:pitch w:val="variable"/>
    <w:sig w:usb0="8000002F" w:usb1="00002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59"/>
    <w:rsid w:val="00046965"/>
    <w:rsid w:val="00070B60"/>
    <w:rsid w:val="000723BF"/>
    <w:rsid w:val="000A5B49"/>
    <w:rsid w:val="000F3502"/>
    <w:rsid w:val="001016EC"/>
    <w:rsid w:val="002100DF"/>
    <w:rsid w:val="002304A7"/>
    <w:rsid w:val="002348B7"/>
    <w:rsid w:val="002A5EAF"/>
    <w:rsid w:val="003607A2"/>
    <w:rsid w:val="005C6347"/>
    <w:rsid w:val="005F110A"/>
    <w:rsid w:val="00612A2C"/>
    <w:rsid w:val="007939B6"/>
    <w:rsid w:val="00946B40"/>
    <w:rsid w:val="00947FCA"/>
    <w:rsid w:val="00960659"/>
    <w:rsid w:val="00982BC1"/>
    <w:rsid w:val="009E26DC"/>
    <w:rsid w:val="00A12BFD"/>
    <w:rsid w:val="00A53B19"/>
    <w:rsid w:val="00A643D1"/>
    <w:rsid w:val="00AB2DC8"/>
    <w:rsid w:val="00AD5510"/>
    <w:rsid w:val="00AE6BCE"/>
    <w:rsid w:val="00B221E7"/>
    <w:rsid w:val="00B669AF"/>
    <w:rsid w:val="00B8181A"/>
    <w:rsid w:val="00B847C5"/>
    <w:rsid w:val="00BD2974"/>
    <w:rsid w:val="00BF2559"/>
    <w:rsid w:val="00CA4453"/>
    <w:rsid w:val="00CA6993"/>
    <w:rsid w:val="00CD3A6F"/>
    <w:rsid w:val="00D05055"/>
    <w:rsid w:val="00D525A4"/>
    <w:rsid w:val="00DB2998"/>
    <w:rsid w:val="00DE7C85"/>
    <w:rsid w:val="00E44B4B"/>
    <w:rsid w:val="00EA3B0F"/>
    <w:rsid w:val="00ED75A1"/>
    <w:rsid w:val="00EF6BD0"/>
    <w:rsid w:val="00F5201A"/>
    <w:rsid w:val="00FA1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AD6A"/>
  <w15:chartTrackingRefBased/>
  <w15:docId w15:val="{A2FAF8C9-B9A7-49DF-B832-5B206079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6B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webinar/register/5716213394379/WN_IZZEFC62QNmT0CJrgVLhPg"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Admin</cp:lastModifiedBy>
  <cp:revision>3</cp:revision>
  <dcterms:created xsi:type="dcterms:W3CDTF">2021-11-01T11:13:00Z</dcterms:created>
  <dcterms:modified xsi:type="dcterms:W3CDTF">2021-11-02T08:05:00Z</dcterms:modified>
</cp:coreProperties>
</file>