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2EBA" w14:textId="77777777" w:rsidR="007A7555" w:rsidRDefault="00041564" w:rsidP="007A7555">
      <w:r>
        <w:rPr>
          <w:rFonts w:ascii="Plain Thin" w:hAnsi="Plain Thin"/>
          <w:noProof/>
          <w:sz w:val="24"/>
          <w:szCs w:val="24"/>
          <w:lang w:eastAsia="de-DE"/>
        </w:rPr>
        <w:drawing>
          <wp:anchor distT="0" distB="0" distL="114300" distR="114300" simplePos="0" relativeHeight="251658240" behindDoc="0" locked="0" layoutInCell="1" allowOverlap="1" wp14:anchorId="064CC2C5" wp14:editId="49D8B6A3">
            <wp:simplePos x="0" y="0"/>
            <wp:positionH relativeFrom="column">
              <wp:posOffset>3846692</wp:posOffset>
            </wp:positionH>
            <wp:positionV relativeFrom="paragraph">
              <wp:posOffset>0</wp:posOffset>
            </wp:positionV>
            <wp:extent cx="1950720" cy="3416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anchor>
        </w:drawing>
      </w:r>
    </w:p>
    <w:p w14:paraId="18DD799A" w14:textId="77777777" w:rsidR="007A7555" w:rsidRDefault="007A7555" w:rsidP="007A7555">
      <w:pPr>
        <w:spacing w:line="264" w:lineRule="auto"/>
        <w:rPr>
          <w:rFonts w:ascii="Plain Thin" w:hAnsi="Plain Thin"/>
          <w:sz w:val="24"/>
          <w:szCs w:val="24"/>
        </w:rPr>
      </w:pPr>
    </w:p>
    <w:p w14:paraId="038ECF3B" w14:textId="77777777" w:rsidR="007A7555" w:rsidRPr="00D75D49" w:rsidRDefault="007A7555" w:rsidP="007A7555">
      <w:pPr>
        <w:spacing w:line="264" w:lineRule="auto"/>
        <w:rPr>
          <w:rFonts w:ascii="Plain Thin" w:hAnsi="Plain Thin"/>
          <w:sz w:val="24"/>
          <w:szCs w:val="24"/>
        </w:rPr>
      </w:pPr>
      <w:r>
        <w:rPr>
          <w:rFonts w:ascii="Plain Thin" w:hAnsi="Plain Thin"/>
          <w:sz w:val="24"/>
          <w:szCs w:val="24"/>
        </w:rPr>
        <w:t>PRESSEINFORMATION</w:t>
      </w:r>
    </w:p>
    <w:p w14:paraId="7D50A65A" w14:textId="77777777" w:rsidR="008C5758" w:rsidRDefault="006106AF" w:rsidP="007A7555">
      <w:pPr>
        <w:spacing w:line="264" w:lineRule="auto"/>
        <w:rPr>
          <w:rFonts w:ascii="Plain Light" w:hAnsi="Plain Light"/>
          <w:b/>
          <w:bCs/>
          <w:sz w:val="40"/>
          <w:szCs w:val="40"/>
        </w:rPr>
      </w:pPr>
      <w:r>
        <w:rPr>
          <w:rFonts w:ascii="Plain Light" w:hAnsi="Plain Light"/>
          <w:b/>
          <w:bCs/>
          <w:sz w:val="40"/>
          <w:szCs w:val="40"/>
        </w:rPr>
        <w:t>Dem Personalmangel entgegentreten</w:t>
      </w:r>
      <w:r w:rsidR="007A7555">
        <w:rPr>
          <w:rFonts w:ascii="Plain Light" w:hAnsi="Plain Light"/>
          <w:b/>
          <w:bCs/>
          <w:sz w:val="40"/>
          <w:szCs w:val="40"/>
        </w:rPr>
        <w:t xml:space="preserve">: </w:t>
      </w:r>
    </w:p>
    <w:p w14:paraId="18B0CC73" w14:textId="540FCDA2" w:rsidR="007A7555" w:rsidRPr="00D75D49" w:rsidRDefault="009F264E" w:rsidP="007A7555">
      <w:pPr>
        <w:spacing w:line="264" w:lineRule="auto"/>
        <w:rPr>
          <w:sz w:val="32"/>
          <w:szCs w:val="32"/>
        </w:rPr>
      </w:pPr>
      <w:r>
        <w:rPr>
          <w:rFonts w:ascii="Plain Light" w:hAnsi="Plain Light"/>
          <w:b/>
          <w:bCs/>
          <w:sz w:val="40"/>
          <w:szCs w:val="40"/>
        </w:rPr>
        <w:t xml:space="preserve">ETL </w:t>
      </w:r>
      <w:r w:rsidR="007A7555">
        <w:rPr>
          <w:rFonts w:ascii="Plain Light" w:hAnsi="Plain Light"/>
          <w:b/>
          <w:bCs/>
          <w:sz w:val="40"/>
          <w:szCs w:val="40"/>
        </w:rPr>
        <w:t xml:space="preserve">ADHOGA </w:t>
      </w:r>
      <w:proofErr w:type="spellStart"/>
      <w:r w:rsidR="007A7555">
        <w:rPr>
          <w:rFonts w:ascii="Plain Light" w:hAnsi="Plain Light"/>
          <w:b/>
          <w:bCs/>
          <w:sz w:val="40"/>
          <w:szCs w:val="40"/>
        </w:rPr>
        <w:t>GASTRObriefing</w:t>
      </w:r>
      <w:proofErr w:type="spellEnd"/>
      <w:r w:rsidR="007A7555">
        <w:rPr>
          <w:rFonts w:ascii="Plain Light" w:hAnsi="Plain Light"/>
          <w:b/>
          <w:bCs/>
          <w:sz w:val="40"/>
          <w:szCs w:val="40"/>
        </w:rPr>
        <w:t xml:space="preserve"> mit Checkliste zum „ultimativen 450 EUR Vergütungspaket“</w:t>
      </w:r>
    </w:p>
    <w:p w14:paraId="51A00C3A" w14:textId="2EE40BC9" w:rsidR="004D5FD7" w:rsidRDefault="00D40FA5" w:rsidP="004D5FD7">
      <w:pPr>
        <w:rPr>
          <w:rFonts w:ascii="Plain Thin" w:hAnsi="Plain Thin"/>
          <w:b/>
          <w:i/>
        </w:rPr>
      </w:pPr>
      <w:r>
        <w:rPr>
          <w:rFonts w:ascii="Plain Thin" w:hAnsi="Plain Thin"/>
          <w:b/>
          <w:i/>
        </w:rPr>
        <w:t>Berlin/Essen. 16</w:t>
      </w:r>
      <w:r w:rsidR="004D5FD7" w:rsidRPr="007A7555">
        <w:rPr>
          <w:rFonts w:ascii="Plain Thin" w:hAnsi="Plain Thin"/>
          <w:b/>
          <w:i/>
        </w:rPr>
        <w:t xml:space="preserve">.09.2021. 450 Euro-Kräfte waren und sind ein unverzichtbarer Bestandteil der </w:t>
      </w:r>
      <w:proofErr w:type="spellStart"/>
      <w:r w:rsidR="004D5FD7" w:rsidRPr="007A7555">
        <w:rPr>
          <w:rFonts w:ascii="Plain Thin" w:hAnsi="Plain Thin"/>
          <w:b/>
          <w:i/>
        </w:rPr>
        <w:t>Gastro</w:t>
      </w:r>
      <w:proofErr w:type="spellEnd"/>
      <w:r w:rsidR="004D5FD7" w:rsidRPr="007A7555">
        <w:rPr>
          <w:rFonts w:ascii="Plain Thin" w:hAnsi="Plain Thin"/>
          <w:b/>
          <w:i/>
        </w:rPr>
        <w:t>-Branche. Aufgrund der speziellen rechtlichen Voraussetzungen dieses Angestelltenverhältnisses – Minijobber sind weder kranken- noch arbeitslosenversichert – litten geringfügig Beschäftigte jedoch in hohem Maße unter den Folgen der Corona-Pandemie. Beim Neustart der Gastronomie nach dem „</w:t>
      </w:r>
      <w:proofErr w:type="spellStart"/>
      <w:r w:rsidR="004D5FD7" w:rsidRPr="007A7555">
        <w:rPr>
          <w:rFonts w:ascii="Plain Thin" w:hAnsi="Plain Thin"/>
          <w:b/>
          <w:i/>
        </w:rPr>
        <w:t>Lockdown</w:t>
      </w:r>
      <w:proofErr w:type="spellEnd"/>
      <w:r w:rsidR="004D5FD7" w:rsidRPr="007A7555">
        <w:rPr>
          <w:rFonts w:ascii="Plain Thin" w:hAnsi="Plain Thin"/>
          <w:b/>
          <w:i/>
        </w:rPr>
        <w:t xml:space="preserve">“ werden sie nun mehr denn je gebraucht. In Folge #45 des </w:t>
      </w:r>
      <w:proofErr w:type="spellStart"/>
      <w:r w:rsidR="004D5FD7" w:rsidRPr="007A7555">
        <w:rPr>
          <w:rFonts w:ascii="Plain Thin" w:hAnsi="Plain Thin"/>
          <w:b/>
          <w:i/>
        </w:rPr>
        <w:t>GASTRObriefings</w:t>
      </w:r>
      <w:proofErr w:type="spellEnd"/>
      <w:r w:rsidR="004D5FD7" w:rsidRPr="007A7555">
        <w:rPr>
          <w:rFonts w:ascii="Plain Thin" w:hAnsi="Plain Thin"/>
          <w:b/>
          <w:i/>
        </w:rPr>
        <w:t xml:space="preserve"> stellt ETL ADHOGA daher das „ultimative 450 EUR Vergütungspaket“ vor. Darin gibt es rechtliche Hinweise zu Bedingungen, Möglichkeiten und Fallstricken bei Minijobs. Darüber hinaus präsentieren Arbeitsrechtler Dr. Uwe Schlegel und </w:t>
      </w:r>
      <w:r w:rsidR="007E069B">
        <w:rPr>
          <w:rFonts w:ascii="Plain Thin" w:hAnsi="Plain Thin"/>
          <w:b/>
          <w:i/>
        </w:rPr>
        <w:t xml:space="preserve">der zertifizierte </w:t>
      </w:r>
      <w:r w:rsidR="00195EFB">
        <w:rPr>
          <w:rFonts w:ascii="Plain Thin" w:hAnsi="Plain Thin"/>
          <w:b/>
          <w:i/>
        </w:rPr>
        <w:t>Fach</w:t>
      </w:r>
      <w:r w:rsidR="007E069B">
        <w:rPr>
          <w:rFonts w:ascii="Plain Thin" w:hAnsi="Plain Thin"/>
          <w:b/>
          <w:i/>
        </w:rPr>
        <w:t>b</w:t>
      </w:r>
      <w:r w:rsidR="007E069B" w:rsidRPr="007E069B">
        <w:rPr>
          <w:rFonts w:ascii="Plain Thin" w:hAnsi="Plain Thin"/>
          <w:b/>
          <w:i/>
        </w:rPr>
        <w:t>erater für das Hotel- und Gaststättengewerbe</w:t>
      </w:r>
      <w:r w:rsidR="004D5FD7" w:rsidRPr="007A7555">
        <w:rPr>
          <w:rFonts w:ascii="Plain Thin" w:hAnsi="Plain Thin"/>
          <w:b/>
          <w:i/>
        </w:rPr>
        <w:t xml:space="preserve"> </w:t>
      </w:r>
      <w:r w:rsidR="00195EFB">
        <w:rPr>
          <w:rFonts w:ascii="Plain Thin" w:hAnsi="Plain Thin"/>
          <w:b/>
          <w:i/>
        </w:rPr>
        <w:t xml:space="preserve">und Steuerberater </w:t>
      </w:r>
      <w:r w:rsidR="004D5FD7" w:rsidRPr="007A7555">
        <w:rPr>
          <w:rFonts w:ascii="Plain Thin" w:hAnsi="Plain Thin"/>
          <w:b/>
          <w:i/>
        </w:rPr>
        <w:t xml:space="preserve">Christian Schindler aus der Lutherstadt Wittenberg wertvolle Tipps für Arbeitgeber, wie sie das Angestelltenverhältnis attraktiv </w:t>
      </w:r>
      <w:r w:rsidR="007E069B">
        <w:rPr>
          <w:rFonts w:ascii="Plain Thin" w:hAnsi="Plain Thin"/>
          <w:b/>
          <w:i/>
        </w:rPr>
        <w:t>und nachhaltig gestalten können – ein Fingerzeig auch für andere Branchen.</w:t>
      </w:r>
    </w:p>
    <w:p w14:paraId="0401EC9C" w14:textId="77777777" w:rsidR="007A7555" w:rsidRPr="007A7555" w:rsidRDefault="007A7555" w:rsidP="004D5FD7">
      <w:pPr>
        <w:rPr>
          <w:rFonts w:ascii="Plain Thin" w:hAnsi="Plain Thin"/>
          <w:b/>
          <w:i/>
        </w:rPr>
      </w:pPr>
    </w:p>
    <w:p w14:paraId="58DEC07D" w14:textId="77777777" w:rsidR="00CD6513" w:rsidRPr="00223464" w:rsidRDefault="004D5FD7" w:rsidP="004D5FD7">
      <w:pPr>
        <w:rPr>
          <w:rFonts w:ascii="Plain Thin" w:hAnsi="Plain Thin"/>
          <w:bCs/>
          <w:sz w:val="20"/>
          <w:szCs w:val="20"/>
        </w:rPr>
      </w:pPr>
      <w:r w:rsidRPr="00223464">
        <w:rPr>
          <w:rFonts w:ascii="Plain Thin" w:hAnsi="Plain Thin"/>
          <w:bCs/>
          <w:sz w:val="20"/>
          <w:szCs w:val="20"/>
        </w:rPr>
        <w:t xml:space="preserve">„Am Arbeitsmarkt ist die Corona-Krise in erster Linie eine Krise der Minijobs“, </w:t>
      </w:r>
      <w:r w:rsidR="009E1490" w:rsidRPr="00223464">
        <w:rPr>
          <w:rFonts w:ascii="Plain Thin" w:hAnsi="Plain Thin"/>
          <w:bCs/>
          <w:sz w:val="20"/>
          <w:szCs w:val="20"/>
        </w:rPr>
        <w:t>so der</w:t>
      </w:r>
      <w:r w:rsidRPr="00223464">
        <w:rPr>
          <w:rFonts w:ascii="Plain Thin" w:hAnsi="Plain Thin"/>
          <w:bCs/>
          <w:sz w:val="20"/>
          <w:szCs w:val="20"/>
        </w:rPr>
        <w:t xml:space="preserve"> Ökonom Enzo Weber vom Institut für Arbeitsmarkt- und Berufsforschung (IAB). Eine Aussage, die sich an den Beschäftigungszahlen</w:t>
      </w:r>
      <w:r w:rsidR="007E069B" w:rsidRPr="00223464">
        <w:rPr>
          <w:rFonts w:ascii="Plain Thin" w:hAnsi="Plain Thin"/>
          <w:bCs/>
          <w:sz w:val="20"/>
          <w:szCs w:val="20"/>
        </w:rPr>
        <w:t xml:space="preserve"> eindeutig</w:t>
      </w:r>
      <w:r w:rsidRPr="00223464">
        <w:rPr>
          <w:rFonts w:ascii="Plain Thin" w:hAnsi="Plain Thin"/>
          <w:bCs/>
          <w:sz w:val="20"/>
          <w:szCs w:val="20"/>
        </w:rPr>
        <w:t xml:space="preserve"> ablesen lässt. So gab es im Mai dieses Jahres rund 580.000 Minijobs weniger als noch im Mai 2019, während in diesem Zeitraum die Zahl der sozialversicherungspflichtigen Arbeitsplätze um 300.000 gestiegen ist. Nun suchen Gastronomen überall in Deutschland händeringend nach Mitarbeitern – auch als geringfügig Beschäftigte.</w:t>
      </w:r>
    </w:p>
    <w:p w14:paraId="748B4E81" w14:textId="79CD81DF" w:rsidR="00085C8A" w:rsidRPr="00223464" w:rsidRDefault="004D5FD7" w:rsidP="004D5FD7">
      <w:pPr>
        <w:rPr>
          <w:rFonts w:ascii="Plain Thin" w:hAnsi="Plain Thin"/>
          <w:bCs/>
          <w:sz w:val="20"/>
          <w:szCs w:val="20"/>
        </w:rPr>
      </w:pPr>
      <w:r w:rsidRPr="00223464">
        <w:rPr>
          <w:rFonts w:ascii="Plain Thin" w:hAnsi="Plain Thin"/>
          <w:bCs/>
          <w:sz w:val="20"/>
          <w:szCs w:val="20"/>
        </w:rPr>
        <w:t xml:space="preserve">Im Gespräch mit ETL ADHOGA-Leiter Erich Nagl beleuchten Dr. Uwe Schlegel und Christian Schindler im </w:t>
      </w:r>
      <w:proofErr w:type="spellStart"/>
      <w:r w:rsidRPr="00223464">
        <w:rPr>
          <w:rFonts w:ascii="Plain Thin" w:hAnsi="Plain Thin"/>
          <w:bCs/>
          <w:sz w:val="20"/>
          <w:szCs w:val="20"/>
        </w:rPr>
        <w:t>GASTRObriefing</w:t>
      </w:r>
      <w:proofErr w:type="spellEnd"/>
      <w:r w:rsidRPr="00223464">
        <w:rPr>
          <w:rFonts w:ascii="Plain Thin" w:hAnsi="Plain Thin"/>
          <w:bCs/>
          <w:sz w:val="20"/>
          <w:szCs w:val="20"/>
        </w:rPr>
        <w:t xml:space="preserve">, dem wöchentlichen Live-Update über Steuern, Recht und Unternehmensführung für das Gastgewerbe, die rechtlichen Rahmenbedingungen des in der Branche weit verbreiteten Beschäftigungsverhältnisses und formulieren </w:t>
      </w:r>
      <w:r w:rsidR="007E069B" w:rsidRPr="00223464">
        <w:rPr>
          <w:rFonts w:ascii="Plain Thin" w:hAnsi="Plain Thin"/>
          <w:bCs/>
          <w:sz w:val="20"/>
          <w:szCs w:val="20"/>
        </w:rPr>
        <w:t>wichtige</w:t>
      </w:r>
      <w:r w:rsidR="00223464">
        <w:rPr>
          <w:rFonts w:ascii="Plain Thin" w:hAnsi="Plain Thin"/>
          <w:bCs/>
          <w:sz w:val="20"/>
          <w:szCs w:val="20"/>
        </w:rPr>
        <w:t xml:space="preserve"> Ratschläge</w:t>
      </w:r>
      <w:r w:rsidRPr="00223464">
        <w:rPr>
          <w:rFonts w:ascii="Plain Thin" w:hAnsi="Plain Thin"/>
          <w:bCs/>
          <w:sz w:val="20"/>
          <w:szCs w:val="20"/>
        </w:rPr>
        <w:t xml:space="preserve"> für Arbeitgeber auf der Suche </w:t>
      </w:r>
      <w:proofErr w:type="gramStart"/>
      <w:r w:rsidRPr="00223464">
        <w:rPr>
          <w:rFonts w:ascii="Plain Thin" w:hAnsi="Plain Thin"/>
          <w:bCs/>
          <w:sz w:val="20"/>
          <w:szCs w:val="20"/>
        </w:rPr>
        <w:t xml:space="preserve">nach </w:t>
      </w:r>
      <w:r w:rsidR="00D270F8" w:rsidRPr="00223464">
        <w:rPr>
          <w:rFonts w:ascii="Plain Thin" w:hAnsi="Plain Thin"/>
          <w:bCs/>
          <w:sz w:val="20"/>
          <w:szCs w:val="20"/>
        </w:rPr>
        <w:t>dringend</w:t>
      </w:r>
      <w:proofErr w:type="gramEnd"/>
      <w:r w:rsidR="00D270F8" w:rsidRPr="00223464">
        <w:rPr>
          <w:rFonts w:ascii="Plain Thin" w:hAnsi="Plain Thin"/>
          <w:bCs/>
          <w:sz w:val="20"/>
          <w:szCs w:val="20"/>
        </w:rPr>
        <w:t xml:space="preserve"> benötigter </w:t>
      </w:r>
      <w:r w:rsidRPr="00223464">
        <w:rPr>
          <w:rFonts w:ascii="Plain Thin" w:hAnsi="Plain Thin"/>
          <w:bCs/>
          <w:sz w:val="20"/>
          <w:szCs w:val="20"/>
        </w:rPr>
        <w:t>Unterstützung.</w:t>
      </w:r>
    </w:p>
    <w:p w14:paraId="1F4F9590" w14:textId="77777777" w:rsidR="00C11D4B" w:rsidRPr="00223464" w:rsidRDefault="007E069B" w:rsidP="004D5FD7">
      <w:pPr>
        <w:rPr>
          <w:rFonts w:ascii="Plain Thin" w:hAnsi="Plain Thin"/>
          <w:bCs/>
          <w:sz w:val="20"/>
          <w:szCs w:val="20"/>
        </w:rPr>
      </w:pPr>
      <w:r w:rsidRPr="00223464">
        <w:rPr>
          <w:rFonts w:ascii="Plain Thin" w:hAnsi="Plain Thin"/>
          <w:bCs/>
          <w:sz w:val="20"/>
          <w:szCs w:val="20"/>
        </w:rPr>
        <w:t xml:space="preserve">Entstanden ist so eine „Checkliste“, die in sechs Punkten die wichtigsten (steuer-)rechtlichen Regelungen für die Beschäftigung von 450 Euro-Kräften skizziert. </w:t>
      </w:r>
      <w:r w:rsidR="00E939B6" w:rsidRPr="00223464">
        <w:rPr>
          <w:rFonts w:ascii="Plain Thin" w:hAnsi="Plain Thin"/>
          <w:bCs/>
          <w:sz w:val="20"/>
          <w:szCs w:val="20"/>
        </w:rPr>
        <w:t>Durch die Allgemeingültigkeit der Informationen fungiert die Checkliste</w:t>
      </w:r>
      <w:r w:rsidR="00C11D4B" w:rsidRPr="00223464">
        <w:rPr>
          <w:rFonts w:ascii="Plain Thin" w:hAnsi="Plain Thin"/>
          <w:bCs/>
          <w:sz w:val="20"/>
          <w:szCs w:val="20"/>
        </w:rPr>
        <w:t xml:space="preserve"> auch</w:t>
      </w:r>
      <w:r w:rsidR="00E939B6" w:rsidRPr="00223464">
        <w:rPr>
          <w:rFonts w:ascii="Plain Thin" w:hAnsi="Plain Thin"/>
          <w:bCs/>
          <w:sz w:val="20"/>
          <w:szCs w:val="20"/>
        </w:rPr>
        <w:t xml:space="preserve"> als wertvoller Ratgeber</w:t>
      </w:r>
      <w:r w:rsidR="00C11D4B" w:rsidRPr="00223464">
        <w:rPr>
          <w:rFonts w:ascii="Plain Thin" w:hAnsi="Plain Thin"/>
          <w:bCs/>
          <w:sz w:val="20"/>
          <w:szCs w:val="20"/>
        </w:rPr>
        <w:t xml:space="preserve"> für </w:t>
      </w:r>
      <w:r w:rsidR="00E939B6" w:rsidRPr="00223464">
        <w:rPr>
          <w:rFonts w:ascii="Plain Thin" w:hAnsi="Plain Thin"/>
          <w:bCs/>
          <w:sz w:val="20"/>
          <w:szCs w:val="20"/>
        </w:rPr>
        <w:t>andere Branchen wie das Gesundheitswesen.</w:t>
      </w:r>
    </w:p>
    <w:p w14:paraId="4B2981F7" w14:textId="31B8D559" w:rsidR="007E069B" w:rsidRPr="00223464" w:rsidRDefault="009E1490" w:rsidP="004D5FD7">
      <w:pPr>
        <w:rPr>
          <w:rFonts w:ascii="Plain Thin" w:hAnsi="Plain Thin"/>
          <w:bCs/>
          <w:sz w:val="20"/>
          <w:szCs w:val="20"/>
        </w:rPr>
      </w:pPr>
      <w:r w:rsidRPr="00223464">
        <w:rPr>
          <w:rFonts w:ascii="Plain Thin" w:hAnsi="Plain Thin"/>
          <w:bCs/>
          <w:sz w:val="20"/>
          <w:szCs w:val="20"/>
        </w:rPr>
        <w:t>Zunächst bieten Schindler und Schlegel einen Überblick über die finanziellen Rahmenbedingungen ein</w:t>
      </w:r>
      <w:r w:rsidR="00F03594" w:rsidRPr="00223464">
        <w:rPr>
          <w:rFonts w:ascii="Plain Thin" w:hAnsi="Plain Thin"/>
          <w:bCs/>
          <w:sz w:val="20"/>
          <w:szCs w:val="20"/>
        </w:rPr>
        <w:t>e</w:t>
      </w:r>
      <w:r w:rsidRPr="00223464">
        <w:rPr>
          <w:rFonts w:ascii="Plain Thin" w:hAnsi="Plain Thin"/>
          <w:bCs/>
          <w:sz w:val="20"/>
          <w:szCs w:val="20"/>
        </w:rPr>
        <w:t xml:space="preserve">s 450 Euro-Jobs. Danach widmen sie sich allen Fragen rund um Lohn und Schicht, mit besonderem Augenmerk auf dem Zusammenhang zwischen Mindestlohn und </w:t>
      </w:r>
      <w:r w:rsidRPr="00223464">
        <w:rPr>
          <w:rFonts w:ascii="Plain Thin" w:hAnsi="Plain Thin"/>
          <w:bCs/>
          <w:sz w:val="20"/>
          <w:szCs w:val="20"/>
        </w:rPr>
        <w:lastRenderedPageBreak/>
        <w:t>maximaler Stundenanzahl des Minijobbers. Im Themenschwerpunkt „</w:t>
      </w:r>
      <w:proofErr w:type="spellStart"/>
      <w:r w:rsidRPr="00223464">
        <w:rPr>
          <w:rFonts w:ascii="Plain Thin" w:hAnsi="Plain Thin"/>
          <w:bCs/>
          <w:sz w:val="20"/>
          <w:szCs w:val="20"/>
        </w:rPr>
        <w:t>Benefits</w:t>
      </w:r>
      <w:proofErr w:type="spellEnd"/>
      <w:r w:rsidRPr="00223464">
        <w:rPr>
          <w:rFonts w:ascii="Plain Thin" w:hAnsi="Plain Thin"/>
          <w:bCs/>
          <w:sz w:val="20"/>
          <w:szCs w:val="20"/>
        </w:rPr>
        <w:t>“ greifen die ETL-Experten Möglichkeiten und Vorgaben steuer- und sozialversicherungsfreier Zuschläge auf und diskutieren weitere Anreize, mit denen Arbeitgeber über den Monatslohn hinaus Minijobs attraktiv gestalten können.</w:t>
      </w:r>
    </w:p>
    <w:p w14:paraId="126BB39B" w14:textId="77777777" w:rsidR="009E1490" w:rsidRPr="00223464" w:rsidRDefault="00041564" w:rsidP="004D5FD7">
      <w:pPr>
        <w:rPr>
          <w:rFonts w:ascii="Plain Thin" w:hAnsi="Plain Thin"/>
          <w:bCs/>
          <w:sz w:val="20"/>
          <w:szCs w:val="20"/>
        </w:rPr>
      </w:pPr>
      <w:r w:rsidRPr="00223464">
        <w:rPr>
          <w:rFonts w:ascii="Plain Thin" w:hAnsi="Plain Thin"/>
          <w:bCs/>
          <w:sz w:val="20"/>
          <w:szCs w:val="20"/>
        </w:rPr>
        <w:t>Darüber hinaus</w:t>
      </w:r>
      <w:r w:rsidR="009E1490" w:rsidRPr="00223464">
        <w:rPr>
          <w:rFonts w:ascii="Plain Thin" w:hAnsi="Plain Thin"/>
          <w:bCs/>
          <w:sz w:val="20"/>
          <w:szCs w:val="20"/>
        </w:rPr>
        <w:t xml:space="preserve"> geht es vor allem um rechtliche Fallstricke und häufige Unklarheiten, etwa bei </w:t>
      </w:r>
      <w:r w:rsidR="00C11D4B" w:rsidRPr="00223464">
        <w:rPr>
          <w:rFonts w:ascii="Plain Thin" w:hAnsi="Plain Thin"/>
          <w:bCs/>
          <w:sz w:val="20"/>
          <w:szCs w:val="20"/>
        </w:rPr>
        <w:t>der Urlaubsregelung und der Lohnfortzahlung im Krankheitsfall sowie Weihnachts- und Urlaubsgeld. Des Weiteren erläutern Schinder und Schlegel, warum eine genaue Aufzeichnung der tatsächlich geleisteten Arbeitszeiten unabdingbar ist, wie lange diese aufbewahrt werden sollte und was es mit dem „Phantomlohn“ auf sich hat. Zuletzt plädieren sie für Vorsicht bei der der Aufnahme mehrerer 450 Euro-Beschäftigungsverhältnisse von Seiten des Arbeitnehmers, da diese schnell ungewollt in ein sozialversicherungspflichtiges Angestelltenverhältnis münden könnten.</w:t>
      </w:r>
    </w:p>
    <w:p w14:paraId="52815BAD" w14:textId="2D5A38BB" w:rsidR="00C11D4B" w:rsidRDefault="00A81002" w:rsidP="00B74A00">
      <w:pPr>
        <w:rPr>
          <w:rFonts w:ascii="Plain Thin" w:hAnsi="Plain Thin"/>
          <w:bCs/>
          <w:sz w:val="20"/>
          <w:szCs w:val="20"/>
        </w:rPr>
      </w:pPr>
      <w:r w:rsidRPr="00A81002">
        <w:rPr>
          <w:rFonts w:ascii="Plain Thin" w:hAnsi="Plain Thin"/>
          <w:bCs/>
          <w:sz w:val="20"/>
          <w:szCs w:val="20"/>
        </w:rPr>
        <w:t xml:space="preserve">Eine umfassende Darstellung der sechs Eckpunkte der </w:t>
      </w:r>
      <w:r w:rsidR="0018520B">
        <w:rPr>
          <w:rFonts w:ascii="Plain Thin" w:hAnsi="Plain Thin"/>
          <w:bCs/>
          <w:sz w:val="20"/>
          <w:szCs w:val="20"/>
        </w:rPr>
        <w:t xml:space="preserve">ETL </w:t>
      </w:r>
      <w:bookmarkStart w:id="0" w:name="_GoBack"/>
      <w:bookmarkEnd w:id="0"/>
      <w:r w:rsidRPr="00A81002">
        <w:rPr>
          <w:rFonts w:ascii="Plain Thin" w:hAnsi="Plain Thin"/>
          <w:bCs/>
          <w:sz w:val="20"/>
          <w:szCs w:val="20"/>
        </w:rPr>
        <w:t>ADHOGA Checkliste, die wichtigsten Aussagen von ETL-Steuerberater Christian Schindler und Arbeitsrechtler Dr. Uwe Schlegel sowie Infografiken, die die zentralen Inhalte übersichtlich zusammenfassen, gibt es in der ausführlichen Zusammenfassung:</w:t>
      </w:r>
    </w:p>
    <w:p w14:paraId="1447EE32" w14:textId="7E6C6326" w:rsidR="00A81002" w:rsidRDefault="0018520B" w:rsidP="00B74A00">
      <w:pPr>
        <w:rPr>
          <w:rFonts w:ascii="Plain Thin" w:hAnsi="Plain Thin"/>
          <w:bCs/>
          <w:sz w:val="20"/>
          <w:szCs w:val="20"/>
        </w:rPr>
      </w:pPr>
      <w:hyperlink r:id="rId5" w:history="1">
        <w:r w:rsidR="00A81002" w:rsidRPr="00024115">
          <w:rPr>
            <w:rStyle w:val="Hyperlink"/>
            <w:rFonts w:ascii="Plain Thin" w:hAnsi="Plain Thin"/>
            <w:bCs/>
            <w:sz w:val="20"/>
            <w:szCs w:val="20"/>
          </w:rPr>
          <w:t>https://www2.etl.de/wp-content/uploads/2021/09/Checkliste-450-Euro-Paket.pdf</w:t>
        </w:r>
      </w:hyperlink>
    </w:p>
    <w:p w14:paraId="0F8323D7" w14:textId="77777777" w:rsidR="00A81002" w:rsidRPr="00223464" w:rsidRDefault="00A81002" w:rsidP="00B74A00">
      <w:pPr>
        <w:rPr>
          <w:rFonts w:ascii="Plain Thin" w:hAnsi="Plain Thin"/>
          <w:bCs/>
          <w:sz w:val="20"/>
          <w:szCs w:val="20"/>
        </w:rPr>
      </w:pPr>
    </w:p>
    <w:p w14:paraId="47A6CD98" w14:textId="5062EC6B" w:rsidR="00B74A00" w:rsidRPr="00223464" w:rsidRDefault="00C11D4B" w:rsidP="00B74A00">
      <w:pPr>
        <w:rPr>
          <w:rFonts w:ascii="Plain Thin" w:hAnsi="Plain Thin"/>
          <w:bCs/>
          <w:sz w:val="20"/>
          <w:szCs w:val="20"/>
        </w:rPr>
      </w:pPr>
      <w:r w:rsidRPr="00223464">
        <w:rPr>
          <w:rFonts w:ascii="Plain Thin" w:hAnsi="Plain Thin"/>
          <w:bCs/>
          <w:sz w:val="20"/>
          <w:szCs w:val="20"/>
        </w:rPr>
        <w:t>Zur Aufzeichnung von Folge</w:t>
      </w:r>
      <w:r w:rsidR="00B74A00" w:rsidRPr="00223464">
        <w:rPr>
          <w:rFonts w:ascii="Plain Thin" w:hAnsi="Plain Thin"/>
          <w:bCs/>
          <w:sz w:val="20"/>
          <w:szCs w:val="20"/>
        </w:rPr>
        <w:t xml:space="preserve"> #45 des ADHOGA </w:t>
      </w:r>
      <w:proofErr w:type="spellStart"/>
      <w:r w:rsidR="00B74A00" w:rsidRPr="00223464">
        <w:rPr>
          <w:rFonts w:ascii="Plain Thin" w:hAnsi="Plain Thin"/>
          <w:bCs/>
          <w:sz w:val="20"/>
          <w:szCs w:val="20"/>
        </w:rPr>
        <w:t>GASTRObriefings</w:t>
      </w:r>
      <w:proofErr w:type="spellEnd"/>
      <w:r w:rsidR="00B74A00" w:rsidRPr="00223464">
        <w:rPr>
          <w:rFonts w:ascii="Plain Thin" w:hAnsi="Plain Thin"/>
          <w:bCs/>
          <w:sz w:val="20"/>
          <w:szCs w:val="20"/>
        </w:rPr>
        <w:t>:</w:t>
      </w:r>
      <w:r w:rsidRPr="00223464">
        <w:rPr>
          <w:rFonts w:ascii="Plain Thin" w:hAnsi="Plain Thin"/>
          <w:bCs/>
          <w:sz w:val="20"/>
          <w:szCs w:val="20"/>
        </w:rPr>
        <w:t xml:space="preserve"> </w:t>
      </w:r>
      <w:hyperlink r:id="rId6" w:history="1">
        <w:r w:rsidRPr="00A81002">
          <w:rPr>
            <w:rStyle w:val="Hyperlink"/>
            <w:rFonts w:ascii="Plain Thin" w:hAnsi="Plain Thin"/>
            <w:bCs/>
            <w:sz w:val="20"/>
            <w:szCs w:val="20"/>
          </w:rPr>
          <w:t>https://www.etl-adhoga.de/gastrobriefing/</w:t>
        </w:r>
      </w:hyperlink>
    </w:p>
    <w:p w14:paraId="652A2093" w14:textId="77777777" w:rsidR="00B74A00" w:rsidRPr="00223464" w:rsidRDefault="00B74A00" w:rsidP="00B74A00">
      <w:pPr>
        <w:rPr>
          <w:rFonts w:ascii="Plain Thin" w:hAnsi="Plain Thin"/>
          <w:bCs/>
          <w:sz w:val="20"/>
          <w:szCs w:val="20"/>
        </w:rPr>
      </w:pPr>
    </w:p>
    <w:p w14:paraId="1C3097DF" w14:textId="339B3670" w:rsidR="00B74A00" w:rsidRPr="00223464" w:rsidRDefault="00B74A00" w:rsidP="00B74A00">
      <w:pPr>
        <w:rPr>
          <w:rFonts w:ascii="Plain Thin" w:hAnsi="Plain Thin"/>
          <w:bCs/>
          <w:sz w:val="20"/>
          <w:szCs w:val="20"/>
        </w:rPr>
      </w:pPr>
      <w:r w:rsidRPr="00223464">
        <w:rPr>
          <w:rFonts w:ascii="Plain Thin" w:hAnsi="Plain Thin"/>
          <w:bCs/>
          <w:sz w:val="20"/>
          <w:szCs w:val="20"/>
        </w:rPr>
        <w:t xml:space="preserve">Zum Podcast: </w:t>
      </w:r>
      <w:hyperlink r:id="rId7" w:history="1">
        <w:r w:rsidRPr="00A81002">
          <w:rPr>
            <w:rStyle w:val="Hyperlink"/>
            <w:rFonts w:ascii="Plain Thin" w:hAnsi="Plain Thin"/>
            <w:bCs/>
            <w:sz w:val="20"/>
            <w:szCs w:val="20"/>
          </w:rPr>
          <w:t>https://etl-adhoga-gastro</w:t>
        </w:r>
        <w:r w:rsidR="00C11D4B" w:rsidRPr="00A81002">
          <w:rPr>
            <w:rStyle w:val="Hyperlink"/>
            <w:rFonts w:ascii="Plain Thin" w:hAnsi="Plain Thin"/>
            <w:bCs/>
            <w:sz w:val="20"/>
            <w:szCs w:val="20"/>
          </w:rPr>
          <w:t>briefing.podigee.io/3-episode45</w:t>
        </w:r>
      </w:hyperlink>
    </w:p>
    <w:p w14:paraId="0F3F1224" w14:textId="77777777" w:rsidR="00C11D4B" w:rsidRPr="00223464" w:rsidRDefault="00C11D4B" w:rsidP="00B74A00">
      <w:pPr>
        <w:rPr>
          <w:rFonts w:ascii="Plain Thin" w:hAnsi="Plain Thin"/>
          <w:bCs/>
          <w:sz w:val="20"/>
          <w:szCs w:val="20"/>
        </w:rPr>
      </w:pPr>
    </w:p>
    <w:p w14:paraId="01A7B78A" w14:textId="19F248D1" w:rsidR="00B74A00" w:rsidRPr="00223464" w:rsidRDefault="00C11D4B" w:rsidP="00B74A00">
      <w:pPr>
        <w:rPr>
          <w:rFonts w:ascii="Plain Thin" w:hAnsi="Plain Thin"/>
          <w:bCs/>
          <w:sz w:val="20"/>
          <w:szCs w:val="20"/>
        </w:rPr>
      </w:pPr>
      <w:r w:rsidRPr="00223464">
        <w:rPr>
          <w:rFonts w:ascii="Plain Thin" w:hAnsi="Plain Thin"/>
          <w:bCs/>
          <w:sz w:val="20"/>
          <w:szCs w:val="20"/>
        </w:rPr>
        <w:t>Zu all</w:t>
      </w:r>
      <w:r w:rsidR="00B74A00" w:rsidRPr="00223464">
        <w:rPr>
          <w:rFonts w:ascii="Plain Thin" w:hAnsi="Plain Thin"/>
          <w:bCs/>
          <w:sz w:val="20"/>
          <w:szCs w:val="20"/>
        </w:rPr>
        <w:t xml:space="preserve">en </w:t>
      </w:r>
      <w:proofErr w:type="spellStart"/>
      <w:r w:rsidR="00B74A00" w:rsidRPr="00223464">
        <w:rPr>
          <w:rFonts w:ascii="Plain Thin" w:hAnsi="Plain Thin"/>
          <w:bCs/>
          <w:sz w:val="20"/>
          <w:szCs w:val="20"/>
        </w:rPr>
        <w:t>Shownotes</w:t>
      </w:r>
      <w:proofErr w:type="spellEnd"/>
      <w:r w:rsidR="00B74A00" w:rsidRPr="00223464">
        <w:rPr>
          <w:rFonts w:ascii="Plain Thin" w:hAnsi="Plain Thin"/>
          <w:bCs/>
          <w:sz w:val="20"/>
          <w:szCs w:val="20"/>
        </w:rPr>
        <w:t xml:space="preserve"> und Abbildungen: </w:t>
      </w:r>
      <w:hyperlink r:id="rId8" w:history="1">
        <w:r w:rsidRPr="00223464">
          <w:rPr>
            <w:rFonts w:ascii="Plain Thin" w:hAnsi="Plain Thin"/>
            <w:bCs/>
            <w:sz w:val="20"/>
            <w:szCs w:val="20"/>
          </w:rPr>
          <w:t>https://www.etl-adhoga.de/wp-content/uploads/sites/23/2021/09/2021-09-07_ETL_ADHOGA_GASTRObriefing.pdf</w:t>
        </w:r>
      </w:hyperlink>
    </w:p>
    <w:p w14:paraId="1A38CF0D" w14:textId="77777777" w:rsidR="00C11D4B" w:rsidRDefault="00C11D4B" w:rsidP="00B74A00"/>
    <w:p w14:paraId="106BD5C2" w14:textId="77777777" w:rsidR="00C11D4B" w:rsidRPr="002700E7" w:rsidRDefault="00C11D4B" w:rsidP="00C11D4B">
      <w:pPr>
        <w:spacing w:line="240" w:lineRule="auto"/>
        <w:rPr>
          <w:rFonts w:ascii="Plain" w:eastAsia="Calibri" w:hAnsi="Plain" w:cs="Times New Roman"/>
          <w:b/>
          <w:bCs/>
        </w:rPr>
      </w:pPr>
      <w:r w:rsidRPr="002700E7">
        <w:rPr>
          <w:rFonts w:ascii="Plain" w:eastAsia="Calibri" w:hAnsi="Plain" w:cs="Times New Roman"/>
          <w:b/>
          <w:bCs/>
        </w:rPr>
        <w:t>Über ETL ADHOGA</w:t>
      </w:r>
    </w:p>
    <w:p w14:paraId="6F8E421C" w14:textId="77777777" w:rsidR="00223464" w:rsidRPr="00223464" w:rsidRDefault="00223464" w:rsidP="00223464">
      <w:pPr>
        <w:spacing w:before="360" w:after="0" w:line="240" w:lineRule="auto"/>
        <w:contextualSpacing/>
        <w:jc w:val="both"/>
        <w:rPr>
          <w:rFonts w:ascii="Plain Thin" w:eastAsia="Calibri" w:hAnsi="Plain Thin" w:cs="Times New Roman"/>
          <w:sz w:val="16"/>
          <w:szCs w:val="16"/>
        </w:rPr>
      </w:pPr>
      <w:r w:rsidRPr="00223464">
        <w:rPr>
          <w:rFonts w:ascii="Plain Thin" w:eastAsia="Calibri" w:hAnsi="Plain Thin" w:cs="Times New Roman"/>
          <w:sz w:val="16"/>
          <w:szCs w:val="16"/>
        </w:rPr>
        <w:t>Die ETL ADHOGA Steuerberatungsgesellschaft AG ist als Teil der ETL-Gruppe auf die Beratung von Gastronomen und Hoteliers rund um die Themen Steuern, Recht und Unternehmensführung spezialisiert.</w:t>
      </w:r>
    </w:p>
    <w:p w14:paraId="5A83667C" w14:textId="59464FCA" w:rsidR="00C11D4B" w:rsidRDefault="00223464" w:rsidP="00223464">
      <w:pPr>
        <w:spacing w:before="360" w:after="0" w:line="240" w:lineRule="auto"/>
        <w:contextualSpacing/>
        <w:jc w:val="both"/>
        <w:rPr>
          <w:rFonts w:ascii="Plain Thin" w:eastAsia="Calibri" w:hAnsi="Plain Thin" w:cs="Times New Roman"/>
          <w:sz w:val="16"/>
          <w:szCs w:val="16"/>
        </w:rPr>
      </w:pPr>
      <w:r w:rsidRPr="00223464">
        <w:rPr>
          <w:rFonts w:ascii="Plain Thin" w:eastAsia="Calibri" w:hAnsi="Plain Thin" w:cs="Times New Roman"/>
          <w:sz w:val="16"/>
          <w:szCs w:val="16"/>
        </w:rPr>
        <w:t>Zu den Leistungen von ADHOGA im Bereich der Steuerberatung für Hotels und Gaststätten zählen die Klassische Steuerberatung, Finanz- und Lohnbuchhaltung, Bilanzen und Steuererklärungen sowie betriebswirtschaftliche Beratung. Deutschlandweit verzeichnen die auf Hotellerie und Gastronomie spezialisierten Berater von ETL ADHOGA bereits über 1.000 Mandanten. Im Rahmen der gesamten ETL-Gruppe werden über 4.000 Hotellerie- und Gastronomiebetriebe betreut.</w:t>
      </w:r>
    </w:p>
    <w:p w14:paraId="796FE939" w14:textId="77777777" w:rsidR="00223464" w:rsidRPr="002700E7" w:rsidRDefault="00223464" w:rsidP="00223464">
      <w:pPr>
        <w:spacing w:before="360" w:after="0" w:line="240" w:lineRule="auto"/>
        <w:contextualSpacing/>
        <w:jc w:val="both"/>
        <w:rPr>
          <w:rFonts w:ascii="Plain Thin" w:eastAsia="Calibri" w:hAnsi="Plain Thin" w:cs="Times New Roman"/>
          <w:sz w:val="16"/>
          <w:szCs w:val="16"/>
        </w:rPr>
      </w:pPr>
    </w:p>
    <w:p w14:paraId="7DFF8A7B" w14:textId="77777777" w:rsidR="00C11D4B" w:rsidRPr="002700E7" w:rsidRDefault="00C11D4B" w:rsidP="00C11D4B">
      <w:pPr>
        <w:spacing w:before="360" w:after="0" w:line="240" w:lineRule="auto"/>
        <w:contextualSpacing/>
        <w:jc w:val="both"/>
        <w:rPr>
          <w:rFonts w:ascii="Plain Thin" w:eastAsia="Calibri" w:hAnsi="Plain Thin" w:cs="Times New Roman"/>
          <w:b/>
          <w:sz w:val="16"/>
          <w:szCs w:val="16"/>
        </w:rPr>
      </w:pPr>
      <w:r w:rsidRPr="002700E7">
        <w:rPr>
          <w:rFonts w:ascii="Plain Thin" w:eastAsia="Calibri" w:hAnsi="Plain Thin" w:cs="Times New Roman"/>
          <w:b/>
          <w:sz w:val="16"/>
          <w:szCs w:val="16"/>
        </w:rPr>
        <w:t>Pressekontakt</w:t>
      </w:r>
    </w:p>
    <w:p w14:paraId="4F709AB3" w14:textId="77777777" w:rsidR="00C11D4B" w:rsidRPr="002700E7" w:rsidRDefault="00C11D4B" w:rsidP="00C11D4B">
      <w:pPr>
        <w:spacing w:after="0" w:line="240" w:lineRule="auto"/>
        <w:contextualSpacing/>
        <w:jc w:val="both"/>
        <w:rPr>
          <w:rFonts w:ascii="Plain Thin" w:eastAsia="Calibri" w:hAnsi="Plain Thin" w:cs="Calibri Light"/>
          <w:sz w:val="16"/>
          <w:szCs w:val="16"/>
        </w:rPr>
      </w:pPr>
      <w:r w:rsidRPr="002700E7">
        <w:rPr>
          <w:rFonts w:ascii="Plain Thin" w:eastAsia="Calibri" w:hAnsi="Plain Thin" w:cs="Calibri Light"/>
          <w:sz w:val="16"/>
          <w:szCs w:val="16"/>
        </w:rPr>
        <w:t>Danyal Alaybeyoglu, Tel.: 030 22 64 02 30, E-Mail: danyal.alaybeyoglu@etl.de, ETL, Mauerstraße 86-88, 10117 Berlin, www.etl.de</w:t>
      </w:r>
    </w:p>
    <w:p w14:paraId="2DEBB559" w14:textId="77777777" w:rsidR="00C11D4B" w:rsidRPr="002700E7" w:rsidRDefault="00C11D4B" w:rsidP="00C11D4B">
      <w:pPr>
        <w:rPr>
          <w:rFonts w:ascii="Calibri" w:eastAsia="Calibri" w:hAnsi="Calibri" w:cs="Times New Roman"/>
        </w:rPr>
      </w:pPr>
    </w:p>
    <w:p w14:paraId="4698D586" w14:textId="77777777" w:rsidR="00C11D4B" w:rsidRDefault="00C11D4B" w:rsidP="00C11D4B">
      <w:pPr>
        <w:spacing w:line="240" w:lineRule="auto"/>
        <w:rPr>
          <w:rFonts w:ascii="Plain Thin" w:hAnsi="Plain Thin" w:cs="Times New Roman"/>
        </w:rPr>
      </w:pPr>
    </w:p>
    <w:p w14:paraId="70444660" w14:textId="77777777" w:rsidR="00C11D4B" w:rsidRDefault="00C11D4B" w:rsidP="00B74A00"/>
    <w:sectPr w:rsidR="00C11D4B">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8613" w16cex:dateUtc="2021-09-16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07BBC" w16cid:durableId="24ED86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Light">
    <w:panose1 w:val="020B0403020202020204"/>
    <w:charset w:val="00"/>
    <w:family w:val="swiss"/>
    <w:notTrueType/>
    <w:pitch w:val="variable"/>
    <w:sig w:usb0="8000002F" w:usb1="00002000" w:usb2="00000000" w:usb3="00000000" w:csb0="00000093" w:csb1="00000000"/>
  </w:font>
  <w:font w:name="Plain">
    <w:altName w:val="Calibri"/>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D7"/>
    <w:rsid w:val="00002434"/>
    <w:rsid w:val="00041564"/>
    <w:rsid w:val="00055D05"/>
    <w:rsid w:val="00067851"/>
    <w:rsid w:val="00085C8A"/>
    <w:rsid w:val="0018520B"/>
    <w:rsid w:val="00195EFB"/>
    <w:rsid w:val="00223464"/>
    <w:rsid w:val="004C00AA"/>
    <w:rsid w:val="004D5FD7"/>
    <w:rsid w:val="006106AF"/>
    <w:rsid w:val="006F6BEA"/>
    <w:rsid w:val="0079155F"/>
    <w:rsid w:val="007A7555"/>
    <w:rsid w:val="007E069B"/>
    <w:rsid w:val="00807E74"/>
    <w:rsid w:val="008C5758"/>
    <w:rsid w:val="009E1490"/>
    <w:rsid w:val="009F264E"/>
    <w:rsid w:val="00A615EE"/>
    <w:rsid w:val="00A81002"/>
    <w:rsid w:val="00B74A00"/>
    <w:rsid w:val="00C11D4B"/>
    <w:rsid w:val="00CD6513"/>
    <w:rsid w:val="00D270F8"/>
    <w:rsid w:val="00D40FA5"/>
    <w:rsid w:val="00E03B5A"/>
    <w:rsid w:val="00E939B6"/>
    <w:rsid w:val="00F03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1A43"/>
  <w15:chartTrackingRefBased/>
  <w15:docId w15:val="{42214833-44D3-456C-991E-5DFCA280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1D4B"/>
    <w:rPr>
      <w:color w:val="0563C1" w:themeColor="hyperlink"/>
      <w:u w:val="single"/>
    </w:rPr>
  </w:style>
  <w:style w:type="character" w:styleId="Kommentarzeichen">
    <w:name w:val="annotation reference"/>
    <w:basedOn w:val="Absatz-Standardschriftart"/>
    <w:uiPriority w:val="99"/>
    <w:semiHidden/>
    <w:unhideWhenUsed/>
    <w:rsid w:val="00F03594"/>
    <w:rPr>
      <w:sz w:val="16"/>
      <w:szCs w:val="16"/>
    </w:rPr>
  </w:style>
  <w:style w:type="paragraph" w:styleId="Kommentartext">
    <w:name w:val="annotation text"/>
    <w:basedOn w:val="Standard"/>
    <w:link w:val="KommentartextZchn"/>
    <w:uiPriority w:val="99"/>
    <w:semiHidden/>
    <w:unhideWhenUsed/>
    <w:rsid w:val="00F035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3594"/>
    <w:rPr>
      <w:sz w:val="20"/>
      <w:szCs w:val="20"/>
    </w:rPr>
  </w:style>
  <w:style w:type="paragraph" w:styleId="Kommentarthema">
    <w:name w:val="annotation subject"/>
    <w:basedOn w:val="Kommentartext"/>
    <w:next w:val="Kommentartext"/>
    <w:link w:val="KommentarthemaZchn"/>
    <w:uiPriority w:val="99"/>
    <w:semiHidden/>
    <w:unhideWhenUsed/>
    <w:rsid w:val="00F03594"/>
    <w:rPr>
      <w:b/>
      <w:bCs/>
    </w:rPr>
  </w:style>
  <w:style w:type="character" w:customStyle="1" w:styleId="KommentarthemaZchn">
    <w:name w:val="Kommentarthema Zchn"/>
    <w:basedOn w:val="KommentartextZchn"/>
    <w:link w:val="Kommentarthema"/>
    <w:uiPriority w:val="99"/>
    <w:semiHidden/>
    <w:rsid w:val="00F03594"/>
    <w:rPr>
      <w:b/>
      <w:bCs/>
      <w:sz w:val="20"/>
      <w:szCs w:val="20"/>
    </w:rPr>
  </w:style>
  <w:style w:type="paragraph" w:styleId="Sprechblasentext">
    <w:name w:val="Balloon Text"/>
    <w:basedOn w:val="Standard"/>
    <w:link w:val="SprechblasentextZchn"/>
    <w:uiPriority w:val="99"/>
    <w:semiHidden/>
    <w:unhideWhenUsed/>
    <w:rsid w:val="0022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464"/>
    <w:rPr>
      <w:rFonts w:ascii="Segoe UI" w:hAnsi="Segoe UI" w:cs="Segoe UI"/>
      <w:sz w:val="18"/>
      <w:szCs w:val="18"/>
    </w:rPr>
  </w:style>
  <w:style w:type="character" w:styleId="BesuchterLink">
    <w:name w:val="FollowedHyperlink"/>
    <w:basedOn w:val="Absatz-Standardschriftart"/>
    <w:uiPriority w:val="99"/>
    <w:semiHidden/>
    <w:unhideWhenUsed/>
    <w:rsid w:val="00A81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l-adhoga.de/wp-content/uploads/sites/23/2021/09/2021-09-07_ETL_ADHOGA_GASTRObriefing.pdf" TargetMode="External"/><Relationship Id="rId3" Type="http://schemas.openxmlformats.org/officeDocument/2006/relationships/webSettings" Target="webSettings.xml"/><Relationship Id="rId7" Type="http://schemas.openxmlformats.org/officeDocument/2006/relationships/hyperlink" Target="https://etl-adhoga-gastrobriefing.podigee.io/3-episode45"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l-adhoga.de/gastrobriefing/" TargetMode="External"/><Relationship Id="rId11" Type="http://schemas.microsoft.com/office/2018/08/relationships/commentsExtensible" Target="commentsExtensible.xml"/><Relationship Id="rId5" Type="http://schemas.openxmlformats.org/officeDocument/2006/relationships/hyperlink" Target="https://www2.etl.de/wp-content/uploads/2021/09/Checkliste-450-Euro-Paket.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15</cp:revision>
  <cp:lastPrinted>2021-09-16T07:17:00Z</cp:lastPrinted>
  <dcterms:created xsi:type="dcterms:W3CDTF">2021-09-14T11:02:00Z</dcterms:created>
  <dcterms:modified xsi:type="dcterms:W3CDTF">2021-09-16T08:43:00Z</dcterms:modified>
</cp:coreProperties>
</file>