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84A68" w14:textId="77777777" w:rsidR="00E0410D" w:rsidRDefault="00E0410D" w:rsidP="00070030">
      <w:pPr>
        <w:rPr>
          <w:rFonts w:eastAsia="Arial" w:cs="Arial"/>
          <w:b/>
          <w:bCs/>
          <w:color w:val="FF0000"/>
          <w:sz w:val="32"/>
          <w:szCs w:val="32"/>
          <w:u w:color="000000"/>
          <w:bdr w:val="nil"/>
          <w14:textOutline w14:w="0" w14:cap="flat" w14:cmpd="sng" w14:algn="ctr">
            <w14:noFill/>
            <w14:prstDash w14:val="solid"/>
            <w14:bevel/>
          </w14:textOutline>
        </w:rPr>
      </w:pPr>
    </w:p>
    <w:p w14:paraId="3FEDB386" w14:textId="1CEF1794" w:rsidR="00070030" w:rsidRPr="00650E0B" w:rsidRDefault="00070030" w:rsidP="00070030">
      <w:pPr>
        <w:rPr>
          <w:b/>
          <w:bCs/>
          <w:sz w:val="28"/>
          <w:szCs w:val="28"/>
        </w:rPr>
      </w:pPr>
      <w:r w:rsidRPr="00070030">
        <w:rPr>
          <w:rFonts w:eastAsia="Arial" w:cs="Arial"/>
          <w:b/>
          <w:bCs/>
          <w:color w:val="FF0000"/>
          <w:sz w:val="32"/>
          <w:szCs w:val="32"/>
          <w:u w:color="000000"/>
          <w:bdr w:val="nil"/>
          <w14:textOutline w14:w="0" w14:cap="flat" w14:cmpd="sng" w14:algn="ctr">
            <w14:noFill/>
            <w14:prstDash w14:val="solid"/>
            <w14:bevel/>
          </w14:textOutline>
        </w:rPr>
        <w:t>TGA-Boxenstopp 2026: Integrale Planung trifft Fahrspaß</w:t>
      </w:r>
      <w:r w:rsidRPr="00650E0B">
        <w:rPr>
          <w:b/>
          <w:bCs/>
          <w:sz w:val="28"/>
          <w:szCs w:val="28"/>
        </w:rPr>
        <w:t xml:space="preserve"> </w:t>
      </w:r>
    </w:p>
    <w:p w14:paraId="42B559AE" w14:textId="1D0CFE4A" w:rsidR="00AD6F23" w:rsidRPr="003709E2" w:rsidRDefault="00AD6F23" w:rsidP="006816BB">
      <w:pPr>
        <w:pBdr>
          <w:top w:val="nil"/>
          <w:left w:val="nil"/>
          <w:bottom w:val="nil"/>
          <w:right w:val="nil"/>
          <w:between w:val="nil"/>
          <w:bar w:val="nil"/>
        </w:pBdr>
        <w:rPr>
          <w:rFonts w:eastAsia="Arial" w:cs="Arial"/>
          <w:b/>
          <w:bCs/>
          <w:color w:val="FF0000"/>
          <w:sz w:val="32"/>
          <w:szCs w:val="32"/>
          <w:u w:color="000000"/>
          <w:bdr w:val="nil"/>
          <w14:textOutline w14:w="0" w14:cap="flat" w14:cmpd="sng" w14:algn="ctr">
            <w14:noFill/>
            <w14:prstDash w14:val="solid"/>
            <w14:bevel/>
          </w14:textOutline>
        </w:rPr>
      </w:pPr>
    </w:p>
    <w:p w14:paraId="423E3277" w14:textId="43D59E0E" w:rsidR="00AD6F23" w:rsidRPr="00070030" w:rsidRDefault="00070030" w:rsidP="00070030">
      <w:pPr>
        <w:rPr>
          <w:rFonts w:eastAsia="Arial" w:cs="Arial"/>
          <w:color w:val="000000"/>
          <w:sz w:val="24"/>
          <w:szCs w:val="24"/>
          <w:u w:color="000000"/>
          <w:bdr w:val="nil"/>
          <w14:textOutline w14:w="0" w14:cap="flat" w14:cmpd="sng" w14:algn="ctr">
            <w14:noFill/>
            <w14:prstDash w14:val="solid"/>
            <w14:bevel/>
          </w14:textOutline>
        </w:rPr>
      </w:pPr>
      <w:r w:rsidRPr="00070030">
        <w:rPr>
          <w:rFonts w:eastAsia="Arial" w:cs="Arial"/>
          <w:color w:val="000000"/>
          <w:sz w:val="24"/>
          <w:szCs w:val="24"/>
          <w:u w:color="000000"/>
          <w:bdr w:val="nil"/>
          <w14:textOutline w14:w="0" w14:cap="flat" w14:cmpd="sng" w14:algn="ctr">
            <w14:noFill/>
            <w14:prstDash w14:val="solid"/>
            <w14:bevel/>
          </w14:textOutline>
        </w:rPr>
        <w:t>Die Lindner Group ist Partner beim exklusiven Fachevent für TGA-Planer – inklusive ADAC-Fahrsicherheitstraining</w:t>
      </w:r>
    </w:p>
    <w:p w14:paraId="6722D94B" w14:textId="77777777" w:rsidR="00AD6F23" w:rsidRPr="00070030" w:rsidRDefault="00AD6F23" w:rsidP="006816BB">
      <w:pPr>
        <w:pBdr>
          <w:top w:val="nil"/>
          <w:left w:val="nil"/>
          <w:bottom w:val="nil"/>
          <w:right w:val="nil"/>
          <w:between w:val="nil"/>
          <w:bar w:val="nil"/>
        </w:pBdr>
        <w:rPr>
          <w:rFonts w:eastAsia="Arial" w:cs="Arial"/>
          <w:color w:val="000000"/>
          <w:szCs w:val="22"/>
          <w:u w:color="000000"/>
          <w:bdr w:val="nil"/>
          <w14:textOutline w14:w="0" w14:cap="flat" w14:cmpd="sng" w14:algn="ctr">
            <w14:noFill/>
            <w14:prstDash w14:val="solid"/>
            <w14:bevel/>
          </w14:textOutline>
        </w:rPr>
      </w:pPr>
    </w:p>
    <w:p w14:paraId="55CAB492" w14:textId="548F7B20" w:rsidR="00070030" w:rsidRPr="00650E0B" w:rsidRDefault="00070030" w:rsidP="00070030">
      <w:r w:rsidRPr="00170AB8">
        <w:t xml:space="preserve">Gebäudetechnik ist Teamarbeit. Wärmeerzeugung, Verteilung, Übertragung – nur wenn alle Gewerke frühzeitig zusammendenken, entstehen Anlagen, die im Betrieb wirklich überzeugen. Genau das steht im Mittelpunkt des </w:t>
      </w:r>
      <w:r w:rsidRPr="00170AB8">
        <w:rPr>
          <w:b/>
          <w:bCs/>
        </w:rPr>
        <w:t>TGA-Boxenstopps 2026</w:t>
      </w:r>
      <w:r w:rsidRPr="00170AB8">
        <w:t xml:space="preserve">, zu dem die Lindner Group gemeinsam mit den Partnerunternehmen Frese, </w:t>
      </w:r>
      <w:proofErr w:type="spellStart"/>
      <w:r w:rsidRPr="00170AB8">
        <w:t>Malotech</w:t>
      </w:r>
      <w:proofErr w:type="spellEnd"/>
      <w:r w:rsidRPr="00170AB8">
        <w:t xml:space="preserve">, Helios, </w:t>
      </w:r>
      <w:proofErr w:type="spellStart"/>
      <w:r w:rsidRPr="00170AB8">
        <w:t>Remeha</w:t>
      </w:r>
      <w:proofErr w:type="spellEnd"/>
      <w:r w:rsidRPr="00170AB8">
        <w:t xml:space="preserve"> und Grundfos einlädt.</w:t>
      </w:r>
    </w:p>
    <w:p w14:paraId="23B483AE" w14:textId="5C7E3907" w:rsidR="00AD6F23" w:rsidRPr="00070030" w:rsidRDefault="00AD6F23"/>
    <w:p w14:paraId="1F37299F" w14:textId="5C4B4FF3" w:rsidR="00070030" w:rsidRPr="00070030" w:rsidRDefault="00070030" w:rsidP="00070030">
      <w:pPr>
        <w:rPr>
          <w:rFonts w:eastAsia="Arial" w:cs="Arial"/>
          <w:b/>
          <w:bCs/>
          <w:color w:val="FF0000"/>
          <w:szCs w:val="22"/>
          <w:u w:color="000000"/>
          <w:bdr w:val="nil"/>
          <w14:textOutline w14:w="0" w14:cap="flat" w14:cmpd="sng" w14:algn="ctr">
            <w14:noFill/>
            <w14:prstDash w14:val="solid"/>
            <w14:bevel/>
          </w14:textOutline>
        </w:rPr>
      </w:pPr>
      <w:r w:rsidRPr="00070030">
        <w:rPr>
          <w:rFonts w:eastAsia="Arial" w:cs="Arial"/>
          <w:b/>
          <w:bCs/>
          <w:color w:val="FF0000"/>
          <w:szCs w:val="22"/>
          <w:u w:color="000000"/>
          <w:bdr w:val="nil"/>
          <w14:textOutline w14:w="0" w14:cap="flat" w14:cmpd="sng" w14:algn="ctr">
            <w14:noFill/>
            <w14:prstDash w14:val="solid"/>
            <w14:bevel/>
          </w14:textOutline>
        </w:rPr>
        <w:t>Zwei Termine, ein Ziel: Sicher ankommen – fachlich wie praktisch</w:t>
      </w:r>
    </w:p>
    <w:p w14:paraId="4BC06A4C" w14:textId="22446A5E" w:rsidR="006816BB" w:rsidRPr="00070030" w:rsidRDefault="006816BB" w:rsidP="00070030">
      <w:pPr>
        <w:pBdr>
          <w:top w:val="nil"/>
          <w:left w:val="nil"/>
          <w:bottom w:val="nil"/>
          <w:right w:val="nil"/>
          <w:between w:val="nil"/>
          <w:bar w:val="nil"/>
        </w:pBdr>
        <w:rPr>
          <w:rFonts w:eastAsia="Arial" w:cs="Arial"/>
          <w:b/>
          <w:bCs/>
          <w:color w:val="FF0000"/>
          <w:szCs w:val="22"/>
          <w:u w:color="000000"/>
          <w:bdr w:val="nil"/>
          <w14:textOutline w14:w="0" w14:cap="flat" w14:cmpd="sng" w14:algn="ctr">
            <w14:noFill/>
            <w14:prstDash w14:val="solid"/>
            <w14:bevel/>
          </w14:textOutline>
        </w:rPr>
      </w:pPr>
      <w:r w:rsidRPr="00070030">
        <w:rPr>
          <w:rFonts w:eastAsia="Arial" w:cs="Arial"/>
          <w:b/>
          <w:bCs/>
          <w:color w:val="FF0000"/>
          <w:szCs w:val="22"/>
          <w:u w:color="000000"/>
          <w:bdr w:val="nil"/>
          <w14:textOutline w14:w="0" w14:cap="flat" w14:cmpd="sng" w14:algn="ctr">
            <w14:noFill/>
            <w14:prstDash w14:val="solid"/>
            <w14:bevel/>
          </w14:textOutline>
        </w:rPr>
        <w:t xml:space="preserve"> </w:t>
      </w:r>
    </w:p>
    <w:p w14:paraId="68CA1053" w14:textId="77777777" w:rsidR="005E0EA3" w:rsidRPr="005E0EA3" w:rsidRDefault="005E0EA3" w:rsidP="005E0EA3">
      <w:r w:rsidRPr="005E0EA3">
        <w:t>Der TGA-Boxenstopp macht in diesem Jahr an zwei Standorten Halt:</w:t>
      </w:r>
    </w:p>
    <w:p w14:paraId="2AE13EC8" w14:textId="77777777" w:rsidR="005E0EA3" w:rsidRPr="005E0EA3" w:rsidRDefault="005E0EA3" w:rsidP="005E0EA3">
      <w:pPr>
        <w:pStyle w:val="Listenabsatz"/>
        <w:numPr>
          <w:ilvl w:val="0"/>
          <w:numId w:val="10"/>
        </w:numPr>
        <w:spacing w:after="160" w:line="259" w:lineRule="auto"/>
        <w:contextualSpacing/>
        <w:rPr>
          <w:lang w:val="en-GB"/>
        </w:rPr>
      </w:pPr>
      <w:r w:rsidRPr="005E0EA3">
        <w:rPr>
          <w:b/>
          <w:bCs/>
          <w:lang w:val="en-GB"/>
        </w:rPr>
        <w:t>15. September 2026</w:t>
      </w:r>
      <w:r w:rsidRPr="005E0EA3">
        <w:rPr>
          <w:lang w:val="en-GB"/>
        </w:rPr>
        <w:t xml:space="preserve"> – ADAC Fahrsicherheitszentrum Kempten, 09:00–17:00 Uhr</w:t>
      </w:r>
    </w:p>
    <w:p w14:paraId="1E325773" w14:textId="77777777" w:rsidR="005E0EA3" w:rsidRPr="00170AB8" w:rsidRDefault="005E0EA3" w:rsidP="005E0EA3">
      <w:pPr>
        <w:numPr>
          <w:ilvl w:val="0"/>
          <w:numId w:val="9"/>
        </w:numPr>
        <w:spacing w:after="160" w:line="259" w:lineRule="auto"/>
      </w:pPr>
      <w:r w:rsidRPr="00170AB8">
        <w:rPr>
          <w:b/>
          <w:bCs/>
        </w:rPr>
        <w:t>17. September 2026</w:t>
      </w:r>
      <w:r w:rsidRPr="00170AB8">
        <w:t xml:space="preserve"> – ADAC Fahrsicherheitszentrum Berlin-Brandenburg, Linthe, 09:00–17:00 Uhr </w:t>
      </w:r>
    </w:p>
    <w:p w14:paraId="3B55E1F4" w14:textId="6A58DE50" w:rsidR="005E0EA3" w:rsidRPr="00170AB8" w:rsidRDefault="005E0EA3" w:rsidP="00070030">
      <w:r w:rsidRPr="00170AB8">
        <w:t>Im Mittelpunkt stehen praxisnahe Fachvorträge zur integralen Planung in der Technischen Gebäudeausrüstung. Anhand konkreter Projekte zeigen die Referierenden, wie die verschiedenen TGA-Gewerke optimal ineinandergreifen und welche Potenziale sich durch eine frühzeitige, ganzheitliche Planung erschließen lassen.</w:t>
      </w:r>
    </w:p>
    <w:p w14:paraId="177ADD35" w14:textId="77777777" w:rsidR="00070030" w:rsidRPr="00070030" w:rsidRDefault="00070030" w:rsidP="00070030">
      <w:pPr>
        <w:rPr>
          <w:rFonts w:eastAsia="Arial" w:cs="Arial"/>
          <w:b/>
          <w:bCs/>
          <w:color w:val="FF0000"/>
          <w:szCs w:val="22"/>
          <w:u w:color="000000"/>
          <w:bdr w:val="nil"/>
          <w14:textOutline w14:w="0" w14:cap="flat" w14:cmpd="sng" w14:algn="ctr">
            <w14:noFill/>
            <w14:prstDash w14:val="solid"/>
            <w14:bevel/>
          </w14:textOutline>
        </w:rPr>
      </w:pPr>
    </w:p>
    <w:p w14:paraId="7A4867F0" w14:textId="5FB4BE14" w:rsidR="00070030" w:rsidRPr="00070030" w:rsidRDefault="00070030" w:rsidP="00070030">
      <w:pPr>
        <w:rPr>
          <w:rFonts w:eastAsia="Arial" w:cs="Arial"/>
          <w:b/>
          <w:bCs/>
          <w:color w:val="FF0000"/>
          <w:szCs w:val="22"/>
          <w:u w:color="000000"/>
          <w:bdr w:val="nil"/>
          <w14:textOutline w14:w="0" w14:cap="flat" w14:cmpd="sng" w14:algn="ctr">
            <w14:noFill/>
            <w14:prstDash w14:val="solid"/>
            <w14:bevel/>
          </w14:textOutline>
        </w:rPr>
      </w:pPr>
      <w:r w:rsidRPr="00070030">
        <w:rPr>
          <w:rFonts w:eastAsia="Arial" w:cs="Arial"/>
          <w:b/>
          <w:bCs/>
          <w:color w:val="FF0000"/>
          <w:szCs w:val="22"/>
          <w:u w:color="000000"/>
          <w:bdr w:val="nil"/>
          <w14:textOutline w14:w="0" w14:cap="flat" w14:cmpd="sng" w14:algn="ctr">
            <w14:noFill/>
            <w14:prstDash w14:val="solid"/>
            <w14:bevel/>
          </w14:textOutline>
        </w:rPr>
        <w:t>Lindner Group live vor Ort: Heizen mit der Decke neu gedacht</w:t>
      </w:r>
    </w:p>
    <w:p w14:paraId="7C30A479" w14:textId="46C84A1D" w:rsidR="00070030" w:rsidRPr="00070030" w:rsidRDefault="00070030" w:rsidP="00070030">
      <w:pPr>
        <w:pBdr>
          <w:top w:val="nil"/>
          <w:left w:val="nil"/>
          <w:bottom w:val="nil"/>
          <w:right w:val="nil"/>
          <w:between w:val="nil"/>
          <w:bar w:val="nil"/>
        </w:pBdr>
        <w:rPr>
          <w:rFonts w:eastAsia="Arial" w:cs="Arial"/>
          <w:b/>
          <w:bCs/>
          <w:color w:val="FF0000"/>
          <w:szCs w:val="22"/>
          <w:u w:color="000000"/>
          <w:bdr w:val="nil"/>
          <w14:textOutline w14:w="0" w14:cap="flat" w14:cmpd="sng" w14:algn="ctr">
            <w14:noFill/>
            <w14:prstDash w14:val="solid"/>
            <w14:bevel/>
          </w14:textOutline>
        </w:rPr>
      </w:pPr>
      <w:r w:rsidRPr="00070030">
        <w:rPr>
          <w:rFonts w:eastAsia="Arial" w:cs="Arial"/>
          <w:b/>
          <w:bCs/>
          <w:color w:val="FF0000"/>
          <w:szCs w:val="22"/>
          <w:u w:color="000000"/>
          <w:bdr w:val="nil"/>
          <w14:textOutline w14:w="0" w14:cap="flat" w14:cmpd="sng" w14:algn="ctr">
            <w14:noFill/>
            <w14:prstDash w14:val="solid"/>
            <w14:bevel/>
          </w14:textOutline>
        </w:rPr>
        <w:t xml:space="preserve"> </w:t>
      </w:r>
    </w:p>
    <w:p w14:paraId="0CBC036B" w14:textId="77777777" w:rsidR="005E0EA3" w:rsidRPr="00170AB8" w:rsidRDefault="005E0EA3" w:rsidP="005E0EA3">
      <w:r w:rsidRPr="00170AB8">
        <w:t xml:space="preserve">Mit dem Vortrag </w:t>
      </w:r>
      <w:r w:rsidRPr="00170AB8">
        <w:rPr>
          <w:b/>
          <w:bCs/>
        </w:rPr>
        <w:t>„Wir stellen alles auf den Kopf – Heizen mit der Decke“</w:t>
      </w:r>
      <w:r w:rsidRPr="00170AB8">
        <w:t xml:space="preserve"> zeigt die Lindner Group, wie moderne Heiz- und Kühldeckensysteme höchsten thermischen Komfort mit hoher Energieeffizienz verbinden. Vorgestellt werden die Möglichkeiten des Heizens über die Decke, die Kombination mit Luftauslässen sowie konkrete Anwendungsbeispiele aus der Praxis. Darüber hinaus erhalten die Teilnehmenden Einblicke in das Lüftungselement </w:t>
      </w:r>
      <w:proofErr w:type="spellStart"/>
      <w:r w:rsidRPr="00170AB8">
        <w:rPr>
          <w:b/>
          <w:bCs/>
        </w:rPr>
        <w:t>Plafotherm</w:t>
      </w:r>
      <w:proofErr w:type="spellEnd"/>
      <w:r w:rsidRPr="00170AB8">
        <w:rPr>
          <w:b/>
          <w:bCs/>
        </w:rPr>
        <w:t>®</w:t>
      </w:r>
      <w:r w:rsidRPr="00170AB8">
        <w:t xml:space="preserve"> </w:t>
      </w:r>
      <w:proofErr w:type="spellStart"/>
      <w:r w:rsidRPr="00170AB8">
        <w:rPr>
          <w:b/>
          <w:bCs/>
        </w:rPr>
        <w:t>AirHybrid</w:t>
      </w:r>
      <w:proofErr w:type="spellEnd"/>
      <w:r w:rsidRPr="00170AB8">
        <w:t>, das effiziente Kühlung und eine zugluftarme Frischluftzufuhr in einem System vereint.</w:t>
      </w:r>
    </w:p>
    <w:p w14:paraId="74CB22E9" w14:textId="77777777" w:rsidR="00070030" w:rsidRPr="005E0EA3" w:rsidRDefault="00070030" w:rsidP="00070030"/>
    <w:p w14:paraId="245CBC45" w14:textId="2A3748CA" w:rsidR="00070030" w:rsidRPr="00070030" w:rsidRDefault="00070030" w:rsidP="00070030">
      <w:pPr>
        <w:rPr>
          <w:rFonts w:eastAsia="Arial" w:cs="Arial"/>
          <w:b/>
          <w:bCs/>
          <w:color w:val="FF0000"/>
          <w:szCs w:val="22"/>
          <w:u w:color="000000"/>
          <w:bdr w:val="nil"/>
          <w14:textOutline w14:w="0" w14:cap="flat" w14:cmpd="sng" w14:algn="ctr">
            <w14:noFill/>
            <w14:prstDash w14:val="solid"/>
            <w14:bevel/>
          </w14:textOutline>
        </w:rPr>
      </w:pPr>
      <w:r w:rsidRPr="00070030">
        <w:rPr>
          <w:rFonts w:eastAsia="Arial" w:cs="Arial"/>
          <w:b/>
          <w:bCs/>
          <w:color w:val="FF0000"/>
          <w:szCs w:val="22"/>
          <w:u w:color="000000"/>
          <w:bdr w:val="nil"/>
          <w14:textOutline w14:w="0" w14:cap="flat" w14:cmpd="sng" w14:algn="ctr">
            <w14:noFill/>
            <w14:prstDash w14:val="solid"/>
            <w14:bevel/>
          </w14:textOutline>
        </w:rPr>
        <w:t>Der Boxenstopp mit Nervenkitzel</w:t>
      </w:r>
    </w:p>
    <w:p w14:paraId="7FC4D070" w14:textId="14AF7976" w:rsidR="00070030" w:rsidRPr="00070030" w:rsidRDefault="00070030" w:rsidP="00070030">
      <w:pPr>
        <w:pBdr>
          <w:top w:val="nil"/>
          <w:left w:val="nil"/>
          <w:bottom w:val="nil"/>
          <w:right w:val="nil"/>
          <w:between w:val="nil"/>
          <w:bar w:val="nil"/>
        </w:pBdr>
        <w:rPr>
          <w:rFonts w:eastAsia="Arial" w:cs="Arial"/>
          <w:b/>
          <w:bCs/>
          <w:color w:val="FF0000"/>
          <w:szCs w:val="22"/>
          <w:u w:color="000000"/>
          <w:bdr w:val="nil"/>
          <w14:textOutline w14:w="0" w14:cap="flat" w14:cmpd="sng" w14:algn="ctr">
            <w14:noFill/>
            <w14:prstDash w14:val="solid"/>
            <w14:bevel/>
          </w14:textOutline>
        </w:rPr>
      </w:pPr>
      <w:r w:rsidRPr="00070030">
        <w:rPr>
          <w:rFonts w:eastAsia="Arial" w:cs="Arial"/>
          <w:b/>
          <w:bCs/>
          <w:color w:val="FF0000"/>
          <w:szCs w:val="22"/>
          <w:u w:color="000000"/>
          <w:bdr w:val="nil"/>
          <w14:textOutline w14:w="0" w14:cap="flat" w14:cmpd="sng" w14:algn="ctr">
            <w14:noFill/>
            <w14:prstDash w14:val="solid"/>
            <w14:bevel/>
          </w14:textOutline>
        </w:rPr>
        <w:t xml:space="preserve"> </w:t>
      </w:r>
    </w:p>
    <w:p w14:paraId="658A107D" w14:textId="77777777" w:rsidR="00070030" w:rsidRPr="00170AB8" w:rsidRDefault="00070030" w:rsidP="00070030">
      <w:pPr>
        <w:pBdr>
          <w:top w:val="nil"/>
          <w:left w:val="nil"/>
          <w:bottom w:val="nil"/>
          <w:right w:val="nil"/>
          <w:between w:val="nil"/>
          <w:bar w:val="nil"/>
        </w:pBdr>
      </w:pPr>
      <w:r w:rsidRPr="00170AB8">
        <w:t>Neben den Vorträgen zu Themen wie moderner Wärmeversorgung, energieeffizienter Pumpentechnik, digitaler Anlagenhydraulik und Lüftungstechnik erwartet die Teilnehmenden ein besonderes Highlight: ein exklusives ADAC-Fahrsicherheitstraining. Ob Bremsen, Ausweichen oder Kurvenfahren – hier wird nicht nur theoretisches Wissen vermittelt, sondern auch die eigene Fahrpraxis geschärft.</w:t>
      </w:r>
    </w:p>
    <w:p w14:paraId="0C38F2BC" w14:textId="77777777" w:rsidR="00070030" w:rsidRPr="00070030" w:rsidRDefault="00070030" w:rsidP="00070030"/>
    <w:p w14:paraId="63C1B7C4" w14:textId="77777777" w:rsidR="005E0EA3" w:rsidRDefault="005E0EA3" w:rsidP="005E0EA3">
      <w:pPr>
        <w:rPr>
          <w:b/>
          <w:bCs/>
        </w:rPr>
      </w:pPr>
    </w:p>
    <w:p w14:paraId="1F67CC27" w14:textId="77777777" w:rsidR="005E0EA3" w:rsidRDefault="005E0EA3" w:rsidP="005E0EA3">
      <w:pPr>
        <w:rPr>
          <w:b/>
          <w:bCs/>
        </w:rPr>
      </w:pPr>
    </w:p>
    <w:p w14:paraId="31DDCD58" w14:textId="19B3BD09" w:rsidR="005E0EA3" w:rsidRPr="00650E0B" w:rsidRDefault="005E0EA3" w:rsidP="005E0EA3">
      <w:pPr>
        <w:rPr>
          <w:b/>
          <w:bCs/>
        </w:rPr>
      </w:pPr>
      <w:r w:rsidRPr="00650E0B">
        <w:rPr>
          <w:b/>
          <w:bCs/>
        </w:rPr>
        <w:t xml:space="preserve">Jetzt </w:t>
      </w:r>
      <w:r>
        <w:rPr>
          <w:b/>
          <w:bCs/>
        </w:rPr>
        <w:t>kostenfrei anmelden</w:t>
      </w:r>
    </w:p>
    <w:p w14:paraId="251B72C6" w14:textId="77777777" w:rsidR="005E0EA3" w:rsidRDefault="005E0EA3" w:rsidP="005E0EA3">
      <w:pPr>
        <w:rPr>
          <w:rStyle w:val="Hyperlink"/>
          <w:b/>
          <w:bCs/>
        </w:rPr>
      </w:pPr>
      <w:r>
        <w:t xml:space="preserve">Weitere </w:t>
      </w:r>
      <w:r w:rsidRPr="00650E0B">
        <w:t xml:space="preserve">Informationen </w:t>
      </w:r>
      <w:r>
        <w:t>zum Programm sowie</w:t>
      </w:r>
      <w:r w:rsidRPr="00650E0B">
        <w:t xml:space="preserve"> die Anmeldung finden </w:t>
      </w:r>
      <w:r>
        <w:t>Sie</w:t>
      </w:r>
      <w:r w:rsidRPr="00650E0B">
        <w:t xml:space="preserve"> unter </w:t>
      </w:r>
      <w:hyperlink r:id="rId8" w:tgtFrame="_blank" w:history="1">
        <w:r w:rsidRPr="00650E0B">
          <w:rPr>
            <w:rStyle w:val="Hyperlink"/>
            <w:b/>
            <w:bCs/>
          </w:rPr>
          <w:t>www.tga-boxenstopp.de</w:t>
        </w:r>
      </w:hyperlink>
    </w:p>
    <w:p w14:paraId="2AA621B8" w14:textId="77777777" w:rsidR="00D112E0" w:rsidRDefault="00D112E0" w:rsidP="005E0EA3"/>
    <w:p w14:paraId="6986467F" w14:textId="097362E8" w:rsidR="00170AB8" w:rsidRPr="00650E0B" w:rsidRDefault="00170AB8" w:rsidP="005E0EA3">
      <w:r w:rsidRPr="00170AB8">
        <w:t>Den Flyer zu</w:t>
      </w:r>
      <w:r>
        <w:t xml:space="preserve">r Boxenstopp-Veranstaltung </w:t>
      </w:r>
      <w:r w:rsidRPr="00170AB8">
        <w:t xml:space="preserve">finden Sie hier: </w:t>
      </w:r>
      <w:hyperlink r:id="rId9" w:tgtFrame="_blank" w:history="1">
        <w:r w:rsidRPr="00170AB8">
          <w:rPr>
            <w:rStyle w:val="Hyperlink"/>
            <w:b/>
            <w:bCs/>
          </w:rPr>
          <w:t>https://lin.link/BoxenstoppFlyer</w:t>
        </w:r>
      </w:hyperlink>
    </w:p>
    <w:p w14:paraId="3B5B13F6" w14:textId="77777777" w:rsidR="005E0EA3" w:rsidRDefault="005E0EA3" w:rsidP="005E0EA3">
      <w:pPr>
        <w:spacing w:line="240" w:lineRule="auto"/>
      </w:pPr>
    </w:p>
    <w:p w14:paraId="49DE67E4" w14:textId="30199FDB" w:rsidR="00AD6F23" w:rsidRPr="005E0EA3" w:rsidRDefault="006816BB" w:rsidP="005E0EA3">
      <w:pPr>
        <w:spacing w:line="240" w:lineRule="auto"/>
      </w:pPr>
      <w:r>
        <w:rPr>
          <w:b/>
          <w:color w:val="E00428"/>
        </w:rPr>
        <w:t>Bilder</w:t>
      </w:r>
    </w:p>
    <w:p w14:paraId="7444743C" w14:textId="77777777" w:rsidR="00AD6F23" w:rsidRDefault="006816BB">
      <w:r>
        <w:t>Bildverweise:</w:t>
      </w:r>
    </w:p>
    <w:p w14:paraId="012C1CE9" w14:textId="0E4508E8" w:rsidR="00AD6F23" w:rsidRDefault="006816BB">
      <w:r>
        <w:t xml:space="preserve">© </w:t>
      </w:r>
      <w:r w:rsidR="00D112E0">
        <w:t>www.Lindner-Group.com</w:t>
      </w:r>
    </w:p>
    <w:p w14:paraId="145DB48B" w14:textId="77777777" w:rsidR="00AD6F23" w:rsidRDefault="00AD6F23"/>
    <w:p w14:paraId="69E3FE2E" w14:textId="7C9FA38F" w:rsidR="00AD6F23" w:rsidRDefault="00D112E0">
      <w:r>
        <w:rPr>
          <w:b/>
          <w:noProof/>
        </w:rPr>
        <w:drawing>
          <wp:inline distT="0" distB="0" distL="0" distR="0" wp14:anchorId="1352920C" wp14:editId="4268559A">
            <wp:extent cx="3777789" cy="252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77789" cy="2520000"/>
                    </a:xfrm>
                    <a:prstGeom prst="rect">
                      <a:avLst/>
                    </a:prstGeom>
                    <a:noFill/>
                    <a:ln>
                      <a:noFill/>
                    </a:ln>
                  </pic:spPr>
                </pic:pic>
              </a:graphicData>
            </a:graphic>
          </wp:inline>
        </w:drawing>
      </w:r>
    </w:p>
    <w:p w14:paraId="57334116" w14:textId="77777777" w:rsidR="00D112E0" w:rsidRDefault="00D112E0">
      <w:pPr>
        <w:rPr>
          <w:b/>
        </w:rPr>
      </w:pPr>
      <w:r w:rsidRPr="00D112E0">
        <w:rPr>
          <w:b/>
        </w:rPr>
        <w:t>Lindner_Boxenstopp_DSC8115.jpg</w:t>
      </w:r>
    </w:p>
    <w:p w14:paraId="2F74C318" w14:textId="77777777" w:rsidR="00AD6F23" w:rsidRDefault="00AD6F23"/>
    <w:p w14:paraId="2D6D4836" w14:textId="77777777" w:rsidR="00AD6F23" w:rsidRDefault="00AD6F23"/>
    <w:p w14:paraId="547806F3" w14:textId="77777777" w:rsidR="00AD6F23" w:rsidRDefault="006816BB">
      <w:pPr>
        <w:rPr>
          <w:b/>
          <w:color w:val="E00428"/>
        </w:rPr>
      </w:pPr>
      <w:r>
        <w:rPr>
          <w:b/>
          <w:color w:val="E00428"/>
        </w:rPr>
        <w:t>Lindner Group</w:t>
      </w:r>
    </w:p>
    <w:p w14:paraId="61D95382" w14:textId="5FF7248B" w:rsidR="006816BB" w:rsidRDefault="006816BB" w:rsidP="006816BB">
      <w:r>
        <w:rPr>
          <w:rFonts w:eastAsia="Arial Unicode MS" w:cs="Arial Unicode MS"/>
        </w:rPr>
        <w:t xml:space="preserve">Die Lindner Group ist Europas führender Komplettanbieter im Innenausbau, Gebäudehülle, Gebäudetechnik und </w:t>
      </w:r>
      <w:r w:rsidR="00F95103">
        <w:rPr>
          <w:rFonts w:eastAsia="Arial Unicode MS" w:cs="Arial Unicode MS"/>
        </w:rPr>
        <w:t>Isoliertechnik</w:t>
      </w:r>
      <w:r>
        <w:rPr>
          <w:rFonts w:eastAsia="Arial Unicode MS" w:cs="Arial Unicode MS"/>
        </w:rPr>
        <w:t xml:space="preserve">. Mit 60 Jahren Erfahrung im "Bauen mit neuen Lösungen" entwickelt und realisiert Lindner flexible, zukunftsfähige Projektlösungen, die nachhaltigen </w:t>
      </w:r>
      <w:proofErr w:type="spellStart"/>
      <w:r>
        <w:rPr>
          <w:rFonts w:eastAsia="Arial Unicode MS" w:cs="Arial Unicode MS"/>
        </w:rPr>
        <w:t>Mehr.Wert</w:t>
      </w:r>
      <w:proofErr w:type="spellEnd"/>
      <w:r>
        <w:rPr>
          <w:rFonts w:eastAsia="Arial Unicode MS" w:cs="Arial Unicode MS"/>
        </w:rPr>
        <w:t xml:space="preserve"> bieten. Mit weltweit 8.000 Mitarbeitern betreibt das Familienunternehmen vom bayerischen Arnstorf aus Produktionsstätten und Tochtergesellschaften in mehr als 40 Ländern.</w:t>
      </w:r>
    </w:p>
    <w:p w14:paraId="3446BFBF" w14:textId="77777777" w:rsidR="00AD6F23" w:rsidRDefault="00AD6F23"/>
    <w:p w14:paraId="1936C0CE" w14:textId="77777777" w:rsidR="00AD6F23" w:rsidRDefault="00AD6F23"/>
    <w:p w14:paraId="648F5E13" w14:textId="77777777" w:rsidR="00AD6F23" w:rsidRDefault="006816BB">
      <w:pPr>
        <w:rPr>
          <w:rFonts w:eastAsiaTheme="minorEastAsia"/>
          <w:b/>
          <w:color w:val="E40428"/>
        </w:rPr>
      </w:pPr>
      <w:r>
        <w:rPr>
          <w:rFonts w:eastAsiaTheme="minorEastAsia"/>
          <w:b/>
          <w:color w:val="E40428"/>
        </w:rPr>
        <w:t xml:space="preserve">Weitere Infos unter </w:t>
      </w:r>
      <w:hyperlink r:id="rId11" w:history="1">
        <w:r>
          <w:rPr>
            <w:rStyle w:val="Hyperlink"/>
            <w:rFonts w:eastAsiaTheme="minorEastAsia"/>
            <w:b/>
            <w:color w:val="E40428"/>
            <w:u w:val="none"/>
          </w:rPr>
          <w:t>www.Lindner-Group.com</w:t>
        </w:r>
      </w:hyperlink>
    </w:p>
    <w:p w14:paraId="6B18E46E" w14:textId="77777777" w:rsidR="00AD6F23" w:rsidRDefault="00487116">
      <w:pPr>
        <w:pStyle w:val="EinfAbs"/>
        <w:rPr>
          <w:rFonts w:ascii="Arial" w:hAnsi="Arial" w:cs="Arial"/>
          <w:color w:val="auto"/>
          <w:sz w:val="20"/>
          <w:szCs w:val="16"/>
          <w:lang w:val="en-GB"/>
        </w:rPr>
      </w:pPr>
      <w:hyperlink r:id="rId12" w:history="1">
        <w:r w:rsidR="006816BB">
          <w:rPr>
            <w:rStyle w:val="Hyperlink"/>
            <w:rFonts w:ascii="Arial" w:hAnsi="Arial" w:cs="Arial"/>
            <w:color w:val="auto"/>
            <w:sz w:val="20"/>
            <w:szCs w:val="16"/>
            <w:lang w:val="en-GB"/>
          </w:rPr>
          <w:t>LinkedIn</w:t>
        </w:r>
      </w:hyperlink>
      <w:r w:rsidR="006816BB">
        <w:rPr>
          <w:rFonts w:ascii="Arial" w:hAnsi="Arial" w:cs="Arial"/>
          <w:color w:val="auto"/>
          <w:sz w:val="20"/>
          <w:szCs w:val="16"/>
          <w:lang w:val="en-GB"/>
        </w:rPr>
        <w:t xml:space="preserve"> | </w:t>
      </w:r>
      <w:hyperlink r:id="rId13" w:history="1">
        <w:r w:rsidR="006816BB">
          <w:rPr>
            <w:rStyle w:val="Hyperlink"/>
            <w:rFonts w:ascii="Arial" w:hAnsi="Arial" w:cs="Arial"/>
            <w:color w:val="auto"/>
            <w:sz w:val="20"/>
            <w:szCs w:val="16"/>
            <w:lang w:val="en-GB"/>
          </w:rPr>
          <w:t>Instagram</w:t>
        </w:r>
      </w:hyperlink>
      <w:r w:rsidR="006816BB">
        <w:rPr>
          <w:rStyle w:val="Hyperlink"/>
          <w:rFonts w:ascii="Arial" w:hAnsi="Arial" w:cs="Arial"/>
          <w:color w:val="auto"/>
          <w:sz w:val="20"/>
          <w:szCs w:val="16"/>
          <w:u w:val="none"/>
          <w:lang w:val="en-GB"/>
        </w:rPr>
        <w:t xml:space="preserve"> | </w:t>
      </w:r>
      <w:hyperlink r:id="rId14" w:history="1">
        <w:r w:rsidR="006816BB">
          <w:rPr>
            <w:rStyle w:val="Hyperlink"/>
            <w:rFonts w:ascii="Arial" w:hAnsi="Arial" w:cs="Arial"/>
            <w:color w:val="auto"/>
            <w:sz w:val="20"/>
            <w:szCs w:val="16"/>
            <w:lang w:val="en-GB"/>
          </w:rPr>
          <w:t>Facebook</w:t>
        </w:r>
      </w:hyperlink>
      <w:r w:rsidR="006816BB">
        <w:rPr>
          <w:rStyle w:val="Hyperlink"/>
          <w:rFonts w:ascii="Arial" w:hAnsi="Arial" w:cs="Arial"/>
          <w:color w:val="auto"/>
          <w:sz w:val="20"/>
          <w:szCs w:val="16"/>
          <w:u w:val="none"/>
          <w:lang w:val="en-GB"/>
        </w:rPr>
        <w:t xml:space="preserve"> | </w:t>
      </w:r>
      <w:hyperlink r:id="rId15" w:history="1">
        <w:r w:rsidR="006816BB">
          <w:rPr>
            <w:rStyle w:val="Hyperlink"/>
            <w:rFonts w:ascii="Arial" w:hAnsi="Arial" w:cs="Arial"/>
            <w:color w:val="auto"/>
            <w:sz w:val="20"/>
            <w:szCs w:val="16"/>
            <w:lang w:val="en-GB"/>
          </w:rPr>
          <w:t>Pinterest</w:t>
        </w:r>
      </w:hyperlink>
      <w:r w:rsidR="006816BB">
        <w:rPr>
          <w:rFonts w:ascii="Arial" w:hAnsi="Arial" w:cs="Arial"/>
          <w:color w:val="auto"/>
          <w:sz w:val="20"/>
          <w:szCs w:val="16"/>
          <w:lang w:val="en-GB"/>
        </w:rPr>
        <w:t xml:space="preserve"> | </w:t>
      </w:r>
      <w:hyperlink r:id="rId16" w:history="1">
        <w:r w:rsidR="006816BB">
          <w:rPr>
            <w:rStyle w:val="Hyperlink"/>
            <w:rFonts w:ascii="Arial" w:hAnsi="Arial" w:cs="Arial"/>
            <w:color w:val="auto"/>
            <w:sz w:val="20"/>
            <w:szCs w:val="16"/>
            <w:lang w:val="en-GB"/>
          </w:rPr>
          <w:t>YouTube</w:t>
        </w:r>
      </w:hyperlink>
    </w:p>
    <w:p w14:paraId="35002E85" w14:textId="77777777" w:rsidR="00AD6F23" w:rsidRDefault="00AD6F23">
      <w:pPr>
        <w:rPr>
          <w:rFonts w:eastAsiaTheme="minorEastAsia"/>
          <w:b/>
          <w:color w:val="E40428"/>
          <w:lang w:val="en-GB"/>
        </w:rPr>
      </w:pPr>
    </w:p>
    <w:p w14:paraId="63058725" w14:textId="77777777" w:rsidR="00AD6F23" w:rsidRDefault="00AD6F23">
      <w:pPr>
        <w:rPr>
          <w:rFonts w:eastAsiaTheme="minorEastAsia"/>
          <w:b/>
          <w:color w:val="E40428"/>
          <w:lang w:val="en-GB"/>
        </w:rPr>
      </w:pPr>
    </w:p>
    <w:sectPr w:rsidR="00AD6F23">
      <w:headerReference w:type="default" r:id="rId17"/>
      <w:footerReference w:type="default" r:id="rId18"/>
      <w:headerReference w:type="first" r:id="rId19"/>
      <w:footerReference w:type="first" r:id="rId20"/>
      <w:type w:val="continuous"/>
      <w:pgSz w:w="11906" w:h="16838" w:code="9"/>
      <w:pgMar w:top="2722" w:right="1247" w:bottom="1134" w:left="1247" w:header="1247" w:footer="567" w:gutter="0"/>
      <w:cols w:space="453"/>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BFCF6" w14:textId="77777777" w:rsidR="00AD6F23" w:rsidRDefault="006816BB">
      <w:r>
        <w:separator/>
      </w:r>
    </w:p>
  </w:endnote>
  <w:endnote w:type="continuationSeparator" w:id="0">
    <w:p w14:paraId="0F60B670" w14:textId="77777777" w:rsidR="00AD6F23" w:rsidRDefault="00681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1)">
    <w:altName w:val="Arial"/>
    <w:charset w:val="00"/>
    <w:family w:val="swiss"/>
    <w:pitch w:val="variable"/>
    <w:sig w:usb0="20007A87" w:usb1="80000000" w:usb2="00000008"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8278D" w14:textId="77777777" w:rsidR="00AD6F23" w:rsidRDefault="006816BB">
    <w:pPr>
      <w:pStyle w:val="Fuzeile"/>
      <w:pBdr>
        <w:top w:val="single" w:sz="4" w:space="1" w:color="auto"/>
      </w:pBdr>
      <w:tabs>
        <w:tab w:val="clear" w:pos="4536"/>
        <w:tab w:val="clear" w:pos="9072"/>
        <w:tab w:val="left" w:pos="0"/>
        <w:tab w:val="center" w:pos="4820"/>
        <w:tab w:val="right" w:pos="14601"/>
      </w:tabs>
      <w:ind w:right="-2"/>
      <w:jc w:val="center"/>
      <w:rPr>
        <w:rFonts w:cs="Arial"/>
        <w:sz w:val="16"/>
        <w:szCs w:val="16"/>
      </w:rPr>
    </w:pPr>
    <w:r>
      <w:rPr>
        <w:rFonts w:cs="Arial"/>
        <w:sz w:val="16"/>
        <w:szCs w:val="16"/>
      </w:rPr>
      <w:tab/>
      <w:t xml:space="preserve">Seite </w:t>
    </w:r>
    <w:r>
      <w:rPr>
        <w:rStyle w:val="Seitenzahl"/>
        <w:rFonts w:cs="Arial"/>
        <w:sz w:val="16"/>
        <w:szCs w:val="16"/>
      </w:rPr>
      <w:fldChar w:fldCharType="begin"/>
    </w:r>
    <w:r>
      <w:rPr>
        <w:rStyle w:val="Seitenzahl"/>
        <w:rFonts w:cs="Arial"/>
        <w:sz w:val="16"/>
        <w:szCs w:val="16"/>
      </w:rPr>
      <w:instrText xml:space="preserve"> PAGE </w:instrText>
    </w:r>
    <w:r>
      <w:rPr>
        <w:rStyle w:val="Seitenzahl"/>
        <w:rFonts w:cs="Arial"/>
        <w:sz w:val="16"/>
        <w:szCs w:val="16"/>
      </w:rPr>
      <w:fldChar w:fldCharType="separate"/>
    </w:r>
    <w:r>
      <w:rPr>
        <w:rStyle w:val="Seitenzahl"/>
        <w:rFonts w:cs="Arial"/>
        <w:noProof/>
        <w:sz w:val="16"/>
        <w:szCs w:val="16"/>
      </w:rPr>
      <w:t>2</w:t>
    </w:r>
    <w:r>
      <w:rPr>
        <w:rStyle w:val="Seitenzahl"/>
        <w:rFonts w:cs="Arial"/>
        <w:sz w:val="16"/>
        <w:szCs w:val="16"/>
      </w:rPr>
      <w:fldChar w:fldCharType="end"/>
    </w:r>
    <w:r>
      <w:rPr>
        <w:rFonts w:cs="Arial"/>
        <w:sz w:val="16"/>
        <w:szCs w:val="16"/>
      </w:rPr>
      <w:t xml:space="preserve"> von </w:t>
    </w:r>
    <w:r>
      <w:rPr>
        <w:rStyle w:val="Seitenzahl"/>
        <w:rFonts w:cs="Arial"/>
        <w:sz w:val="16"/>
        <w:szCs w:val="16"/>
      </w:rPr>
      <w:fldChar w:fldCharType="begin"/>
    </w:r>
    <w:r>
      <w:rPr>
        <w:rStyle w:val="Seitenzahl"/>
        <w:rFonts w:cs="Arial"/>
        <w:sz w:val="16"/>
        <w:szCs w:val="16"/>
      </w:rPr>
      <w:instrText xml:space="preserve"> NUMPAGES </w:instrText>
    </w:r>
    <w:r>
      <w:rPr>
        <w:rStyle w:val="Seitenzahl"/>
        <w:rFonts w:cs="Arial"/>
        <w:sz w:val="16"/>
        <w:szCs w:val="16"/>
      </w:rPr>
      <w:fldChar w:fldCharType="separate"/>
    </w:r>
    <w:r>
      <w:rPr>
        <w:rStyle w:val="Seitenzahl"/>
        <w:rFonts w:cs="Arial"/>
        <w:noProof/>
        <w:sz w:val="16"/>
        <w:szCs w:val="16"/>
      </w:rPr>
      <w:t>3</w:t>
    </w:r>
    <w:r>
      <w:rPr>
        <w:rStyle w:val="Seitenzahl"/>
        <w:rFonts w:cs="Arial"/>
        <w:sz w:val="16"/>
        <w:szCs w:val="16"/>
      </w:rPr>
      <w:fldChar w:fldCharType="end"/>
    </w:r>
    <w:r>
      <w:rPr>
        <w:rFonts w:cs="Arial"/>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BC1CB" w14:textId="77777777" w:rsidR="00AD6F23" w:rsidRDefault="006816BB">
    <w:pPr>
      <w:pStyle w:val="Fuzeile"/>
      <w:pBdr>
        <w:top w:val="single" w:sz="4" w:space="1" w:color="auto"/>
      </w:pBdr>
      <w:tabs>
        <w:tab w:val="clear" w:pos="4536"/>
        <w:tab w:val="clear" w:pos="9072"/>
        <w:tab w:val="left" w:pos="0"/>
        <w:tab w:val="center" w:pos="4820"/>
        <w:tab w:val="right" w:pos="14601"/>
      </w:tabs>
      <w:ind w:right="-2"/>
      <w:jc w:val="center"/>
      <w:rPr>
        <w:rFonts w:cs="Arial"/>
        <w:sz w:val="16"/>
        <w:szCs w:val="16"/>
      </w:rPr>
    </w:pPr>
    <w:r>
      <w:rPr>
        <w:rFonts w:cs="Arial"/>
        <w:sz w:val="16"/>
        <w:szCs w:val="16"/>
      </w:rPr>
      <w:tab/>
      <w:t xml:space="preserve">Seite </w:t>
    </w:r>
    <w:r>
      <w:rPr>
        <w:rStyle w:val="Seitenzahl"/>
        <w:rFonts w:cs="Arial"/>
        <w:sz w:val="16"/>
        <w:szCs w:val="16"/>
      </w:rPr>
      <w:fldChar w:fldCharType="begin"/>
    </w:r>
    <w:r>
      <w:rPr>
        <w:rStyle w:val="Seitenzahl"/>
        <w:rFonts w:cs="Arial"/>
        <w:sz w:val="16"/>
        <w:szCs w:val="16"/>
      </w:rPr>
      <w:instrText xml:space="preserve"> PAGE </w:instrText>
    </w:r>
    <w:r>
      <w:rPr>
        <w:rStyle w:val="Seitenzahl"/>
        <w:rFonts w:cs="Arial"/>
        <w:sz w:val="16"/>
        <w:szCs w:val="16"/>
      </w:rPr>
      <w:fldChar w:fldCharType="separate"/>
    </w:r>
    <w:r>
      <w:rPr>
        <w:rStyle w:val="Seitenzahl"/>
        <w:rFonts w:cs="Arial"/>
        <w:noProof/>
        <w:sz w:val="16"/>
        <w:szCs w:val="16"/>
      </w:rPr>
      <w:t>1</w:t>
    </w:r>
    <w:r>
      <w:rPr>
        <w:rStyle w:val="Seitenzahl"/>
        <w:rFonts w:cs="Arial"/>
        <w:sz w:val="16"/>
        <w:szCs w:val="16"/>
      </w:rPr>
      <w:fldChar w:fldCharType="end"/>
    </w:r>
    <w:r>
      <w:rPr>
        <w:rFonts w:cs="Arial"/>
        <w:sz w:val="16"/>
        <w:szCs w:val="16"/>
      </w:rPr>
      <w:t xml:space="preserve"> von </w:t>
    </w:r>
    <w:r>
      <w:rPr>
        <w:rStyle w:val="Seitenzahl"/>
        <w:rFonts w:cs="Arial"/>
        <w:sz w:val="16"/>
        <w:szCs w:val="16"/>
      </w:rPr>
      <w:fldChar w:fldCharType="begin"/>
    </w:r>
    <w:r>
      <w:rPr>
        <w:rStyle w:val="Seitenzahl"/>
        <w:rFonts w:cs="Arial"/>
        <w:sz w:val="16"/>
        <w:szCs w:val="16"/>
      </w:rPr>
      <w:instrText xml:space="preserve"> NUMPAGES </w:instrText>
    </w:r>
    <w:r>
      <w:rPr>
        <w:rStyle w:val="Seitenzahl"/>
        <w:rFonts w:cs="Arial"/>
        <w:sz w:val="16"/>
        <w:szCs w:val="16"/>
      </w:rPr>
      <w:fldChar w:fldCharType="separate"/>
    </w:r>
    <w:r>
      <w:rPr>
        <w:rStyle w:val="Seitenzahl"/>
        <w:rFonts w:cs="Arial"/>
        <w:noProof/>
        <w:sz w:val="16"/>
        <w:szCs w:val="16"/>
      </w:rPr>
      <w:t>3</w:t>
    </w:r>
    <w:r>
      <w:rPr>
        <w:rStyle w:val="Seitenzahl"/>
        <w:rFonts w:cs="Arial"/>
        <w:sz w:val="16"/>
        <w:szCs w:val="16"/>
      </w:rPr>
      <w:fldChar w:fldCharType="end"/>
    </w:r>
    <w:r>
      <w:rPr>
        <w:rFonts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1CC8E" w14:textId="77777777" w:rsidR="00AD6F23" w:rsidRDefault="006816BB">
      <w:r>
        <w:separator/>
      </w:r>
    </w:p>
  </w:footnote>
  <w:footnote w:type="continuationSeparator" w:id="0">
    <w:p w14:paraId="79B0E385" w14:textId="77777777" w:rsidR="00AD6F23" w:rsidRDefault="006816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F691D" w14:textId="77777777" w:rsidR="00AD6F23" w:rsidRDefault="006816BB">
    <w:pPr>
      <w:pStyle w:val="Kopfzeile"/>
    </w:pPr>
    <w:r>
      <w:rPr>
        <w:b/>
        <w:bCs/>
        <w:noProof/>
        <w:color w:val="ED1B34"/>
        <w:sz w:val="40"/>
        <w:szCs w:val="40"/>
      </w:rPr>
      <w:drawing>
        <wp:anchor distT="0" distB="0" distL="114300" distR="114300" simplePos="0" relativeHeight="251659264" behindDoc="0" locked="0" layoutInCell="1" allowOverlap="1" wp14:anchorId="7D8D4310" wp14:editId="2F52AFE7">
          <wp:simplePos x="0" y="0"/>
          <wp:positionH relativeFrom="margin">
            <wp:align>left</wp:align>
          </wp:positionH>
          <wp:positionV relativeFrom="page">
            <wp:posOffset>791845</wp:posOffset>
          </wp:positionV>
          <wp:extent cx="1922400" cy="288000"/>
          <wp:effectExtent l="0" t="0" r="1905" b="0"/>
          <wp:wrapNone/>
          <wp:docPr id="168" name="Grafik 168" descr="C:\temp\notes534BC8\Lindner_Logo_R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notes534BC8\Lindner_Logo_Rot.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22400" cy="28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E48AF" w14:textId="77777777" w:rsidR="00AD6F23" w:rsidRDefault="006816BB">
    <w:pPr>
      <w:tabs>
        <w:tab w:val="left" w:pos="6663"/>
      </w:tabs>
      <w:ind w:left="6237"/>
      <w:jc w:val="right"/>
      <w:rPr>
        <w:b/>
        <w:color w:val="E40428"/>
        <w:sz w:val="18"/>
      </w:rPr>
    </w:pPr>
    <w:r>
      <w:rPr>
        <w:b/>
        <w:bCs/>
        <w:noProof/>
        <w:color w:val="E40428"/>
        <w:sz w:val="32"/>
        <w:szCs w:val="40"/>
      </w:rPr>
      <w:drawing>
        <wp:anchor distT="0" distB="0" distL="114300" distR="114300" simplePos="0" relativeHeight="251661312" behindDoc="0" locked="0" layoutInCell="1" allowOverlap="1" wp14:anchorId="12330AC3" wp14:editId="4B308626">
          <wp:simplePos x="0" y="0"/>
          <wp:positionH relativeFrom="column">
            <wp:posOffset>0</wp:posOffset>
          </wp:positionH>
          <wp:positionV relativeFrom="page">
            <wp:posOffset>791845</wp:posOffset>
          </wp:positionV>
          <wp:extent cx="1922400" cy="288000"/>
          <wp:effectExtent l="0" t="0" r="1905" b="0"/>
          <wp:wrapNone/>
          <wp:docPr id="169" name="Grafik 169" descr="C:\temp\notes534BC8\Lindner_Logo_R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notes534BC8\Lindner_Logo_Rot.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22400" cy="288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E40428"/>
        <w:sz w:val="18"/>
      </w:rPr>
      <w:t>Lindner Group</w:t>
    </w:r>
  </w:p>
  <w:p w14:paraId="3A87FA9B" w14:textId="77777777" w:rsidR="00AD6F23" w:rsidRDefault="006816BB">
    <w:pPr>
      <w:tabs>
        <w:tab w:val="left" w:pos="6663"/>
      </w:tabs>
      <w:ind w:left="6237"/>
      <w:jc w:val="right"/>
      <w:rPr>
        <w:sz w:val="18"/>
      </w:rPr>
    </w:pPr>
    <w:r>
      <w:rPr>
        <w:sz w:val="18"/>
      </w:rPr>
      <w:t>Bahnhofstraße 29, 94424 Arnstorf</w:t>
    </w:r>
  </w:p>
  <w:p w14:paraId="0DA5D72A" w14:textId="77777777" w:rsidR="00AD6F23" w:rsidRDefault="006816BB">
    <w:pPr>
      <w:tabs>
        <w:tab w:val="left" w:pos="6663"/>
      </w:tabs>
      <w:ind w:left="6237"/>
      <w:jc w:val="right"/>
      <w:rPr>
        <w:sz w:val="18"/>
      </w:rPr>
    </w:pPr>
    <w:r>
      <w:rPr>
        <w:sz w:val="18"/>
      </w:rPr>
      <w:t>Telefon +49 8723 20-3148</w:t>
    </w:r>
  </w:p>
  <w:p w14:paraId="2E3C2B58" w14:textId="2CD10F4F" w:rsidR="00AD6F23" w:rsidRDefault="006816BB">
    <w:pPr>
      <w:tabs>
        <w:tab w:val="left" w:pos="6663"/>
      </w:tabs>
      <w:ind w:left="6237"/>
      <w:jc w:val="right"/>
      <w:rPr>
        <w:sz w:val="18"/>
      </w:rPr>
    </w:pPr>
    <w:r>
      <w:rPr>
        <w:rStyle w:val="Hyperlink"/>
        <w:color w:val="auto"/>
        <w:sz w:val="18"/>
        <w:u w:val="none"/>
      </w:rPr>
      <w:t>press@Lindner-Group.com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52CE8"/>
    <w:multiLevelType w:val="multilevel"/>
    <w:tmpl w:val="70FE56EE"/>
    <w:lvl w:ilvl="0">
      <w:start w:val="1"/>
      <w:numFmt w:val="decimal"/>
      <w:lvlText w:val="%1."/>
      <w:lvlJc w:val="left"/>
      <w:pPr>
        <w:ind w:left="720" w:hanging="360"/>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1.%2."/>
      <w:lvlJc w:val="left"/>
      <w:pPr>
        <w:ind w:left="1440" w:hanging="360"/>
      </w:pPr>
      <w:rPr>
        <w:rFonts w:hint="default"/>
      </w:rPr>
    </w:lvl>
    <w:lvl w:ilvl="2">
      <w:start w:val="1"/>
      <w:numFmt w:val="decimal"/>
      <w:lvlText w:val="%1.%2.%3"/>
      <w:lvlJc w:val="right"/>
      <w:pPr>
        <w:ind w:left="2160" w:hanging="180"/>
      </w:pPr>
      <w:rPr>
        <w:rFonts w:hint="default"/>
      </w:rPr>
    </w:lvl>
    <w:lvl w:ilvl="3">
      <w:start w:val="1"/>
      <w:numFmt w:val="decimal"/>
      <w:lvlText w:val="%1.%2.%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F5B392E"/>
    <w:multiLevelType w:val="multilevel"/>
    <w:tmpl w:val="577CA02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31B22CA1"/>
    <w:multiLevelType w:val="hybridMultilevel"/>
    <w:tmpl w:val="3984CAA0"/>
    <w:lvl w:ilvl="0" w:tplc="24B232D2">
      <w:start w:val="1"/>
      <w:numFmt w:val="bullet"/>
      <w:lvlText w:val=""/>
      <w:lvlJc w:val="left"/>
      <w:pPr>
        <w:tabs>
          <w:tab w:val="num" w:pos="360"/>
        </w:tabs>
        <w:ind w:left="170" w:hanging="170"/>
      </w:pPr>
      <w:rPr>
        <w:rFonts w:ascii="Symbol" w:hAnsi="Symbol" w:cs="Times New Roman" w:hint="default"/>
      </w:rPr>
    </w:lvl>
    <w:lvl w:ilvl="1" w:tplc="0407000F">
      <w:start w:val="1"/>
      <w:numFmt w:val="decimal"/>
      <w:lvlText w:val="%2."/>
      <w:lvlJc w:val="left"/>
      <w:pPr>
        <w:tabs>
          <w:tab w:val="num" w:pos="1440"/>
        </w:tabs>
        <w:ind w:left="1440" w:hanging="360"/>
      </w:p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E60EF2"/>
    <w:multiLevelType w:val="multilevel"/>
    <w:tmpl w:val="5BE83D78"/>
    <w:lvl w:ilvl="0">
      <w:start w:val="1"/>
      <w:numFmt w:val="decimal"/>
      <w:pStyle w:val="berschrift1"/>
      <w:lvlText w:val="%1"/>
      <w:lvlJc w:val="left"/>
      <w:pPr>
        <w:ind w:left="432" w:hanging="432"/>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4D493FFD"/>
    <w:multiLevelType w:val="multilevel"/>
    <w:tmpl w:val="E26AB4F4"/>
    <w:styleLink w:val="Formatvorlage1"/>
    <w:lvl w:ilvl="0">
      <w:start w:val="1"/>
      <w:numFmt w:val="decimal"/>
      <w:isLgl/>
      <w:lvlText w:val="%1.1"/>
      <w:lvlJc w:val="left"/>
      <w:pPr>
        <w:ind w:left="644"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724" w:hanging="360"/>
      </w:pPr>
      <w:rPr>
        <w:rFonts w:hint="default"/>
      </w:rPr>
    </w:lvl>
    <w:lvl w:ilvl="2">
      <w:start w:val="1"/>
      <w:numFmt w:val="lowerRoman"/>
      <w:lvlText w:val="%3."/>
      <w:lvlJc w:val="right"/>
      <w:pPr>
        <w:ind w:left="2444" w:hanging="1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5" w15:restartNumberingAfterBreak="0">
    <w:nsid w:val="4D8C4592"/>
    <w:multiLevelType w:val="hybridMultilevel"/>
    <w:tmpl w:val="D45EB336"/>
    <w:lvl w:ilvl="0" w:tplc="A372EA22">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4F86AA8"/>
    <w:multiLevelType w:val="multilevel"/>
    <w:tmpl w:val="0FEE5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105D9B"/>
    <w:multiLevelType w:val="hybridMultilevel"/>
    <w:tmpl w:val="9BC452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97380807">
    <w:abstractNumId w:val="0"/>
  </w:num>
  <w:num w:numId="2" w16cid:durableId="155147568">
    <w:abstractNumId w:val="4"/>
  </w:num>
  <w:num w:numId="3" w16cid:durableId="479883929">
    <w:abstractNumId w:val="2"/>
  </w:num>
  <w:num w:numId="4" w16cid:durableId="2061316808">
    <w:abstractNumId w:val="1"/>
  </w:num>
  <w:num w:numId="5" w16cid:durableId="14450050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2708582">
    <w:abstractNumId w:val="3"/>
  </w:num>
  <w:num w:numId="7" w16cid:durableId="221448537">
    <w:abstractNumId w:val="3"/>
  </w:num>
  <w:num w:numId="8" w16cid:durableId="2079279983">
    <w:abstractNumId w:val="5"/>
  </w:num>
  <w:num w:numId="9" w16cid:durableId="1546067457">
    <w:abstractNumId w:val="6"/>
  </w:num>
  <w:num w:numId="10" w16cid:durableId="16129424">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57"/>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F23"/>
    <w:rsid w:val="00070030"/>
    <w:rsid w:val="001265FD"/>
    <w:rsid w:val="00170AB8"/>
    <w:rsid w:val="002366A8"/>
    <w:rsid w:val="00236BFB"/>
    <w:rsid w:val="00242CFF"/>
    <w:rsid w:val="00345ACD"/>
    <w:rsid w:val="003709E2"/>
    <w:rsid w:val="00487116"/>
    <w:rsid w:val="004E2C28"/>
    <w:rsid w:val="0055078E"/>
    <w:rsid w:val="0057711C"/>
    <w:rsid w:val="005C4AE7"/>
    <w:rsid w:val="005E0EA3"/>
    <w:rsid w:val="006816BB"/>
    <w:rsid w:val="00950FD5"/>
    <w:rsid w:val="00986D9B"/>
    <w:rsid w:val="009A733D"/>
    <w:rsid w:val="00A010EF"/>
    <w:rsid w:val="00AD6F23"/>
    <w:rsid w:val="00BA6919"/>
    <w:rsid w:val="00D112E0"/>
    <w:rsid w:val="00E0410D"/>
    <w:rsid w:val="00F951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77A0165"/>
  <w15:chartTrackingRefBased/>
  <w15:docId w15:val="{C32C7E97-D157-4B40-9C29-80F13DCAE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caption" w:semiHidden="1" w:unhideWhenUsed="1" w:qFormat="1"/>
    <w:lsdException w:name="Hyperlink"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spacing w:line="276" w:lineRule="auto"/>
    </w:pPr>
    <w:rPr>
      <w:rFonts w:ascii="Arial" w:hAnsi="Arial"/>
      <w:sz w:val="22"/>
      <w:lang w:val="de-DE" w:eastAsia="de-DE"/>
    </w:rPr>
  </w:style>
  <w:style w:type="paragraph" w:styleId="berschrift1">
    <w:name w:val="heading 1"/>
    <w:basedOn w:val="Standard"/>
    <w:next w:val="Standard"/>
    <w:autoRedefine/>
    <w:qFormat/>
    <w:pPr>
      <w:keepNext/>
      <w:numPr>
        <w:numId w:val="6"/>
      </w:numPr>
      <w:spacing w:before="120" w:after="120"/>
      <w:ind w:right="-2"/>
      <w:outlineLvl w:val="0"/>
    </w:pPr>
    <w:rPr>
      <w:rFonts w:cs="Arial"/>
      <w:b/>
      <w:bCs/>
      <w:kern w:val="28"/>
      <w:sz w:val="28"/>
      <w:szCs w:val="28"/>
    </w:rPr>
  </w:style>
  <w:style w:type="paragraph" w:styleId="berschrift2">
    <w:name w:val="heading 2"/>
    <w:basedOn w:val="Standard"/>
    <w:next w:val="Standard"/>
    <w:link w:val="berschrift2Zchn"/>
    <w:autoRedefine/>
    <w:qFormat/>
    <w:pPr>
      <w:keepNext/>
      <w:numPr>
        <w:ilvl w:val="1"/>
        <w:numId w:val="6"/>
      </w:numPr>
      <w:spacing w:before="60" w:after="60"/>
      <w:outlineLvl w:val="1"/>
    </w:pPr>
    <w:rPr>
      <w:rFonts w:cs="Arial"/>
      <w:b/>
      <w:bCs/>
      <w:sz w:val="24"/>
      <w:szCs w:val="24"/>
    </w:rPr>
  </w:style>
  <w:style w:type="paragraph" w:styleId="berschrift3">
    <w:name w:val="heading 3"/>
    <w:basedOn w:val="Standard"/>
    <w:next w:val="Pro-Text-Einge"/>
    <w:qFormat/>
    <w:pPr>
      <w:keepNext/>
      <w:numPr>
        <w:ilvl w:val="2"/>
        <w:numId w:val="6"/>
      </w:numPr>
      <w:spacing w:before="120"/>
      <w:outlineLvl w:val="2"/>
    </w:pPr>
    <w:rPr>
      <w:rFonts w:cs="Arial"/>
      <w:b/>
      <w:iCs/>
      <w:sz w:val="24"/>
      <w:szCs w:val="24"/>
    </w:rPr>
  </w:style>
  <w:style w:type="paragraph" w:styleId="berschrift4">
    <w:name w:val="heading 4"/>
    <w:basedOn w:val="berschrift3"/>
    <w:next w:val="Standard"/>
    <w:autoRedefine/>
    <w:qFormat/>
    <w:pPr>
      <w:numPr>
        <w:ilvl w:val="3"/>
      </w:numPr>
      <w:outlineLvl w:val="3"/>
    </w:pPr>
    <w:rPr>
      <w:bCs/>
      <w:iCs w:val="0"/>
      <w:sz w:val="22"/>
      <w:szCs w:val="20"/>
    </w:rPr>
  </w:style>
  <w:style w:type="paragraph" w:styleId="berschrift5">
    <w:name w:val="heading 5"/>
    <w:basedOn w:val="Standard"/>
    <w:next w:val="Standard"/>
    <w:link w:val="berschrift5Zchn"/>
    <w:semiHidden/>
    <w:unhideWhenUsed/>
    <w:qFormat/>
    <w:pPr>
      <w:keepNext/>
      <w:keepLines/>
      <w:numPr>
        <w:ilvl w:val="4"/>
        <w:numId w:val="6"/>
      </w:numPr>
      <w:spacing w:before="4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semiHidden/>
    <w:unhideWhenUsed/>
    <w:qFormat/>
    <w:pPr>
      <w:keepNext/>
      <w:keepLines/>
      <w:numPr>
        <w:ilvl w:val="5"/>
        <w:numId w:val="6"/>
      </w:numPr>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semiHidden/>
    <w:unhideWhenUsed/>
    <w:qFormat/>
    <w:pPr>
      <w:keepNext/>
      <w:keepLines/>
      <w:numPr>
        <w:ilvl w:val="6"/>
        <w:numId w:val="6"/>
      </w:numPr>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semiHidden/>
    <w:unhideWhenUsed/>
    <w:qFormat/>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semiHidden/>
    <w:unhideWhenUsed/>
    <w:qFormat/>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table" w:customStyle="1" w:styleId="Tabellengitternetz">
    <w:name w:val="Tabellengitternetz"/>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Pr>
      <w:rFonts w:ascii="Tahoma" w:hAnsi="Tahoma" w:cs="Tahoma"/>
      <w:sz w:val="16"/>
      <w:szCs w:val="16"/>
    </w:rPr>
  </w:style>
  <w:style w:type="paragraph" w:customStyle="1" w:styleId="Pro-1-Sp1">
    <w:name w:val="Pro-1-Sp1"/>
    <w:basedOn w:val="Standard"/>
    <w:rPr>
      <w:rFonts w:ascii="Arial (W1)" w:hAnsi="Arial (W1)" w:cs="Arial"/>
      <w:b/>
      <w:szCs w:val="24"/>
    </w:rPr>
  </w:style>
  <w:style w:type="paragraph" w:customStyle="1" w:styleId="Pro-AblaufIcon">
    <w:name w:val="Pro-Ablauf_Icon"/>
    <w:basedOn w:val="Standard"/>
    <w:pPr>
      <w:jc w:val="center"/>
    </w:pPr>
    <w:rPr>
      <w:rFonts w:ascii="Arial (W1)" w:hAnsi="Arial (W1)" w:cs="Arial"/>
      <w:b/>
      <w:bCs/>
      <w:sz w:val="16"/>
      <w:szCs w:val="16"/>
    </w:rPr>
  </w:style>
  <w:style w:type="paragraph" w:customStyle="1" w:styleId="Pro-Aufz-Pkt">
    <w:name w:val="Pro-Aufz-Pkt"/>
    <w:basedOn w:val="Standard"/>
    <w:autoRedefine/>
    <w:pPr>
      <w:ind w:left="43"/>
    </w:pPr>
    <w:rPr>
      <w:rFonts w:ascii="Arial (W1)" w:hAnsi="Arial (W1)" w:cs="Arial"/>
      <w:szCs w:val="22"/>
    </w:rPr>
  </w:style>
  <w:style w:type="paragraph" w:customStyle="1" w:styleId="Pro-Text">
    <w:name w:val="Pro-Text"/>
    <w:basedOn w:val="Standard"/>
    <w:autoRedefine/>
    <w:pPr>
      <w:jc w:val="both"/>
    </w:pPr>
    <w:rPr>
      <w:rFonts w:ascii="Arial (W1)" w:hAnsi="Arial (W1)" w:cs="Arial"/>
      <w:szCs w:val="24"/>
    </w:rPr>
  </w:style>
  <w:style w:type="paragraph" w:customStyle="1" w:styleId="Pro-Text-Einge">
    <w:name w:val="Pro-Text-Einge"/>
    <w:basedOn w:val="Standard"/>
    <w:link w:val="Pro-Text-EingeZchn"/>
    <w:autoRedefine/>
    <w:rPr>
      <w:rFonts w:ascii="Arial (W1)" w:hAnsi="Arial (W1)"/>
      <w:b/>
      <w:sz w:val="24"/>
      <w:szCs w:val="22"/>
      <w:lang w:val="x-none" w:eastAsia="x-none"/>
    </w:rPr>
  </w:style>
  <w:style w:type="paragraph" w:customStyle="1" w:styleId="Pro-ber-Tab">
    <w:name w:val="Pro-Über-Tab"/>
    <w:basedOn w:val="Standard"/>
    <w:pPr>
      <w:jc w:val="center"/>
    </w:pPr>
    <w:rPr>
      <w:rFonts w:ascii="Arial (W1)" w:hAnsi="Arial (W1)" w:cs="Arial"/>
      <w:b/>
      <w:szCs w:val="24"/>
    </w:rPr>
  </w:style>
  <w:style w:type="paragraph" w:styleId="Verzeichnis1">
    <w:name w:val="toc 1"/>
    <w:aliases w:val="Pro-IV-1"/>
    <w:basedOn w:val="Standard"/>
    <w:next w:val="Standard"/>
    <w:autoRedefine/>
    <w:uiPriority w:val="39"/>
    <w:pPr>
      <w:tabs>
        <w:tab w:val="left" w:pos="851"/>
        <w:tab w:val="right" w:leader="dot" w:pos="10080"/>
      </w:tabs>
      <w:spacing w:line="360" w:lineRule="auto"/>
      <w:ind w:left="851" w:hanging="851"/>
    </w:pPr>
    <w:rPr>
      <w:rFonts w:ascii="Arial (W1)" w:hAnsi="Arial (W1)" w:cs="Arial"/>
      <w:b/>
      <w:szCs w:val="24"/>
    </w:rPr>
  </w:style>
  <w:style w:type="paragraph" w:styleId="Verzeichnis2">
    <w:name w:val="toc 2"/>
    <w:aliases w:val="Pro-IV-2"/>
    <w:basedOn w:val="Standard"/>
    <w:next w:val="Standard"/>
    <w:autoRedefine/>
    <w:uiPriority w:val="39"/>
    <w:pPr>
      <w:tabs>
        <w:tab w:val="right" w:leader="dot" w:pos="10080"/>
      </w:tabs>
      <w:spacing w:line="360" w:lineRule="auto"/>
      <w:ind w:left="851" w:hanging="567"/>
    </w:pPr>
    <w:rPr>
      <w:rFonts w:ascii="Arial (W1)" w:hAnsi="Arial (W1)" w:cs="Arial"/>
      <w:noProof/>
      <w:szCs w:val="24"/>
    </w:rPr>
  </w:style>
  <w:style w:type="paragraph" w:styleId="Verzeichnis3">
    <w:name w:val="toc 3"/>
    <w:aliases w:val="Pro-IV-3"/>
    <w:basedOn w:val="Standard"/>
    <w:next w:val="Standard"/>
    <w:autoRedefine/>
    <w:uiPriority w:val="39"/>
    <w:pPr>
      <w:tabs>
        <w:tab w:val="left" w:pos="1680"/>
        <w:tab w:val="right" w:leader="dot" w:pos="10080"/>
      </w:tabs>
      <w:spacing w:line="360" w:lineRule="auto"/>
      <w:ind w:left="964" w:hanging="113"/>
    </w:pPr>
    <w:rPr>
      <w:rFonts w:ascii="Arial (W1)" w:hAnsi="Arial (W1)" w:cs="Arial"/>
      <w:szCs w:val="24"/>
    </w:rPr>
  </w:style>
  <w:style w:type="paragraph" w:styleId="Verzeichnis4">
    <w:name w:val="toc 4"/>
    <w:aliases w:val="Pro-IV-4"/>
    <w:basedOn w:val="Standard"/>
    <w:next w:val="Standard"/>
    <w:autoRedefine/>
    <w:uiPriority w:val="39"/>
    <w:pPr>
      <w:tabs>
        <w:tab w:val="right" w:leader="dot" w:pos="10080"/>
      </w:tabs>
      <w:spacing w:line="360" w:lineRule="auto"/>
      <w:ind w:left="851"/>
    </w:pPr>
    <w:rPr>
      <w:rFonts w:ascii="Arial (W1)" w:hAnsi="Arial (W1)" w:cs="Arial"/>
      <w:noProof/>
      <w:szCs w:val="24"/>
    </w:rPr>
  </w:style>
  <w:style w:type="character" w:styleId="Hyperlink">
    <w:name w:val="Hyperlink"/>
    <w:uiPriority w:val="99"/>
    <w:rPr>
      <w:color w:val="0000FF"/>
      <w:u w:val="single"/>
    </w:rPr>
  </w:style>
  <w:style w:type="paragraph" w:customStyle="1" w:styleId="Pro-Abst-Zeich-Tab">
    <w:name w:val="Pro-Abst-Zeich-Tab"/>
    <w:basedOn w:val="Standard"/>
    <w:pPr>
      <w:jc w:val="center"/>
    </w:pPr>
    <w:rPr>
      <w:rFonts w:cs="Arial"/>
      <w:sz w:val="24"/>
      <w:szCs w:val="24"/>
    </w:rPr>
  </w:style>
  <w:style w:type="character" w:customStyle="1" w:styleId="Pro-Text-EingeZchn">
    <w:name w:val="Pro-Text-Einge Zchn"/>
    <w:link w:val="Pro-Text-Einge"/>
    <w:rPr>
      <w:rFonts w:ascii="Arial (W1)" w:hAnsi="Arial (W1)"/>
      <w:b/>
      <w:sz w:val="24"/>
      <w:szCs w:val="22"/>
      <w:lang w:val="x-none" w:eastAsia="x-none"/>
    </w:rPr>
  </w:style>
  <w:style w:type="character" w:styleId="Fett">
    <w:name w:val="Strong"/>
    <w:rPr>
      <w:rFonts w:ascii="Arial" w:hAnsi="Arial"/>
      <w:b/>
      <w:bCs/>
      <w:sz w:val="22"/>
    </w:rPr>
  </w:style>
  <w:style w:type="paragraph" w:styleId="Listenabsatz">
    <w:name w:val="List Paragraph"/>
    <w:basedOn w:val="Standard"/>
    <w:uiPriority w:val="34"/>
    <w:qFormat/>
    <w:pPr>
      <w:ind w:left="708"/>
    </w:pPr>
  </w:style>
  <w:style w:type="paragraph" w:styleId="Dokumentstruktur">
    <w:name w:val="Document Map"/>
    <w:basedOn w:val="Standard"/>
    <w:link w:val="DokumentstrukturZchn"/>
    <w:rPr>
      <w:rFonts w:ascii="Tahoma" w:hAnsi="Tahoma"/>
      <w:sz w:val="16"/>
      <w:szCs w:val="16"/>
      <w:lang w:val="x-none" w:eastAsia="x-none"/>
    </w:rPr>
  </w:style>
  <w:style w:type="character" w:customStyle="1" w:styleId="DokumentstrukturZchn">
    <w:name w:val="Dokumentstruktur Zchn"/>
    <w:link w:val="Dokumentstruktur"/>
    <w:rPr>
      <w:rFonts w:ascii="Tahoma" w:hAnsi="Tahoma" w:cs="Tahoma"/>
      <w:sz w:val="16"/>
      <w:szCs w:val="16"/>
    </w:rPr>
  </w:style>
  <w:style w:type="character" w:customStyle="1" w:styleId="KopfzeileZchn">
    <w:name w:val="Kopfzeile Zchn"/>
    <w:basedOn w:val="Absatz-Standardschriftart"/>
    <w:link w:val="Kopfzeile"/>
  </w:style>
  <w:style w:type="character" w:customStyle="1" w:styleId="berschrift2Zchn">
    <w:name w:val="Überschrift 2 Zchn"/>
    <w:link w:val="berschrift2"/>
    <w:rPr>
      <w:rFonts w:ascii="Arial" w:hAnsi="Arial" w:cs="Arial"/>
      <w:b/>
      <w:bCs/>
      <w:sz w:val="24"/>
      <w:szCs w:val="24"/>
      <w:lang w:val="de-DE" w:eastAsia="de-DE"/>
    </w:rPr>
  </w:style>
  <w:style w:type="numbering" w:customStyle="1" w:styleId="Formatvorlage1">
    <w:name w:val="Formatvorlage1"/>
    <w:uiPriority w:val="99"/>
    <w:pPr>
      <w:numPr>
        <w:numId w:val="2"/>
      </w:numPr>
    </w:p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basedOn w:val="Absatz-Standardschriftart"/>
    <w:rPr>
      <w:i/>
      <w:iCs/>
    </w:rPr>
  </w:style>
  <w:style w:type="character" w:customStyle="1" w:styleId="berschrift5Zchn">
    <w:name w:val="Überschrift 5 Zchn"/>
    <w:basedOn w:val="Absatz-Standardschriftart"/>
    <w:link w:val="berschrift5"/>
    <w:semiHidden/>
    <w:rPr>
      <w:rFonts w:asciiTheme="majorHAnsi" w:eastAsiaTheme="majorEastAsia" w:hAnsiTheme="majorHAnsi" w:cstheme="majorBidi"/>
      <w:color w:val="2E74B5" w:themeColor="accent1" w:themeShade="BF"/>
      <w:sz w:val="22"/>
      <w:lang w:val="de-DE" w:eastAsia="de-DE"/>
    </w:rPr>
  </w:style>
  <w:style w:type="character" w:customStyle="1" w:styleId="berschrift6Zchn">
    <w:name w:val="Überschrift 6 Zchn"/>
    <w:basedOn w:val="Absatz-Standardschriftart"/>
    <w:link w:val="berschrift6"/>
    <w:semiHidden/>
    <w:rPr>
      <w:rFonts w:asciiTheme="majorHAnsi" w:eastAsiaTheme="majorEastAsia" w:hAnsiTheme="majorHAnsi" w:cstheme="majorBidi"/>
      <w:color w:val="1F4D78" w:themeColor="accent1" w:themeShade="7F"/>
      <w:sz w:val="22"/>
      <w:lang w:val="de-DE" w:eastAsia="de-DE"/>
    </w:rPr>
  </w:style>
  <w:style w:type="character" w:customStyle="1" w:styleId="berschrift7Zchn">
    <w:name w:val="Überschrift 7 Zchn"/>
    <w:basedOn w:val="Absatz-Standardschriftart"/>
    <w:link w:val="berschrift7"/>
    <w:semiHidden/>
    <w:rPr>
      <w:rFonts w:asciiTheme="majorHAnsi" w:eastAsiaTheme="majorEastAsia" w:hAnsiTheme="majorHAnsi" w:cstheme="majorBidi"/>
      <w:i/>
      <w:iCs/>
      <w:color w:val="1F4D78" w:themeColor="accent1" w:themeShade="7F"/>
      <w:sz w:val="22"/>
      <w:lang w:val="de-DE" w:eastAsia="de-DE"/>
    </w:rPr>
  </w:style>
  <w:style w:type="character" w:customStyle="1" w:styleId="berschrift8Zchn">
    <w:name w:val="Überschrift 8 Zchn"/>
    <w:basedOn w:val="Absatz-Standardschriftart"/>
    <w:link w:val="berschrift8"/>
    <w:semiHidden/>
    <w:rPr>
      <w:rFonts w:asciiTheme="majorHAnsi" w:eastAsiaTheme="majorEastAsia" w:hAnsiTheme="majorHAnsi" w:cstheme="majorBidi"/>
      <w:color w:val="272727" w:themeColor="text1" w:themeTint="D8"/>
      <w:sz w:val="21"/>
      <w:szCs w:val="21"/>
      <w:lang w:val="de-DE" w:eastAsia="de-DE"/>
    </w:rPr>
  </w:style>
  <w:style w:type="character" w:customStyle="1" w:styleId="berschrift9Zchn">
    <w:name w:val="Überschrift 9 Zchn"/>
    <w:basedOn w:val="Absatz-Standardschriftart"/>
    <w:link w:val="berschrift9"/>
    <w:semiHidden/>
    <w:rPr>
      <w:rFonts w:asciiTheme="majorHAnsi" w:eastAsiaTheme="majorEastAsia" w:hAnsiTheme="majorHAnsi" w:cstheme="majorBidi"/>
      <w:i/>
      <w:iCs/>
      <w:color w:val="272727" w:themeColor="text1" w:themeTint="D8"/>
      <w:sz w:val="21"/>
      <w:szCs w:val="21"/>
      <w:lang w:val="de-DE" w:eastAsia="de-DE"/>
    </w:rPr>
  </w:style>
  <w:style w:type="paragraph" w:styleId="StandardWeb">
    <w:name w:val="Normal (Web)"/>
    <w:basedOn w:val="Standard"/>
    <w:uiPriority w:val="99"/>
    <w:unhideWhenUsed/>
    <w:pPr>
      <w:spacing w:before="100" w:beforeAutospacing="1" w:after="100" w:afterAutospacing="1"/>
    </w:pPr>
    <w:rPr>
      <w:rFonts w:ascii="Times New Roman" w:eastAsiaTheme="minorEastAsia" w:hAnsi="Times New Roman"/>
      <w:sz w:val="24"/>
      <w:szCs w:val="24"/>
    </w:rPr>
  </w:style>
  <w:style w:type="paragraph" w:customStyle="1" w:styleId="H1">
    <w:name w:val="H1"/>
    <w:basedOn w:val="Standard"/>
    <w:link w:val="H1Zchn"/>
    <w:qFormat/>
    <w:pPr>
      <w:kinsoku w:val="0"/>
      <w:overflowPunct w:val="0"/>
      <w:spacing w:line="240" w:lineRule="auto"/>
      <w:ind w:left="20"/>
    </w:pPr>
    <w:rPr>
      <w:b/>
      <w:bCs/>
      <w:color w:val="E40428"/>
      <w:sz w:val="40"/>
      <w:szCs w:val="40"/>
    </w:rPr>
  </w:style>
  <w:style w:type="character" w:customStyle="1" w:styleId="H1Zchn">
    <w:name w:val="H1 Zchn"/>
    <w:basedOn w:val="Absatz-Standardschriftart"/>
    <w:link w:val="H1"/>
    <w:rPr>
      <w:rFonts w:ascii="Arial" w:hAnsi="Arial"/>
      <w:b/>
      <w:bCs/>
      <w:color w:val="E40428"/>
      <w:sz w:val="40"/>
      <w:szCs w:val="40"/>
      <w:lang w:val="de-DE" w:eastAsia="de-DE"/>
    </w:rPr>
  </w:style>
  <w:style w:type="paragraph" w:customStyle="1" w:styleId="H2">
    <w:name w:val="H2"/>
    <w:basedOn w:val="berschrift1"/>
    <w:link w:val="H2Zchn"/>
    <w:qFormat/>
    <w:pPr>
      <w:keepNext w:val="0"/>
      <w:numPr>
        <w:numId w:val="0"/>
      </w:numPr>
      <w:kinsoku w:val="0"/>
      <w:overflowPunct w:val="0"/>
      <w:spacing w:before="0" w:after="0" w:line="240" w:lineRule="auto"/>
      <w:ind w:left="20" w:right="0"/>
    </w:pPr>
    <w:rPr>
      <w:rFonts w:cs="Times New Roman"/>
      <w:b w:val="0"/>
      <w:bCs w:val="0"/>
      <w:color w:val="231F20"/>
      <w:kern w:val="0"/>
    </w:rPr>
  </w:style>
  <w:style w:type="character" w:customStyle="1" w:styleId="H2Zchn">
    <w:name w:val="H2 Zchn"/>
    <w:basedOn w:val="Absatz-Standardschriftart"/>
    <w:link w:val="H2"/>
    <w:rPr>
      <w:rFonts w:ascii="Arial" w:hAnsi="Arial"/>
      <w:color w:val="231F20"/>
      <w:sz w:val="28"/>
      <w:szCs w:val="28"/>
      <w:lang w:val="de-DE" w:eastAsia="de-DE"/>
    </w:rPr>
  </w:style>
  <w:style w:type="paragraph" w:customStyle="1" w:styleId="EinfAbs">
    <w:name w:val="[Einf. Abs.]"/>
    <w:basedOn w:val="Standard"/>
    <w:uiPriority w:val="99"/>
    <w:pPr>
      <w:autoSpaceDE w:val="0"/>
      <w:autoSpaceDN w:val="0"/>
      <w:adjustRightInd w:val="0"/>
      <w:spacing w:line="288" w:lineRule="auto"/>
      <w:textAlignment w:val="center"/>
    </w:pPr>
    <w:rPr>
      <w:rFonts w:ascii="MinionPro-Regular" w:hAnsi="MinionPro-Regular" w:cs="MinionPro-Regular"/>
      <w:color w:val="000000"/>
      <w:sz w:val="24"/>
      <w:szCs w:val="24"/>
      <w:lang w:eastAsia="en-GB"/>
    </w:rPr>
  </w:style>
  <w:style w:type="character" w:styleId="NichtaufgelsteErwhnung">
    <w:name w:val="Unresolved Mention"/>
    <w:basedOn w:val="Absatz-Standardschriftart"/>
    <w:uiPriority w:val="99"/>
    <w:semiHidden/>
    <w:unhideWhenUsed/>
    <w:rsid w:val="00170A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362025">
      <w:bodyDiv w:val="1"/>
      <w:marLeft w:val="0"/>
      <w:marRight w:val="0"/>
      <w:marTop w:val="0"/>
      <w:marBottom w:val="0"/>
      <w:divBdr>
        <w:top w:val="none" w:sz="0" w:space="0" w:color="auto"/>
        <w:left w:val="none" w:sz="0" w:space="0" w:color="auto"/>
        <w:bottom w:val="none" w:sz="0" w:space="0" w:color="auto"/>
        <w:right w:val="none" w:sz="0" w:space="0" w:color="auto"/>
      </w:divBdr>
    </w:div>
    <w:div w:id="628822489">
      <w:bodyDiv w:val="1"/>
      <w:marLeft w:val="0"/>
      <w:marRight w:val="0"/>
      <w:marTop w:val="0"/>
      <w:marBottom w:val="0"/>
      <w:divBdr>
        <w:top w:val="none" w:sz="0" w:space="0" w:color="auto"/>
        <w:left w:val="none" w:sz="0" w:space="0" w:color="auto"/>
        <w:bottom w:val="none" w:sz="0" w:space="0" w:color="auto"/>
        <w:right w:val="none" w:sz="0" w:space="0" w:color="auto"/>
      </w:divBdr>
    </w:div>
    <w:div w:id="832112929">
      <w:bodyDiv w:val="1"/>
      <w:marLeft w:val="0"/>
      <w:marRight w:val="0"/>
      <w:marTop w:val="0"/>
      <w:marBottom w:val="0"/>
      <w:divBdr>
        <w:top w:val="none" w:sz="0" w:space="0" w:color="auto"/>
        <w:left w:val="none" w:sz="0" w:space="0" w:color="auto"/>
        <w:bottom w:val="none" w:sz="0" w:space="0" w:color="auto"/>
        <w:right w:val="none" w:sz="0" w:space="0" w:color="auto"/>
      </w:divBdr>
    </w:div>
    <w:div w:id="131217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OrganizeInFolder/>
</w:webSettings>
</file>

<file path=word/_rels/document.xml.rels><?xml version="1.0" encoding="UTF-8" standalone="yes"?>
<Relationships xmlns="http://schemas.openxmlformats.org/package/2006/relationships"><Relationship Id="rId8" Type="http://schemas.openxmlformats.org/officeDocument/2006/relationships/hyperlink" Target="http://www.tga-boxenstopp.de" TargetMode="External"/><Relationship Id="rId13" Type="http://schemas.openxmlformats.org/officeDocument/2006/relationships/hyperlink" Target="http://www.instagram.com/lindner_group"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linkedin.com/company/lindner-group"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youtube.com/user/LindnerGroup"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ndner-Group.com" TargetMode="External"/><Relationship Id="rId5" Type="http://schemas.openxmlformats.org/officeDocument/2006/relationships/webSettings" Target="webSettings.xml"/><Relationship Id="rId15" Type="http://schemas.openxmlformats.org/officeDocument/2006/relationships/hyperlink" Target="http://www.pinterest.de/lindnergroup" TargetMode="External"/><Relationship Id="rId10" Type="http://schemas.openxmlformats.org/officeDocument/2006/relationships/image" Target="media/image1.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lin.link/BoxenstoppFlyer" TargetMode="External"/><Relationship Id="rId14" Type="http://schemas.openxmlformats.org/officeDocument/2006/relationships/hyperlink" Target="https://www.facebook.com/LindnerGroup.Karrier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type="triangle" w="med" len="me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CF3663-2A9B-4280-AAE8-AF4D7419F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3103</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Lindner AG</Company>
  <LinksUpToDate>false</LinksUpToDate>
  <CharactersWithSpaces>3451</CharactersWithSpaces>
  <SharedDoc>false</SharedDoc>
  <HLinks>
    <vt:vector size="72" baseType="variant">
      <vt:variant>
        <vt:i4>1376317</vt:i4>
      </vt:variant>
      <vt:variant>
        <vt:i4>68</vt:i4>
      </vt:variant>
      <vt:variant>
        <vt:i4>0</vt:i4>
      </vt:variant>
      <vt:variant>
        <vt:i4>5</vt:i4>
      </vt:variant>
      <vt:variant>
        <vt:lpwstr/>
      </vt:variant>
      <vt:variant>
        <vt:lpwstr>_Toc381775884</vt:lpwstr>
      </vt:variant>
      <vt:variant>
        <vt:i4>1376317</vt:i4>
      </vt:variant>
      <vt:variant>
        <vt:i4>62</vt:i4>
      </vt:variant>
      <vt:variant>
        <vt:i4>0</vt:i4>
      </vt:variant>
      <vt:variant>
        <vt:i4>5</vt:i4>
      </vt:variant>
      <vt:variant>
        <vt:lpwstr/>
      </vt:variant>
      <vt:variant>
        <vt:lpwstr>_Toc381775883</vt:lpwstr>
      </vt:variant>
      <vt:variant>
        <vt:i4>1376317</vt:i4>
      </vt:variant>
      <vt:variant>
        <vt:i4>56</vt:i4>
      </vt:variant>
      <vt:variant>
        <vt:i4>0</vt:i4>
      </vt:variant>
      <vt:variant>
        <vt:i4>5</vt:i4>
      </vt:variant>
      <vt:variant>
        <vt:lpwstr/>
      </vt:variant>
      <vt:variant>
        <vt:lpwstr>_Toc381775882</vt:lpwstr>
      </vt:variant>
      <vt:variant>
        <vt:i4>1376317</vt:i4>
      </vt:variant>
      <vt:variant>
        <vt:i4>50</vt:i4>
      </vt:variant>
      <vt:variant>
        <vt:i4>0</vt:i4>
      </vt:variant>
      <vt:variant>
        <vt:i4>5</vt:i4>
      </vt:variant>
      <vt:variant>
        <vt:lpwstr/>
      </vt:variant>
      <vt:variant>
        <vt:lpwstr>_Toc381775881</vt:lpwstr>
      </vt:variant>
      <vt:variant>
        <vt:i4>1376317</vt:i4>
      </vt:variant>
      <vt:variant>
        <vt:i4>44</vt:i4>
      </vt:variant>
      <vt:variant>
        <vt:i4>0</vt:i4>
      </vt:variant>
      <vt:variant>
        <vt:i4>5</vt:i4>
      </vt:variant>
      <vt:variant>
        <vt:lpwstr/>
      </vt:variant>
      <vt:variant>
        <vt:lpwstr>_Toc381775880</vt:lpwstr>
      </vt:variant>
      <vt:variant>
        <vt:i4>1703997</vt:i4>
      </vt:variant>
      <vt:variant>
        <vt:i4>38</vt:i4>
      </vt:variant>
      <vt:variant>
        <vt:i4>0</vt:i4>
      </vt:variant>
      <vt:variant>
        <vt:i4>5</vt:i4>
      </vt:variant>
      <vt:variant>
        <vt:lpwstr/>
      </vt:variant>
      <vt:variant>
        <vt:lpwstr>_Toc381775879</vt:lpwstr>
      </vt:variant>
      <vt:variant>
        <vt:i4>1703997</vt:i4>
      </vt:variant>
      <vt:variant>
        <vt:i4>32</vt:i4>
      </vt:variant>
      <vt:variant>
        <vt:i4>0</vt:i4>
      </vt:variant>
      <vt:variant>
        <vt:i4>5</vt:i4>
      </vt:variant>
      <vt:variant>
        <vt:lpwstr/>
      </vt:variant>
      <vt:variant>
        <vt:lpwstr>_Toc381775878</vt:lpwstr>
      </vt:variant>
      <vt:variant>
        <vt:i4>1703997</vt:i4>
      </vt:variant>
      <vt:variant>
        <vt:i4>26</vt:i4>
      </vt:variant>
      <vt:variant>
        <vt:i4>0</vt:i4>
      </vt:variant>
      <vt:variant>
        <vt:i4>5</vt:i4>
      </vt:variant>
      <vt:variant>
        <vt:lpwstr/>
      </vt:variant>
      <vt:variant>
        <vt:lpwstr>_Toc381775877</vt:lpwstr>
      </vt:variant>
      <vt:variant>
        <vt:i4>1703997</vt:i4>
      </vt:variant>
      <vt:variant>
        <vt:i4>20</vt:i4>
      </vt:variant>
      <vt:variant>
        <vt:i4>0</vt:i4>
      </vt:variant>
      <vt:variant>
        <vt:i4>5</vt:i4>
      </vt:variant>
      <vt:variant>
        <vt:lpwstr/>
      </vt:variant>
      <vt:variant>
        <vt:lpwstr>_Toc381775876</vt:lpwstr>
      </vt:variant>
      <vt:variant>
        <vt:i4>1703997</vt:i4>
      </vt:variant>
      <vt:variant>
        <vt:i4>14</vt:i4>
      </vt:variant>
      <vt:variant>
        <vt:i4>0</vt:i4>
      </vt:variant>
      <vt:variant>
        <vt:i4>5</vt:i4>
      </vt:variant>
      <vt:variant>
        <vt:lpwstr/>
      </vt:variant>
      <vt:variant>
        <vt:lpwstr>_Toc381775875</vt:lpwstr>
      </vt:variant>
      <vt:variant>
        <vt:i4>1703997</vt:i4>
      </vt:variant>
      <vt:variant>
        <vt:i4>8</vt:i4>
      </vt:variant>
      <vt:variant>
        <vt:i4>0</vt:i4>
      </vt:variant>
      <vt:variant>
        <vt:i4>5</vt:i4>
      </vt:variant>
      <vt:variant>
        <vt:lpwstr/>
      </vt:variant>
      <vt:variant>
        <vt:lpwstr>_Toc381775874</vt:lpwstr>
      </vt:variant>
      <vt:variant>
        <vt:i4>1703997</vt:i4>
      </vt:variant>
      <vt:variant>
        <vt:i4>2</vt:i4>
      </vt:variant>
      <vt:variant>
        <vt:i4>0</vt:i4>
      </vt:variant>
      <vt:variant>
        <vt:i4>5</vt:i4>
      </vt:variant>
      <vt:variant>
        <vt:lpwstr/>
      </vt:variant>
      <vt:variant>
        <vt:lpwstr>_Toc381775873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Kos</dc:creator>
  <cp:keywords/>
  <cp:lastModifiedBy>Christina Rieger</cp:lastModifiedBy>
  <cp:revision>5</cp:revision>
  <cp:lastPrinted>2013-12-13T13:26:00Z</cp:lastPrinted>
  <dcterms:created xsi:type="dcterms:W3CDTF">2026-08-24T14:32:00Z</dcterms:created>
  <dcterms:modified xsi:type="dcterms:W3CDTF">2026-08-27T07:57:00Z</dcterms:modified>
</cp:coreProperties>
</file>