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EE728" w14:textId="6FA5741B" w:rsidR="00CA79D7" w:rsidRPr="0037108D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5179D5">
        <w:rPr>
          <w:rFonts w:ascii="Source Sans Pro" w:hAnsi="Source Sans Pro" w:cs="Source Sans Pro"/>
          <w:caps/>
          <w:color w:val="0086A8"/>
          <w:sz w:val="22"/>
          <w:szCs w:val="22"/>
        </w:rPr>
        <w:t>1-</w:t>
      </w:r>
      <w:r w:rsidR="00EF4420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1550FE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740EB7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  <w:r w:rsidR="00CA79D7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53FB3D5B" w:rsidR="00CA79D7" w:rsidRPr="00387EEF" w:rsidRDefault="00421BFA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Zurückhaltung prägt erste Jahreshälfte</w:t>
      </w:r>
    </w:p>
    <w:p w14:paraId="743073FD" w14:textId="77777777" w:rsidR="003152C9" w:rsidRPr="00387EEF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78FA4AAD" w:rsidR="00CA79D7" w:rsidRPr="00CA79D7" w:rsidRDefault="005B52B7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2B738CB5" wp14:editId="2DC605F2">
            <wp:extent cx="3657800" cy="2116844"/>
            <wp:effectExtent l="19050" t="19050" r="19050" b="17145"/>
            <wp:docPr id="10456971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9716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00" cy="21168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249D1D2F" w14:textId="244F2186" w:rsidR="003366E6" w:rsidRPr="00CF49FA" w:rsidRDefault="005179D5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1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EF4420">
        <w:rPr>
          <w:rFonts w:ascii="Source Sans Pro" w:hAnsi="Source Sans Pro" w:cs="Source Sans Pro"/>
          <w:color w:val="0087A8"/>
          <w:sz w:val="22"/>
          <w:szCs w:val="22"/>
        </w:rPr>
        <w:t>Juli</w:t>
      </w:r>
      <w:r w:rsidR="00591D42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 w:rsidR="00740EB7">
        <w:rPr>
          <w:rFonts w:ascii="Source Sans Pro" w:hAnsi="Source Sans Pro" w:cs="Source Sans Pro"/>
          <w:color w:val="0087A8"/>
          <w:sz w:val="22"/>
          <w:szCs w:val="22"/>
        </w:rPr>
        <w:t>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B7165E">
        <w:rPr>
          <w:rFonts w:ascii="Source Sans Pro" w:hAnsi="Source Sans Pro" w:cs="Source Sans Pro"/>
          <w:color w:val="0087A8"/>
          <w:sz w:val="22"/>
          <w:szCs w:val="22"/>
        </w:rPr>
        <w:t xml:space="preserve"> </w:t>
      </w:r>
      <w:r w:rsidR="00A53AF4" w:rsidRPr="00A53AF4">
        <w:rPr>
          <w:rFonts w:ascii="Source Sans Pro" w:hAnsi="Source Sans Pro" w:cs="Arial"/>
          <w:bCs/>
          <w:color w:val="auto"/>
          <w:sz w:val="22"/>
          <w:szCs w:val="22"/>
        </w:rPr>
        <w:t>D</w:t>
      </w:r>
      <w:r w:rsidR="00FE4632">
        <w:rPr>
          <w:rFonts w:ascii="Source Sans Pro" w:hAnsi="Source Sans Pro" w:cs="Arial"/>
          <w:bCs/>
          <w:color w:val="auto"/>
          <w:sz w:val="22"/>
          <w:szCs w:val="22"/>
        </w:rPr>
        <w:t xml:space="preserve">er Flächenumsatz an den Top-7-Bürovermietungsmärkten </w:t>
      </w:r>
      <w:r w:rsidR="00A53AF4">
        <w:rPr>
          <w:rFonts w:ascii="Source Sans Pro" w:hAnsi="Source Sans Pro" w:cs="Arial"/>
          <w:bCs/>
          <w:color w:val="auto"/>
          <w:sz w:val="22"/>
          <w:szCs w:val="22"/>
        </w:rPr>
        <w:t>belief sich i</w:t>
      </w:r>
      <w:r w:rsidR="00A53AF4" w:rsidRPr="00FE4632">
        <w:rPr>
          <w:rFonts w:ascii="Source Sans Pro" w:hAnsi="Source Sans Pro" w:cs="Arial"/>
          <w:bCs/>
          <w:color w:val="auto"/>
          <w:sz w:val="22"/>
          <w:szCs w:val="22"/>
        </w:rPr>
        <w:t xml:space="preserve">m 1. Halbjahr 2024 </w:t>
      </w:r>
      <w:r w:rsidR="00FE4632">
        <w:rPr>
          <w:rFonts w:ascii="Source Sans Pro" w:hAnsi="Source Sans Pro" w:cs="Arial"/>
          <w:bCs/>
          <w:color w:val="auto"/>
          <w:sz w:val="22"/>
          <w:szCs w:val="22"/>
        </w:rPr>
        <w:t xml:space="preserve">auf rund </w:t>
      </w:r>
      <w:r w:rsidR="00FE4632" w:rsidRPr="00FE4632">
        <w:rPr>
          <w:rFonts w:ascii="Source Sans Pro" w:hAnsi="Source Sans Pro" w:cs="Arial"/>
          <w:bCs/>
          <w:color w:val="auto"/>
          <w:sz w:val="22"/>
          <w:szCs w:val="22"/>
        </w:rPr>
        <w:t>1,2 Mio. m²</w:t>
      </w:r>
      <w:r w:rsidR="00FE4632">
        <w:rPr>
          <w:rFonts w:ascii="Source Sans Pro" w:hAnsi="Source Sans Pro" w:cs="Arial"/>
          <w:bCs/>
          <w:color w:val="auto"/>
          <w:sz w:val="22"/>
          <w:szCs w:val="22"/>
        </w:rPr>
        <w:t>. Dieses Ergebnis liegt etwa 1</w:t>
      </w:r>
      <w:r w:rsidR="00ED5E59">
        <w:rPr>
          <w:rFonts w:ascii="Source Sans Pro" w:hAnsi="Source Sans Pro" w:cs="Arial"/>
          <w:bCs/>
          <w:color w:val="auto"/>
          <w:sz w:val="22"/>
          <w:szCs w:val="22"/>
        </w:rPr>
        <w:t>1</w:t>
      </w:r>
      <w:r w:rsidR="00FE4632">
        <w:rPr>
          <w:rFonts w:ascii="Source Sans Pro" w:hAnsi="Source Sans Pro" w:cs="Arial"/>
          <w:bCs/>
          <w:color w:val="auto"/>
          <w:sz w:val="22"/>
          <w:szCs w:val="22"/>
        </w:rPr>
        <w:t xml:space="preserve"> % über dem ebenfalls niedrigen Vorjahres</w:t>
      </w:r>
      <w:r w:rsidR="00CF49FA">
        <w:rPr>
          <w:rFonts w:ascii="Source Sans Pro" w:hAnsi="Source Sans Pro" w:cs="Arial"/>
          <w:bCs/>
          <w:color w:val="auto"/>
          <w:sz w:val="22"/>
          <w:szCs w:val="22"/>
        </w:rPr>
        <w:t>wert</w:t>
      </w:r>
      <w:r w:rsidR="007B27FB">
        <w:rPr>
          <w:rFonts w:ascii="Source Sans Pro" w:hAnsi="Source Sans Pro" w:cs="Arial"/>
          <w:bCs/>
          <w:color w:val="auto"/>
          <w:sz w:val="22"/>
          <w:szCs w:val="22"/>
        </w:rPr>
        <w:t>.</w:t>
      </w:r>
      <w:r w:rsidR="00A53AF4">
        <w:rPr>
          <w:rFonts w:ascii="Source Sans Pro" w:hAnsi="Source Sans Pro" w:cs="Arial"/>
          <w:bCs/>
          <w:color w:val="auto"/>
          <w:sz w:val="22"/>
          <w:szCs w:val="22"/>
        </w:rPr>
        <w:t xml:space="preserve"> </w:t>
      </w:r>
      <w:r w:rsidR="00740EB7" w:rsidRPr="00296D61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A53AF4">
        <w:rPr>
          <w:rFonts w:ascii="Source Sans Pro" w:hAnsi="Source Sans Pro" w:cs="Source Sans Pro"/>
          <w:i/>
          <w:color w:val="auto"/>
          <w:sz w:val="22"/>
          <w:szCs w:val="22"/>
        </w:rPr>
        <w:t xml:space="preserve">Bedingt durch unklare wirtschaftliche Perspektiven verbleiben Unternehmen bei der Anmietung von Büroflächen </w:t>
      </w:r>
      <w:r w:rsidR="0038142B">
        <w:rPr>
          <w:rFonts w:ascii="Source Sans Pro" w:hAnsi="Source Sans Pro" w:cs="Source Sans Pro"/>
          <w:i/>
          <w:color w:val="auto"/>
          <w:sz w:val="22"/>
          <w:szCs w:val="22"/>
        </w:rPr>
        <w:t>noch überwiegend</w:t>
      </w:r>
      <w:r w:rsidR="00A53AF4">
        <w:rPr>
          <w:rFonts w:ascii="Source Sans Pro" w:hAnsi="Source Sans Pro" w:cs="Source Sans Pro"/>
          <w:i/>
          <w:color w:val="auto"/>
          <w:sz w:val="22"/>
          <w:szCs w:val="22"/>
        </w:rPr>
        <w:t xml:space="preserve"> zurückhaltend</w:t>
      </w:r>
      <w:r w:rsidR="0038142B">
        <w:rPr>
          <w:rFonts w:ascii="Source Sans Pro" w:hAnsi="Source Sans Pro" w:cs="Source Sans Pro"/>
          <w:i/>
          <w:color w:val="auto"/>
          <w:sz w:val="22"/>
          <w:szCs w:val="22"/>
        </w:rPr>
        <w:t>. In der Konsequenz ziehen sich nach wie vor viele Anmietungsprozesse in die Länge</w:t>
      </w:r>
      <w:r w:rsidR="007E38D1">
        <w:rPr>
          <w:rFonts w:ascii="Source Sans Pro" w:hAnsi="Source Sans Pro" w:cs="Source Sans Pro"/>
          <w:i/>
          <w:color w:val="auto"/>
          <w:sz w:val="22"/>
          <w:szCs w:val="22"/>
        </w:rPr>
        <w:t>. Großvolumige Abschlüsse werden nur vereinzelt realisiert</w:t>
      </w:r>
      <w:r w:rsidR="00740EB7" w:rsidRPr="00296D61">
        <w:rPr>
          <w:rFonts w:ascii="Source Sans Pro" w:hAnsi="Source Sans Pro" w:cs="Source Sans Pro"/>
          <w:i/>
          <w:color w:val="auto"/>
          <w:sz w:val="22"/>
          <w:szCs w:val="22"/>
        </w:rPr>
        <w:t>“,</w:t>
      </w:r>
      <w:r w:rsidR="00740EB7" w:rsidRPr="00296D61">
        <w:rPr>
          <w:rFonts w:ascii="Source Sans Pro" w:hAnsi="Source Sans Pro" w:cs="Source Sans Pro"/>
          <w:color w:val="auto"/>
          <w:sz w:val="22"/>
          <w:szCs w:val="22"/>
        </w:rPr>
        <w:t xml:space="preserve"> erklärt </w:t>
      </w:r>
      <w:r w:rsidR="00740EB7" w:rsidRPr="00296D61">
        <w:rPr>
          <w:rFonts w:ascii="Source Sans Pro" w:hAnsi="Source Sans Pro" w:cs="Source Sans Pro"/>
          <w:b/>
          <w:sz w:val="22"/>
          <w:szCs w:val="22"/>
        </w:rPr>
        <w:t>Björn Holzwarth</w:t>
      </w:r>
      <w:r w:rsidR="00FB2A50" w:rsidRPr="00296D61">
        <w:rPr>
          <w:rFonts w:ascii="Source Sans Pro" w:hAnsi="Source Sans Pro" w:cs="Source Sans Pro"/>
          <w:sz w:val="22"/>
          <w:szCs w:val="22"/>
        </w:rPr>
        <w:t>, Sprecher von German Property Partners (GPP)</w:t>
      </w:r>
      <w:r w:rsidR="00A13548" w:rsidRPr="00296D61">
        <w:rPr>
          <w:rFonts w:ascii="Source Sans Pro" w:hAnsi="Source Sans Pro" w:cs="Source Sans Pro"/>
          <w:sz w:val="22"/>
          <w:szCs w:val="22"/>
        </w:rPr>
        <w:t>.</w:t>
      </w:r>
      <w:r w:rsidR="00006B0B" w:rsidRPr="00006B0B">
        <w:t xml:space="preserve"> </w:t>
      </w:r>
      <w:r w:rsidR="00CF49FA" w:rsidRPr="00CF49FA">
        <w:rPr>
          <w:rFonts w:ascii="Source Sans Pro" w:hAnsi="Source Sans Pro" w:cs="Arial"/>
          <w:bCs/>
          <w:color w:val="auto"/>
          <w:sz w:val="22"/>
          <w:szCs w:val="22"/>
        </w:rPr>
        <w:t xml:space="preserve">Zu dem Gewerbeimmobiliennetzwerk gehören Grossmann &amp; Berger Immobilien, </w:t>
      </w:r>
      <w:proofErr w:type="spellStart"/>
      <w:r w:rsidR="00CF49FA" w:rsidRPr="00CF49FA">
        <w:rPr>
          <w:rFonts w:ascii="Source Sans Pro" w:hAnsi="Source Sans Pro" w:cs="Arial"/>
          <w:bCs/>
          <w:color w:val="auto"/>
          <w:sz w:val="22"/>
          <w:szCs w:val="22"/>
        </w:rPr>
        <w:t>Anteon</w:t>
      </w:r>
      <w:proofErr w:type="spellEnd"/>
      <w:r w:rsidR="00CF49FA" w:rsidRPr="00CF49FA">
        <w:rPr>
          <w:rFonts w:ascii="Source Sans Pro" w:hAnsi="Source Sans Pro" w:cs="Arial"/>
          <w:bCs/>
          <w:color w:val="auto"/>
          <w:sz w:val="22"/>
          <w:szCs w:val="22"/>
        </w:rPr>
        <w:t xml:space="preserve"> Immobilien, GREIF &amp; CONTZEN Immobilien, </w:t>
      </w:r>
      <w:proofErr w:type="spellStart"/>
      <w:r w:rsidR="00CF49FA" w:rsidRPr="00CF49FA">
        <w:rPr>
          <w:rFonts w:ascii="Source Sans Pro" w:hAnsi="Source Sans Pro" w:cs="Arial"/>
          <w:bCs/>
          <w:color w:val="auto"/>
          <w:sz w:val="22"/>
          <w:szCs w:val="22"/>
        </w:rPr>
        <w:t>blackolive</w:t>
      </w:r>
      <w:proofErr w:type="spellEnd"/>
      <w:r w:rsidR="00CF49FA" w:rsidRPr="00CF49FA">
        <w:rPr>
          <w:rFonts w:ascii="Source Sans Pro" w:hAnsi="Source Sans Pro" w:cs="Arial"/>
          <w:bCs/>
          <w:color w:val="auto"/>
          <w:sz w:val="22"/>
          <w:szCs w:val="22"/>
        </w:rPr>
        <w:t xml:space="preserve"> und E &amp; G Immobilien.</w:t>
      </w:r>
    </w:p>
    <w:p w14:paraId="528B3592" w14:textId="77777777" w:rsidR="003366E6" w:rsidRPr="00296D61" w:rsidRDefault="003366E6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507FA127" w14:textId="0AC5E35B" w:rsidR="00FE4632" w:rsidRPr="00FE4632" w:rsidRDefault="00FE4632" w:rsidP="00FE4632">
      <w:pPr>
        <w:pStyle w:val="EinfAbs"/>
        <w:numPr>
          <w:ilvl w:val="0"/>
          <w:numId w:val="4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Flächenumsätze an den Top-7-Standorten </w:t>
      </w:r>
      <w:r w:rsidR="00A53AF4">
        <w:rPr>
          <w:rFonts w:ascii="Source Sans Pro" w:hAnsi="Source Sans Pro" w:cs="Source Sans Pro"/>
          <w:sz w:val="22"/>
          <w:szCs w:val="22"/>
        </w:rPr>
        <w:t>zeigten</w:t>
      </w:r>
      <w:r>
        <w:rPr>
          <w:rFonts w:ascii="Source Sans Pro" w:hAnsi="Source Sans Pro" w:cs="Source Sans Pro"/>
          <w:sz w:val="22"/>
          <w:szCs w:val="22"/>
        </w:rPr>
        <w:t xml:space="preserve"> unterschiedlich</w:t>
      </w:r>
      <w:r w:rsidR="00A53AF4">
        <w:rPr>
          <w:rFonts w:ascii="Source Sans Pro" w:hAnsi="Source Sans Pro" w:cs="Source Sans Pro"/>
          <w:sz w:val="22"/>
          <w:szCs w:val="22"/>
        </w:rPr>
        <w:t>e Entwicklungen</w:t>
      </w:r>
      <w:r>
        <w:rPr>
          <w:rFonts w:ascii="Source Sans Pro" w:hAnsi="Source Sans Pro" w:cs="Source Sans Pro"/>
          <w:sz w:val="22"/>
          <w:szCs w:val="22"/>
        </w:rPr>
        <w:t xml:space="preserve">: 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Während Stuttgart </w:t>
      </w:r>
      <w:r>
        <w:rPr>
          <w:rFonts w:ascii="Source Sans Pro" w:hAnsi="Source Sans Pro" w:cs="Source Sans Pro"/>
          <w:sz w:val="22"/>
          <w:szCs w:val="22"/>
        </w:rPr>
        <w:t xml:space="preserve">einen Anstieg 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von rund 54 % verzeichnete, </w:t>
      </w:r>
      <w:r>
        <w:rPr>
          <w:rFonts w:ascii="Source Sans Pro" w:hAnsi="Source Sans Pro" w:cs="Source Sans Pro"/>
          <w:sz w:val="22"/>
          <w:szCs w:val="22"/>
        </w:rPr>
        <w:t>erfasste GPP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ein Minus von </w:t>
      </w:r>
      <w:r w:rsidR="003766F3" w:rsidRPr="00296D61">
        <w:rPr>
          <w:rFonts w:ascii="Source Sans Pro" w:hAnsi="Source Sans Pro" w:cs="Source Sans Pro"/>
          <w:sz w:val="22"/>
          <w:szCs w:val="22"/>
        </w:rPr>
        <w:t>etwa 20 %</w:t>
      </w:r>
      <w:r>
        <w:rPr>
          <w:rFonts w:ascii="Source Sans Pro" w:hAnsi="Source Sans Pro" w:cs="Source Sans Pro"/>
          <w:sz w:val="22"/>
          <w:szCs w:val="22"/>
        </w:rPr>
        <w:t xml:space="preserve"> in Köln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 u</w:t>
      </w:r>
      <w:r>
        <w:rPr>
          <w:rFonts w:ascii="Source Sans Pro" w:hAnsi="Source Sans Pro" w:cs="Source Sans Pro"/>
          <w:sz w:val="22"/>
          <w:szCs w:val="22"/>
        </w:rPr>
        <w:t>nd rund 1</w:t>
      </w:r>
      <w:r w:rsidR="00ED5E59">
        <w:rPr>
          <w:rFonts w:ascii="Source Sans Pro" w:hAnsi="Source Sans Pro" w:cs="Source Sans Pro"/>
          <w:sz w:val="22"/>
          <w:szCs w:val="22"/>
        </w:rPr>
        <w:t>1</w:t>
      </w:r>
      <w:r>
        <w:rPr>
          <w:rFonts w:ascii="Source Sans Pro" w:hAnsi="Source Sans Pro" w:cs="Source Sans Pro"/>
          <w:sz w:val="22"/>
          <w:szCs w:val="22"/>
        </w:rPr>
        <w:t xml:space="preserve"> % in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 Hamburg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Den höchsten Flächenumsatz erzielte Berlin mit </w:t>
      </w:r>
      <w:r>
        <w:rPr>
          <w:rFonts w:ascii="Source Sans Pro" w:hAnsi="Source Sans Pro" w:cs="Source Sans Pro"/>
          <w:sz w:val="22"/>
          <w:szCs w:val="22"/>
        </w:rPr>
        <w:t>etwa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 </w:t>
      </w:r>
      <w:r w:rsidR="00110B3E" w:rsidRPr="00296D61">
        <w:rPr>
          <w:rFonts w:ascii="Source Sans Pro" w:hAnsi="Source Sans Pro" w:cs="Source Sans Pro"/>
          <w:sz w:val="22"/>
          <w:szCs w:val="22"/>
        </w:rPr>
        <w:t>291</w:t>
      </w:r>
      <w:r w:rsidR="003766F3" w:rsidRPr="00296D61">
        <w:rPr>
          <w:rFonts w:ascii="Source Sans Pro" w:hAnsi="Source Sans Pro" w:cs="Source Sans Pro"/>
          <w:sz w:val="22"/>
          <w:szCs w:val="22"/>
        </w:rPr>
        <w:t xml:space="preserve">.000 </w:t>
      </w:r>
      <w:r w:rsidR="003766F3" w:rsidRPr="00296D61">
        <w:rPr>
          <w:rFonts w:ascii="Source Sans Pro" w:hAnsi="Source Sans Pro" w:cs="Arial"/>
          <w:bCs/>
          <w:sz w:val="22"/>
          <w:szCs w:val="22"/>
        </w:rPr>
        <w:t>m²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, gefolgt von München mit </w:t>
      </w:r>
      <w:r>
        <w:rPr>
          <w:rFonts w:ascii="Source Sans Pro" w:hAnsi="Source Sans Pro" w:cs="Arial"/>
          <w:bCs/>
          <w:sz w:val="22"/>
          <w:szCs w:val="22"/>
        </w:rPr>
        <w:t>rund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287.500 m²</w:t>
      </w:r>
      <w:r w:rsidR="00CE37BA">
        <w:rPr>
          <w:rFonts w:ascii="Source Sans Pro" w:hAnsi="Source Sans Pro" w:cs="Arial"/>
          <w:bCs/>
          <w:sz w:val="22"/>
          <w:szCs w:val="22"/>
        </w:rPr>
        <w:t>.</w:t>
      </w:r>
    </w:p>
    <w:p w14:paraId="270E7EA9" w14:textId="5780F106" w:rsidR="003766F3" w:rsidRPr="00421BFA" w:rsidRDefault="00972495" w:rsidP="009C7FC2">
      <w:pPr>
        <w:pStyle w:val="Listenabsatz"/>
        <w:numPr>
          <w:ilvl w:val="0"/>
          <w:numId w:val="4"/>
        </w:numPr>
        <w:rPr>
          <w:rFonts w:ascii="Source Sans Pro" w:hAnsi="Source Sans Pro" w:cs="Arial"/>
          <w:bCs/>
          <w:color w:val="000000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</w:t>
      </w:r>
      <w:r w:rsidR="00437B38" w:rsidRPr="00421BFA">
        <w:rPr>
          <w:rFonts w:ascii="Source Sans Pro" w:hAnsi="Source Sans Pro" w:cs="Arial"/>
          <w:bCs/>
          <w:sz w:val="22"/>
          <w:szCs w:val="22"/>
        </w:rPr>
        <w:t xml:space="preserve">erhaltene Vermietungsaktivitäten ließen den Leerstand </w:t>
      </w:r>
      <w:r w:rsidR="00296D61" w:rsidRPr="00421BFA">
        <w:rPr>
          <w:rFonts w:ascii="Source Sans Pro" w:hAnsi="Source Sans Pro" w:cs="Arial"/>
          <w:bCs/>
          <w:sz w:val="22"/>
          <w:szCs w:val="22"/>
        </w:rPr>
        <w:t>e</w:t>
      </w:r>
      <w:r w:rsidR="00110B3E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rwartungsgemäß an allen Top-7-Bürovermietungsmärkten </w:t>
      </w:r>
      <w:r w:rsidR="00437B38" w:rsidRPr="00421BFA">
        <w:rPr>
          <w:rFonts w:ascii="Source Sans Pro" w:hAnsi="Source Sans Pro" w:cs="Arial"/>
          <w:bCs/>
          <w:color w:val="000000"/>
          <w:sz w:val="22"/>
          <w:szCs w:val="22"/>
        </w:rPr>
        <w:t>ansteigen</w:t>
      </w:r>
      <w:r w:rsidR="00296D61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. </w:t>
      </w:r>
      <w:r w:rsidR="00CE37BA" w:rsidRPr="00421BFA">
        <w:rPr>
          <w:rFonts w:ascii="Source Sans Pro" w:hAnsi="Source Sans Pro" w:cs="Arial"/>
          <w:bCs/>
          <w:color w:val="000000"/>
          <w:sz w:val="22"/>
          <w:szCs w:val="22"/>
        </w:rPr>
        <w:t>I</w:t>
      </w:r>
      <w:r w:rsidR="00296D61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m Vergleich zum </w:t>
      </w:r>
      <w:r w:rsidR="005D5F7E">
        <w:rPr>
          <w:rFonts w:ascii="Source Sans Pro" w:hAnsi="Source Sans Pro" w:cs="Arial"/>
          <w:bCs/>
          <w:color w:val="000000"/>
          <w:sz w:val="22"/>
          <w:szCs w:val="22"/>
        </w:rPr>
        <w:t>Vorjahr</w:t>
      </w:r>
      <w:r w:rsidR="005D5F7E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 </w:t>
      </w:r>
      <w:r w:rsidR="00421BFA" w:rsidRPr="00421BFA">
        <w:rPr>
          <w:rFonts w:ascii="Source Sans Pro" w:hAnsi="Source Sans Pro" w:cs="Arial"/>
          <w:bCs/>
          <w:color w:val="000000"/>
          <w:sz w:val="22"/>
          <w:szCs w:val="22"/>
        </w:rPr>
        <w:t>kletterte der</w:t>
      </w:r>
      <w:r w:rsidR="00CE37BA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 Top-7-Leerstand </w:t>
      </w:r>
      <w:r w:rsidR="00421BFA" w:rsidRPr="00421BFA">
        <w:rPr>
          <w:rFonts w:ascii="Source Sans Pro" w:hAnsi="Source Sans Pro" w:cs="Arial"/>
          <w:bCs/>
          <w:color w:val="000000"/>
          <w:sz w:val="22"/>
          <w:szCs w:val="22"/>
        </w:rPr>
        <w:t>um rund</w:t>
      </w:r>
      <w:r w:rsidR="00CE37BA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 20 %</w:t>
      </w:r>
      <w:r w:rsidR="00421BFA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 in die Höhe</w:t>
      </w:r>
      <w:r w:rsidR="00296D61" w:rsidRPr="00421BFA">
        <w:rPr>
          <w:rFonts w:ascii="Source Sans Pro" w:hAnsi="Source Sans Pro" w:cs="Arial"/>
          <w:bCs/>
          <w:color w:val="000000"/>
          <w:sz w:val="22"/>
          <w:szCs w:val="22"/>
        </w:rPr>
        <w:t xml:space="preserve">. </w:t>
      </w:r>
      <w:r w:rsidR="000C278A">
        <w:rPr>
          <w:rFonts w:ascii="Source Sans Pro" w:hAnsi="Source Sans Pro" w:cs="Arial"/>
          <w:bCs/>
          <w:color w:val="000000"/>
          <w:sz w:val="22"/>
          <w:szCs w:val="22"/>
        </w:rPr>
        <w:t>Entsprechend stieg auch die Top-7-Leerstandsquote um 1 %-Punkt auf 6,6 % an.</w:t>
      </w:r>
    </w:p>
    <w:p w14:paraId="54FC6840" w14:textId="35760B16" w:rsidR="003766F3" w:rsidRPr="00296D61" w:rsidRDefault="00296D61" w:rsidP="00E3582E">
      <w:pPr>
        <w:pStyle w:val="EinfAbs"/>
        <w:numPr>
          <w:ilvl w:val="0"/>
          <w:numId w:val="4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Die </w:t>
      </w:r>
      <w:r w:rsidR="00972495">
        <w:rPr>
          <w:rFonts w:ascii="Source Sans Pro" w:hAnsi="Source Sans Pro" w:cs="Arial"/>
          <w:bCs/>
          <w:sz w:val="22"/>
          <w:szCs w:val="22"/>
        </w:rPr>
        <w:t>Top-7-</w:t>
      </w:r>
      <w:r w:rsidR="003766F3" w:rsidRPr="00296D61">
        <w:rPr>
          <w:rFonts w:ascii="Source Sans Pro" w:hAnsi="Source Sans Pro" w:cs="Arial"/>
          <w:bCs/>
          <w:sz w:val="22"/>
          <w:szCs w:val="22"/>
        </w:rPr>
        <w:t>Eigennutzerquote</w:t>
      </w:r>
      <w:r>
        <w:rPr>
          <w:rFonts w:ascii="Source Sans Pro" w:hAnsi="Source Sans Pro" w:cs="Arial"/>
          <w:bCs/>
          <w:sz w:val="22"/>
          <w:szCs w:val="22"/>
        </w:rPr>
        <w:t xml:space="preserve"> stieg von 4,3 % im Vorjahreszeitraum auf 11 %. </w:t>
      </w:r>
      <w:r w:rsidR="00972495">
        <w:rPr>
          <w:rFonts w:ascii="Source Sans Pro" w:hAnsi="Source Sans Pro" w:cs="Arial"/>
          <w:bCs/>
          <w:sz w:val="22"/>
          <w:szCs w:val="22"/>
        </w:rPr>
        <w:t>Mit 18 % lag d</w:t>
      </w:r>
      <w:r>
        <w:rPr>
          <w:rFonts w:ascii="Source Sans Pro" w:hAnsi="Source Sans Pro" w:cs="Arial"/>
          <w:bCs/>
          <w:sz w:val="22"/>
          <w:szCs w:val="22"/>
        </w:rPr>
        <w:t xml:space="preserve">ie höchste </w:t>
      </w:r>
      <w:r w:rsidR="00CF49FA">
        <w:rPr>
          <w:rFonts w:ascii="Source Sans Pro" w:hAnsi="Source Sans Pro" w:cs="Arial"/>
          <w:bCs/>
          <w:sz w:val="22"/>
          <w:szCs w:val="22"/>
        </w:rPr>
        <w:t>Q</w:t>
      </w:r>
      <w:r>
        <w:rPr>
          <w:rFonts w:ascii="Source Sans Pro" w:hAnsi="Source Sans Pro" w:cs="Arial"/>
          <w:bCs/>
          <w:sz w:val="22"/>
          <w:szCs w:val="22"/>
        </w:rPr>
        <w:t>uote in der Bundeshauptstadt</w:t>
      </w:r>
      <w:r w:rsidR="00972495">
        <w:rPr>
          <w:rFonts w:ascii="Source Sans Pro" w:hAnsi="Source Sans Pro" w:cs="Arial"/>
          <w:bCs/>
          <w:sz w:val="22"/>
          <w:szCs w:val="22"/>
        </w:rPr>
        <w:t>.</w:t>
      </w:r>
      <w:r w:rsidR="00824CB6">
        <w:rPr>
          <w:rFonts w:ascii="Source Sans Pro" w:hAnsi="Source Sans Pro" w:cs="Arial"/>
          <w:bCs/>
          <w:sz w:val="22"/>
          <w:szCs w:val="22"/>
        </w:rPr>
        <w:t xml:space="preserve"> Hierzu trug maßgeblich der </w:t>
      </w:r>
      <w:r w:rsidR="00824CB6" w:rsidRPr="00824CB6">
        <w:rPr>
          <w:rFonts w:ascii="Source Sans Pro" w:hAnsi="Source Sans Pro" w:cs="Arial"/>
          <w:bCs/>
          <w:sz w:val="22"/>
          <w:szCs w:val="22"/>
        </w:rPr>
        <w:t>Erweiterung</w:t>
      </w:r>
      <w:r w:rsidR="00824CB6">
        <w:rPr>
          <w:rFonts w:ascii="Source Sans Pro" w:hAnsi="Source Sans Pro" w:cs="Arial"/>
          <w:bCs/>
          <w:sz w:val="22"/>
          <w:szCs w:val="22"/>
        </w:rPr>
        <w:t>sbau</w:t>
      </w:r>
      <w:r w:rsidR="00824CB6" w:rsidRPr="00824CB6">
        <w:rPr>
          <w:rFonts w:ascii="Source Sans Pro" w:hAnsi="Source Sans Pro" w:cs="Arial"/>
          <w:bCs/>
          <w:sz w:val="22"/>
          <w:szCs w:val="22"/>
        </w:rPr>
        <w:t xml:space="preserve"> des Bundeskanzleramt</w:t>
      </w:r>
      <w:r w:rsidR="00824CB6">
        <w:rPr>
          <w:rFonts w:ascii="Source Sans Pro" w:hAnsi="Source Sans Pro" w:cs="Arial"/>
          <w:bCs/>
          <w:sz w:val="22"/>
          <w:szCs w:val="22"/>
        </w:rPr>
        <w:t>e</w:t>
      </w:r>
      <w:r w:rsidR="00824CB6" w:rsidRPr="00824CB6">
        <w:rPr>
          <w:rFonts w:ascii="Source Sans Pro" w:hAnsi="Source Sans Pro" w:cs="Arial"/>
          <w:bCs/>
          <w:sz w:val="22"/>
          <w:szCs w:val="22"/>
        </w:rPr>
        <w:t xml:space="preserve">s aus </w:t>
      </w:r>
      <w:r w:rsidR="00824CB6">
        <w:rPr>
          <w:rFonts w:ascii="Source Sans Pro" w:hAnsi="Source Sans Pro" w:cs="Arial"/>
          <w:bCs/>
          <w:sz w:val="22"/>
          <w:szCs w:val="22"/>
        </w:rPr>
        <w:t>dem 1. Quartal bei.</w:t>
      </w:r>
    </w:p>
    <w:p w14:paraId="56674563" w14:textId="714E9198" w:rsidR="00110B3E" w:rsidRPr="00296D61" w:rsidRDefault="00437B38" w:rsidP="00E3582E">
      <w:pPr>
        <w:pStyle w:val="EinfAbs"/>
        <w:numPr>
          <w:ilvl w:val="0"/>
          <w:numId w:val="4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A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>n</w:t>
      </w:r>
      <w:r w:rsidR="0059441E">
        <w:rPr>
          <w:rFonts w:ascii="Source Sans Pro" w:hAnsi="Source Sans Pro" w:cs="Arial"/>
          <w:bCs/>
          <w:sz w:val="22"/>
          <w:szCs w:val="22"/>
        </w:rPr>
        <w:t xml:space="preserve"> nahezu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allen Top-7-Märkten </w:t>
      </w:r>
      <w:r>
        <w:rPr>
          <w:rFonts w:ascii="Source Sans Pro" w:hAnsi="Source Sans Pro" w:cs="Arial"/>
          <w:bCs/>
          <w:sz w:val="22"/>
          <w:szCs w:val="22"/>
        </w:rPr>
        <w:t xml:space="preserve">verblieben die </w:t>
      </w:r>
      <w:r w:rsidRPr="00296D61">
        <w:rPr>
          <w:rFonts w:ascii="Source Sans Pro" w:hAnsi="Source Sans Pro" w:cs="Arial"/>
          <w:bCs/>
          <w:sz w:val="22"/>
          <w:szCs w:val="22"/>
        </w:rPr>
        <w:t xml:space="preserve">Durchschnitts- und Spitzenmieten 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>weitestgehend stabil</w:t>
      </w:r>
      <w:r w:rsidR="00296D61">
        <w:rPr>
          <w:rFonts w:ascii="Source Sans Pro" w:hAnsi="Source Sans Pro" w:cs="Arial"/>
          <w:bCs/>
          <w:sz w:val="22"/>
          <w:szCs w:val="22"/>
        </w:rPr>
        <w:t xml:space="preserve"> und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sz w:val="22"/>
          <w:szCs w:val="22"/>
        </w:rPr>
        <w:t xml:space="preserve">nahmen nur geringfügig zu </w:t>
      </w:r>
      <w:r w:rsidR="00CF49FA">
        <w:rPr>
          <w:rFonts w:ascii="Source Sans Pro" w:hAnsi="Source Sans Pro" w:cs="Arial"/>
          <w:bCs/>
          <w:sz w:val="22"/>
          <w:szCs w:val="22"/>
        </w:rPr>
        <w:t>bzw.</w:t>
      </w:r>
      <w:r>
        <w:rPr>
          <w:rFonts w:ascii="Source Sans Pro" w:hAnsi="Source Sans Pro" w:cs="Arial"/>
          <w:bCs/>
          <w:sz w:val="22"/>
          <w:szCs w:val="22"/>
        </w:rPr>
        <w:t xml:space="preserve"> ab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>.</w:t>
      </w:r>
      <w:r w:rsidR="0059441E">
        <w:rPr>
          <w:rFonts w:ascii="Source Sans Pro" w:hAnsi="Source Sans Pro" w:cs="Arial"/>
          <w:bCs/>
          <w:sz w:val="22"/>
          <w:szCs w:val="22"/>
        </w:rPr>
        <w:t xml:space="preserve"> In Düsseldorf dagegen legte die Spitzenmiete nochmal um satte 11 % zu.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Die höchste Durchschnittsmiete wurde mit</w:t>
      </w:r>
      <w:r w:rsidR="00296D61">
        <w:rPr>
          <w:rFonts w:ascii="Source Sans Pro" w:hAnsi="Source Sans Pro" w:cs="Arial"/>
          <w:bCs/>
          <w:sz w:val="22"/>
          <w:szCs w:val="22"/>
        </w:rPr>
        <w:t xml:space="preserve"> 30,50 </w:t>
      </w:r>
      <w:r w:rsidR="00296D61" w:rsidRPr="00296D61">
        <w:rPr>
          <w:rFonts w:ascii="Source Sans Pro" w:hAnsi="Source Sans Pro" w:cs="Arial"/>
          <w:bCs/>
          <w:sz w:val="22"/>
          <w:szCs w:val="22"/>
        </w:rPr>
        <w:t>€/m²/</w:t>
      </w:r>
      <w:r w:rsidR="00475CB4">
        <w:rPr>
          <w:rFonts w:ascii="Source Sans Pro" w:hAnsi="Source Sans Pro" w:cs="Arial"/>
          <w:bCs/>
          <w:sz w:val="22"/>
          <w:szCs w:val="22"/>
        </w:rPr>
        <w:t>Monat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in </w:t>
      </w:r>
      <w:r w:rsidR="00296D61">
        <w:rPr>
          <w:rFonts w:ascii="Source Sans Pro" w:hAnsi="Source Sans Pro" w:cs="Arial"/>
          <w:bCs/>
          <w:sz w:val="22"/>
          <w:szCs w:val="22"/>
        </w:rPr>
        <w:t>Berlin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realisiert, die höchste Spitzenmiete mit </w:t>
      </w:r>
      <w:r w:rsidR="00296D61">
        <w:rPr>
          <w:rFonts w:ascii="Source Sans Pro" w:hAnsi="Source Sans Pro" w:cs="Arial"/>
          <w:bCs/>
          <w:sz w:val="22"/>
          <w:szCs w:val="22"/>
        </w:rPr>
        <w:t xml:space="preserve">51,20 </w:t>
      </w:r>
      <w:r w:rsidR="00296D61" w:rsidRPr="00296D61">
        <w:rPr>
          <w:rFonts w:ascii="Source Sans Pro" w:hAnsi="Source Sans Pro" w:cs="Arial"/>
          <w:bCs/>
          <w:sz w:val="22"/>
          <w:szCs w:val="22"/>
        </w:rPr>
        <w:t>€/m²/</w:t>
      </w:r>
      <w:r w:rsidR="00475CB4">
        <w:rPr>
          <w:rFonts w:ascii="Source Sans Pro" w:hAnsi="Source Sans Pro" w:cs="Arial"/>
          <w:bCs/>
          <w:sz w:val="22"/>
          <w:szCs w:val="22"/>
        </w:rPr>
        <w:t>Monat</w:t>
      </w:r>
      <w:r w:rsidR="00110B3E" w:rsidRPr="00296D61">
        <w:rPr>
          <w:rFonts w:ascii="Source Sans Pro" w:hAnsi="Source Sans Pro" w:cs="Arial"/>
          <w:bCs/>
          <w:sz w:val="22"/>
          <w:szCs w:val="22"/>
        </w:rPr>
        <w:t xml:space="preserve"> in </w:t>
      </w:r>
      <w:r w:rsidR="00296D61">
        <w:rPr>
          <w:rFonts w:ascii="Source Sans Pro" w:hAnsi="Source Sans Pro" w:cs="Arial"/>
          <w:bCs/>
          <w:sz w:val="22"/>
          <w:szCs w:val="22"/>
        </w:rPr>
        <w:t>München</w:t>
      </w:r>
      <w:r w:rsidR="00475CB4">
        <w:rPr>
          <w:rFonts w:ascii="Source Sans Pro" w:hAnsi="Source Sans Pro" w:cs="Arial"/>
          <w:bCs/>
          <w:sz w:val="22"/>
          <w:szCs w:val="22"/>
        </w:rPr>
        <w:t>.</w:t>
      </w:r>
    </w:p>
    <w:p w14:paraId="18EC6B23" w14:textId="77777777" w:rsidR="005179D5" w:rsidRDefault="005179D5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182DE9C" w14:textId="4FEB432E" w:rsidR="00A611B9" w:rsidRPr="00972495" w:rsidRDefault="00D02F81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bCs/>
          <w:i/>
          <w:iCs/>
          <w:sz w:val="22"/>
          <w:szCs w:val="22"/>
        </w:rPr>
      </w:pPr>
      <w:r w:rsidRPr="00D02F81">
        <w:rPr>
          <w:rFonts w:ascii="Source Sans Pro" w:hAnsi="Source Sans Pro" w:cs="Source Sans Pro"/>
          <w:bCs/>
          <w:sz w:val="22"/>
          <w:szCs w:val="22"/>
        </w:rPr>
        <w:t>„</w:t>
      </w:r>
      <w:r w:rsidR="00421BFA">
        <w:rPr>
          <w:rFonts w:ascii="Source Sans Pro" w:hAnsi="Source Sans Pro" w:cs="Source Sans Pro"/>
          <w:bCs/>
          <w:i/>
          <w:iCs/>
          <w:sz w:val="22"/>
          <w:szCs w:val="22"/>
        </w:rPr>
        <w:t>An einigen Standorten kündigen sich für die zweite Jahreshälfte mehrere großflächige Mietvertragsabschlüsse an. Insgesamt rechnen wir</w:t>
      </w:r>
      <w:r w:rsidR="00972495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 für</w:t>
      </w:r>
      <w:r w:rsidR="00006B0B" w:rsidRPr="00006B0B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 2024 </w:t>
      </w:r>
      <w:r w:rsidR="00972495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allerdings </w:t>
      </w:r>
      <w:r w:rsidR="00006B0B" w:rsidRPr="00006B0B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mit einem </w:t>
      </w:r>
      <w:r w:rsidR="00CF49FA">
        <w:rPr>
          <w:rFonts w:ascii="Source Sans Pro" w:hAnsi="Source Sans Pro" w:cs="Source Sans Pro"/>
          <w:bCs/>
          <w:i/>
          <w:iCs/>
          <w:sz w:val="22"/>
          <w:szCs w:val="22"/>
        </w:rPr>
        <w:t>verhaltenen</w:t>
      </w:r>
      <w:r w:rsidR="00006B0B" w:rsidRPr="00006B0B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 </w:t>
      </w:r>
      <w:r w:rsidR="00421BFA">
        <w:rPr>
          <w:rFonts w:ascii="Source Sans Pro" w:hAnsi="Source Sans Pro" w:cs="Source Sans Pro"/>
          <w:bCs/>
          <w:i/>
          <w:iCs/>
          <w:sz w:val="22"/>
          <w:szCs w:val="22"/>
        </w:rPr>
        <w:t>Top-7-</w:t>
      </w:r>
      <w:r w:rsidR="00421BFA">
        <w:rPr>
          <w:rFonts w:ascii="Source Sans Pro" w:hAnsi="Source Sans Pro" w:cs="Source Sans Pro"/>
          <w:bCs/>
          <w:i/>
          <w:iCs/>
          <w:sz w:val="22"/>
          <w:szCs w:val="22"/>
        </w:rPr>
        <w:lastRenderedPageBreak/>
        <w:t>J</w:t>
      </w:r>
      <w:r w:rsidR="00006B0B" w:rsidRPr="00006B0B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ahresergebnis. </w:t>
      </w:r>
      <w:r w:rsidR="00421BFA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Auf die erwartete Verbesserung der Konjunktur dürften die Büromärkte </w:t>
      </w:r>
      <w:r w:rsidR="00DF1DB5">
        <w:rPr>
          <w:rFonts w:ascii="Source Sans Pro" w:hAnsi="Source Sans Pro" w:cs="Source Sans Pro"/>
          <w:bCs/>
          <w:i/>
          <w:iCs/>
          <w:sz w:val="22"/>
          <w:szCs w:val="22"/>
        </w:rPr>
        <w:t>frühestens im nächsten Jahr</w:t>
      </w:r>
      <w:r w:rsidR="000D2B1C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 mit einer </w:t>
      </w:r>
      <w:r w:rsidR="00DF1DB5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merklichen </w:t>
      </w:r>
      <w:r w:rsidR="000D2B1C" w:rsidRPr="000D2B1C">
        <w:rPr>
          <w:rFonts w:ascii="Source Sans Pro" w:hAnsi="Source Sans Pro" w:cs="Source Sans Pro"/>
          <w:bCs/>
          <w:i/>
          <w:iCs/>
          <w:sz w:val="22"/>
          <w:szCs w:val="22"/>
        </w:rPr>
        <w:t>Zunahme des Vermietungsgeschehens reagieren</w:t>
      </w:r>
      <w:r w:rsidR="000D2B1C">
        <w:rPr>
          <w:rFonts w:ascii="Source Sans Pro" w:hAnsi="Source Sans Pro" w:cs="Source Sans Pro"/>
          <w:bCs/>
          <w:i/>
          <w:iCs/>
          <w:sz w:val="22"/>
          <w:szCs w:val="22"/>
        </w:rPr>
        <w:t xml:space="preserve">“, </w:t>
      </w:r>
      <w:r w:rsidR="00006B0B" w:rsidRPr="00006B0B">
        <w:rPr>
          <w:rFonts w:ascii="Source Sans Pro" w:hAnsi="Source Sans Pro" w:cs="Source Sans Pro"/>
          <w:bCs/>
          <w:sz w:val="22"/>
          <w:szCs w:val="22"/>
        </w:rPr>
        <w:t xml:space="preserve">so </w:t>
      </w:r>
      <w:r w:rsidR="00006B0B" w:rsidRPr="00006B0B">
        <w:rPr>
          <w:rFonts w:ascii="Source Sans Pro" w:hAnsi="Source Sans Pro" w:cs="Source Sans Pro"/>
          <w:b/>
          <w:sz w:val="22"/>
          <w:szCs w:val="22"/>
        </w:rPr>
        <w:t>Holzwarth</w:t>
      </w:r>
      <w:r w:rsidR="00006B0B" w:rsidRPr="00006B0B">
        <w:rPr>
          <w:rFonts w:ascii="Source Sans Pro" w:hAnsi="Source Sans Pro" w:cs="Source Sans Pro"/>
          <w:bCs/>
          <w:sz w:val="22"/>
          <w:szCs w:val="22"/>
        </w:rPr>
        <w:t>.</w:t>
      </w:r>
    </w:p>
    <w:p w14:paraId="3A7CE265" w14:textId="7F695E30" w:rsidR="00B7165E" w:rsidRPr="00006B0B" w:rsidRDefault="00B7165E" w:rsidP="00006B0B">
      <w:pPr>
        <w:overflowPunct/>
        <w:autoSpaceDE/>
        <w:autoSpaceDN/>
        <w:adjustRightInd/>
        <w:textAlignment w:val="auto"/>
        <w:rPr>
          <w:rFonts w:ascii="Source Sans Pro" w:hAnsi="Source Sans Pro" w:cs="Arial"/>
          <w:bCs/>
          <w:sz w:val="20"/>
        </w:rPr>
      </w:pPr>
    </w:p>
    <w:p w14:paraId="4B65132D" w14:textId="656DF3A7" w:rsidR="00915F18" w:rsidRPr="0051046D" w:rsidRDefault="00915F18" w:rsidP="00915F18">
      <w:pPr>
        <w:rPr>
          <w:rFonts w:ascii="Source Sans Pro" w:hAnsi="Source Sans Pro" w:cs="Arial"/>
          <w:sz w:val="16"/>
          <w:szCs w:val="16"/>
          <w:lang w:val="en-GB"/>
        </w:rPr>
      </w:pPr>
      <w:r w:rsidRPr="005D5F7E">
        <w:rPr>
          <w:rFonts w:ascii="Source Sans Pro" w:hAnsi="Source Sans Pro" w:cs="Arial"/>
          <w:b/>
          <w:sz w:val="20"/>
        </w:rPr>
        <w:t xml:space="preserve">Top-7-Standorte | </w:t>
      </w:r>
      <w:r w:rsidR="002D13D9" w:rsidRPr="005D5F7E">
        <w:rPr>
          <w:rFonts w:ascii="Source Sans Pro" w:hAnsi="Source Sans Pro" w:cs="Arial"/>
          <w:b/>
          <w:sz w:val="20"/>
        </w:rPr>
        <w:t>1.-</w:t>
      </w:r>
      <w:r w:rsidR="00AA7B6F" w:rsidRPr="005D5F7E">
        <w:rPr>
          <w:rFonts w:ascii="Source Sans Pro" w:hAnsi="Source Sans Pro" w:cs="Arial"/>
          <w:b/>
          <w:sz w:val="20"/>
        </w:rPr>
        <w:t>2</w:t>
      </w:r>
      <w:r w:rsidRPr="005D5F7E">
        <w:rPr>
          <w:rFonts w:ascii="Source Sans Pro" w:hAnsi="Source Sans Pro" w:cs="Arial"/>
          <w:b/>
          <w:sz w:val="20"/>
        </w:rPr>
        <w:t xml:space="preserve">. </w:t>
      </w:r>
      <w:r w:rsidRPr="0051046D">
        <w:rPr>
          <w:rFonts w:ascii="Source Sans Pro" w:hAnsi="Source Sans Pro" w:cs="Arial"/>
          <w:b/>
          <w:sz w:val="20"/>
          <w:lang w:val="en-GB"/>
        </w:rPr>
        <w:t>Quartal 202</w:t>
      </w:r>
      <w:r>
        <w:rPr>
          <w:rFonts w:ascii="Source Sans Pro" w:hAnsi="Source Sans Pro" w:cs="Arial"/>
          <w:b/>
          <w:sz w:val="20"/>
          <w:lang w:val="en-GB"/>
        </w:rPr>
        <w:t>4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915F18" w:rsidRPr="0051046D" w14:paraId="4CC25B8D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7F9D736B" w14:textId="77777777" w:rsidR="00915F18" w:rsidRPr="0051046D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5661DA6A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HAM</w:t>
            </w:r>
          </w:p>
        </w:tc>
        <w:tc>
          <w:tcPr>
            <w:tcW w:w="502" w:type="pct"/>
            <w:vAlign w:val="center"/>
          </w:tcPr>
          <w:p w14:paraId="0304E8CE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BER</w:t>
            </w:r>
          </w:p>
        </w:tc>
        <w:tc>
          <w:tcPr>
            <w:tcW w:w="502" w:type="pct"/>
            <w:vAlign w:val="center"/>
          </w:tcPr>
          <w:p w14:paraId="6E63E792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DUS</w:t>
            </w:r>
          </w:p>
        </w:tc>
        <w:tc>
          <w:tcPr>
            <w:tcW w:w="502" w:type="pct"/>
            <w:vAlign w:val="center"/>
          </w:tcPr>
          <w:p w14:paraId="09B7C9DA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CGN</w:t>
            </w:r>
          </w:p>
        </w:tc>
        <w:tc>
          <w:tcPr>
            <w:tcW w:w="502" w:type="pct"/>
            <w:vAlign w:val="center"/>
          </w:tcPr>
          <w:p w14:paraId="6AC75356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FFM</w:t>
            </w:r>
          </w:p>
        </w:tc>
        <w:tc>
          <w:tcPr>
            <w:tcW w:w="502" w:type="pct"/>
            <w:vAlign w:val="center"/>
          </w:tcPr>
          <w:p w14:paraId="7BD4EB59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STU</w:t>
            </w:r>
          </w:p>
        </w:tc>
        <w:tc>
          <w:tcPr>
            <w:tcW w:w="502" w:type="pct"/>
            <w:vAlign w:val="center"/>
          </w:tcPr>
          <w:p w14:paraId="32559EC2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MUC</w:t>
            </w:r>
          </w:p>
        </w:tc>
        <w:tc>
          <w:tcPr>
            <w:tcW w:w="502" w:type="pct"/>
            <w:vAlign w:val="center"/>
          </w:tcPr>
          <w:p w14:paraId="19B841D6" w14:textId="77777777" w:rsidR="00915F18" w:rsidRPr="0051046D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TOP-7</w:t>
            </w:r>
          </w:p>
        </w:tc>
      </w:tr>
      <w:tr w:rsidR="00915F18" w:rsidRPr="004A2D54" w14:paraId="33EE787C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573EFB86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Fläch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enumsatz</w:t>
            </w:r>
            <w:proofErr w:type="spellEnd"/>
          </w:p>
          <w:p w14:paraId="26443293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215504A6" w14:textId="24C69D20" w:rsidR="00915F18" w:rsidRPr="00AA7B6F" w:rsidRDefault="002D13D9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20</w:t>
            </w:r>
            <w:r w:rsidR="00ED5E59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915F18" w:rsidRPr="002D13D9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55A02693" w14:textId="4F85FA34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  <w:u w:val="single"/>
              </w:rPr>
              <w:t>291.000</w:t>
            </w:r>
          </w:p>
        </w:tc>
        <w:tc>
          <w:tcPr>
            <w:tcW w:w="502" w:type="pct"/>
            <w:vAlign w:val="center"/>
          </w:tcPr>
          <w:p w14:paraId="7BF4C02C" w14:textId="486BD134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109.000</w:t>
            </w:r>
          </w:p>
        </w:tc>
        <w:tc>
          <w:tcPr>
            <w:tcW w:w="502" w:type="pct"/>
            <w:vAlign w:val="center"/>
          </w:tcPr>
          <w:p w14:paraId="777D51F7" w14:textId="21C86093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60.000</w:t>
            </w:r>
          </w:p>
        </w:tc>
        <w:tc>
          <w:tcPr>
            <w:tcW w:w="502" w:type="pct"/>
            <w:vAlign w:val="center"/>
          </w:tcPr>
          <w:p w14:paraId="1DBE65D9" w14:textId="3BF9E0E2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176.300</w:t>
            </w:r>
          </w:p>
        </w:tc>
        <w:tc>
          <w:tcPr>
            <w:tcW w:w="502" w:type="pct"/>
            <w:vAlign w:val="center"/>
          </w:tcPr>
          <w:p w14:paraId="2C55E5B6" w14:textId="24569653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97.000</w:t>
            </w:r>
          </w:p>
        </w:tc>
        <w:tc>
          <w:tcPr>
            <w:tcW w:w="502" w:type="pct"/>
            <w:vAlign w:val="center"/>
          </w:tcPr>
          <w:p w14:paraId="765A5393" w14:textId="74A6853D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DA2639">
              <w:rPr>
                <w:rFonts w:ascii="Source Sans Pro" w:hAnsi="Source Sans Pro" w:cs="Arial"/>
                <w:sz w:val="16"/>
                <w:szCs w:val="16"/>
              </w:rPr>
              <w:t>87</w:t>
            </w:r>
            <w:r w:rsidRPr="0029764A">
              <w:rPr>
                <w:rFonts w:ascii="Source Sans Pro" w:hAnsi="Source Sans Pro" w:cs="Arial"/>
                <w:sz w:val="16"/>
                <w:szCs w:val="16"/>
              </w:rPr>
              <w:t>.</w:t>
            </w:r>
            <w:r w:rsidR="00DA2639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29764A">
              <w:rPr>
                <w:rFonts w:ascii="Source Sans Pro" w:hAnsi="Source Sans Pro" w:cs="Arial"/>
                <w:sz w:val="16"/>
                <w:szCs w:val="16"/>
              </w:rPr>
              <w:t>00</w:t>
            </w:r>
          </w:p>
        </w:tc>
        <w:tc>
          <w:tcPr>
            <w:tcW w:w="502" w:type="pct"/>
            <w:vAlign w:val="center"/>
          </w:tcPr>
          <w:p w14:paraId="02453427" w14:textId="72868819" w:rsidR="00915F18" w:rsidRPr="00AA7B6F" w:rsidRDefault="0029764A" w:rsidP="004E5677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1.</w:t>
            </w:r>
            <w:r w:rsidR="00DA2639">
              <w:rPr>
                <w:rFonts w:ascii="Source Sans Pro" w:hAnsi="Source Sans Pro" w:cs="Arial"/>
                <w:b/>
                <w:sz w:val="16"/>
                <w:szCs w:val="16"/>
              </w:rPr>
              <w:t>22</w:t>
            </w:r>
            <w:r w:rsidR="00ED5E59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.</w:t>
            </w:r>
            <w:r w:rsidR="00DA2639">
              <w:rPr>
                <w:rFonts w:ascii="Source Sans Pro" w:hAnsi="Source Sans Pro" w:cs="Arial"/>
                <w:b/>
                <w:sz w:val="16"/>
                <w:szCs w:val="16"/>
              </w:rPr>
              <w:t>8</w:t>
            </w: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00</w:t>
            </w:r>
          </w:p>
        </w:tc>
      </w:tr>
      <w:tr w:rsidR="00915F18" w:rsidRPr="004A2D54" w14:paraId="755ADB56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5E910F5B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7E06EC86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6AACC20B" w14:textId="2E201F1E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-1</w:t>
            </w:r>
            <w:r w:rsidR="00ED5E59">
              <w:rPr>
                <w:rFonts w:ascii="Source Sans Pro" w:hAnsi="Source Sans Pro" w:cs="Arial"/>
                <w:sz w:val="16"/>
                <w:szCs w:val="16"/>
              </w:rPr>
              <w:t>1</w:t>
            </w:r>
          </w:p>
        </w:tc>
        <w:tc>
          <w:tcPr>
            <w:tcW w:w="502" w:type="pct"/>
            <w:vAlign w:val="center"/>
          </w:tcPr>
          <w:p w14:paraId="009D1976" w14:textId="12A6913B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27</w:t>
            </w:r>
          </w:p>
        </w:tc>
        <w:tc>
          <w:tcPr>
            <w:tcW w:w="502" w:type="pct"/>
            <w:vAlign w:val="center"/>
          </w:tcPr>
          <w:p w14:paraId="25E661D7" w14:textId="16BA9B99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31</w:t>
            </w:r>
          </w:p>
        </w:tc>
        <w:tc>
          <w:tcPr>
            <w:tcW w:w="502" w:type="pct"/>
            <w:vAlign w:val="center"/>
          </w:tcPr>
          <w:p w14:paraId="124441C3" w14:textId="350FCFBF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-20</w:t>
            </w:r>
          </w:p>
        </w:tc>
        <w:tc>
          <w:tcPr>
            <w:tcW w:w="502" w:type="pct"/>
            <w:vAlign w:val="center"/>
          </w:tcPr>
          <w:p w14:paraId="5F9B8DD9" w14:textId="1F4ADE38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-9</w:t>
            </w:r>
          </w:p>
        </w:tc>
        <w:tc>
          <w:tcPr>
            <w:tcW w:w="502" w:type="pct"/>
            <w:vAlign w:val="center"/>
          </w:tcPr>
          <w:p w14:paraId="6D9DA245" w14:textId="77777777" w:rsidR="00915F18" w:rsidRPr="00B928B9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+54</w:t>
            </w:r>
          </w:p>
        </w:tc>
        <w:tc>
          <w:tcPr>
            <w:tcW w:w="502" w:type="pct"/>
            <w:vAlign w:val="center"/>
          </w:tcPr>
          <w:p w14:paraId="536730E5" w14:textId="52BA6B4C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DA2639">
              <w:rPr>
                <w:rFonts w:ascii="Source Sans Pro" w:hAnsi="Source Sans Pro" w:cs="Arial"/>
                <w:sz w:val="16"/>
                <w:szCs w:val="16"/>
              </w:rPr>
              <w:t>24</w:t>
            </w:r>
          </w:p>
        </w:tc>
        <w:tc>
          <w:tcPr>
            <w:tcW w:w="502" w:type="pct"/>
            <w:vAlign w:val="center"/>
          </w:tcPr>
          <w:p w14:paraId="38CB9689" w14:textId="21569B71" w:rsidR="00915F18" w:rsidRPr="00AA7B6F" w:rsidRDefault="00915F18" w:rsidP="004E5677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+</w:t>
            </w:r>
            <w:r w:rsidR="00DA2639">
              <w:rPr>
                <w:rFonts w:ascii="Source Sans Pro" w:hAnsi="Source Sans Pro" w:cs="Arial"/>
                <w:b/>
                <w:sz w:val="16"/>
                <w:szCs w:val="16"/>
              </w:rPr>
              <w:t>1</w:t>
            </w:r>
            <w:r w:rsidR="00ED5E59">
              <w:rPr>
                <w:rFonts w:ascii="Source Sans Pro" w:hAnsi="Source Sans Pro" w:cs="Arial"/>
                <w:b/>
                <w:sz w:val="16"/>
                <w:szCs w:val="16"/>
              </w:rPr>
              <w:t>1</w:t>
            </w:r>
          </w:p>
        </w:tc>
      </w:tr>
      <w:tr w:rsidR="00915F18" w:rsidRPr="004A2D54" w14:paraId="64587270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399D5CB7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64FAB6AA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013E7DF7" w14:textId="58C4D65F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2D13D9" w:rsidRPr="002D13D9">
              <w:rPr>
                <w:rFonts w:ascii="Source Sans Pro" w:hAnsi="Source Sans Pro" w:cs="Arial"/>
                <w:sz w:val="16"/>
                <w:szCs w:val="16"/>
              </w:rPr>
              <w:t>5,00</w:t>
            </w:r>
          </w:p>
        </w:tc>
        <w:tc>
          <w:tcPr>
            <w:tcW w:w="502" w:type="pct"/>
            <w:vAlign w:val="center"/>
          </w:tcPr>
          <w:p w14:paraId="557316EA" w14:textId="0272B05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44,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9</w:t>
            </w:r>
            <w:r w:rsidRPr="0078354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3B42F2F7" w14:textId="3612E994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42,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20</w:t>
            </w:r>
          </w:p>
        </w:tc>
        <w:tc>
          <w:tcPr>
            <w:tcW w:w="502" w:type="pct"/>
            <w:vAlign w:val="center"/>
          </w:tcPr>
          <w:p w14:paraId="126FB883" w14:textId="67A97B1E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Pr="00783544">
              <w:rPr>
                <w:rFonts w:ascii="Source Sans Pro" w:hAnsi="Source Sans Pro" w:cs="Arial"/>
                <w:sz w:val="16"/>
                <w:szCs w:val="16"/>
              </w:rPr>
              <w:t>,00</w:t>
            </w:r>
          </w:p>
        </w:tc>
        <w:tc>
          <w:tcPr>
            <w:tcW w:w="502" w:type="pct"/>
            <w:vAlign w:val="center"/>
          </w:tcPr>
          <w:p w14:paraId="630637B4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47,00</w:t>
            </w:r>
          </w:p>
        </w:tc>
        <w:tc>
          <w:tcPr>
            <w:tcW w:w="502" w:type="pct"/>
            <w:vAlign w:val="center"/>
          </w:tcPr>
          <w:p w14:paraId="0093E47D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35,00</w:t>
            </w:r>
          </w:p>
        </w:tc>
        <w:tc>
          <w:tcPr>
            <w:tcW w:w="502" w:type="pct"/>
            <w:vAlign w:val="center"/>
          </w:tcPr>
          <w:p w14:paraId="44B138B2" w14:textId="77777777" w:rsidR="00915F18" w:rsidRPr="00B928B9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51,20</w:t>
            </w:r>
          </w:p>
        </w:tc>
        <w:tc>
          <w:tcPr>
            <w:tcW w:w="502" w:type="pct"/>
            <w:vAlign w:val="center"/>
          </w:tcPr>
          <w:p w14:paraId="5DD8E1BA" w14:textId="77777777" w:rsidR="00915F18" w:rsidRPr="0029764A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915F18" w:rsidRPr="004A2D54" w14:paraId="45D9C2A2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302B12AC" w14:textId="77777777" w:rsidR="00915F18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7F781E1B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E27F8E8" w14:textId="1295F3DA" w:rsidR="00915F18" w:rsidRPr="00AA7B6F" w:rsidRDefault="002D13D9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19,</w:t>
            </w:r>
            <w:r w:rsidR="00ED5E59">
              <w:rPr>
                <w:rFonts w:ascii="Source Sans Pro" w:hAnsi="Source Sans Pro" w:cs="Arial"/>
                <w:sz w:val="16"/>
                <w:szCs w:val="16"/>
              </w:rPr>
              <w:t>9</w:t>
            </w:r>
            <w:r w:rsidR="00ED5E59" w:rsidRPr="002D13D9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1E84A2F1" w14:textId="7D9713AB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  <w:u w:val="single"/>
              </w:rPr>
              <w:t>30,50</w:t>
            </w:r>
          </w:p>
        </w:tc>
        <w:tc>
          <w:tcPr>
            <w:tcW w:w="502" w:type="pct"/>
            <w:vAlign w:val="center"/>
          </w:tcPr>
          <w:p w14:paraId="616BB60A" w14:textId="1852C408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20,60</w:t>
            </w:r>
          </w:p>
        </w:tc>
        <w:tc>
          <w:tcPr>
            <w:tcW w:w="502" w:type="pct"/>
            <w:vAlign w:val="center"/>
          </w:tcPr>
          <w:p w14:paraId="7C338A33" w14:textId="5874CE61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18,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90</w:t>
            </w:r>
          </w:p>
        </w:tc>
        <w:tc>
          <w:tcPr>
            <w:tcW w:w="502" w:type="pct"/>
            <w:vAlign w:val="center"/>
          </w:tcPr>
          <w:p w14:paraId="6049CE4C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25,00</w:t>
            </w:r>
          </w:p>
        </w:tc>
        <w:tc>
          <w:tcPr>
            <w:tcW w:w="502" w:type="pct"/>
            <w:vAlign w:val="center"/>
          </w:tcPr>
          <w:p w14:paraId="0A7C188C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19,00</w:t>
            </w:r>
          </w:p>
        </w:tc>
        <w:tc>
          <w:tcPr>
            <w:tcW w:w="502" w:type="pct"/>
            <w:vAlign w:val="center"/>
          </w:tcPr>
          <w:p w14:paraId="55C66BA7" w14:textId="082B2049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24,80</w:t>
            </w:r>
          </w:p>
        </w:tc>
        <w:tc>
          <w:tcPr>
            <w:tcW w:w="502" w:type="pct"/>
            <w:vAlign w:val="center"/>
          </w:tcPr>
          <w:p w14:paraId="381CD9BC" w14:textId="77777777" w:rsidR="00915F18" w:rsidRPr="0029764A" w:rsidRDefault="00915F18" w:rsidP="004E5677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915F18" w:rsidRPr="004A2D54" w14:paraId="56DD2988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4E0CA9AD" w14:textId="77777777" w:rsidR="00915F18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56D6301B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720068FA" w14:textId="23C03984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14,3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14C8319D" w14:textId="36B7AD4E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21,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502" w:type="pct"/>
            <w:vAlign w:val="center"/>
          </w:tcPr>
          <w:p w14:paraId="5F241200" w14:textId="79E169A8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7,53</w:t>
            </w:r>
          </w:p>
        </w:tc>
        <w:tc>
          <w:tcPr>
            <w:tcW w:w="502" w:type="pct"/>
            <w:vAlign w:val="center"/>
          </w:tcPr>
          <w:p w14:paraId="05D36C29" w14:textId="17590B94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8,1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7</w:t>
            </w:r>
          </w:p>
        </w:tc>
        <w:tc>
          <w:tcPr>
            <w:tcW w:w="502" w:type="pct"/>
            <w:vAlign w:val="center"/>
          </w:tcPr>
          <w:p w14:paraId="1AE9126D" w14:textId="1823C1BD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11,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502" w:type="pct"/>
            <w:vAlign w:val="center"/>
          </w:tcPr>
          <w:p w14:paraId="7A74958B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8,49</w:t>
            </w:r>
          </w:p>
        </w:tc>
        <w:tc>
          <w:tcPr>
            <w:tcW w:w="502" w:type="pct"/>
            <w:vAlign w:val="center"/>
          </w:tcPr>
          <w:p w14:paraId="6599ED4E" w14:textId="77777777" w:rsidR="00915F18" w:rsidRPr="00B928B9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23,50</w:t>
            </w:r>
          </w:p>
        </w:tc>
        <w:tc>
          <w:tcPr>
            <w:tcW w:w="502" w:type="pct"/>
            <w:vAlign w:val="center"/>
          </w:tcPr>
          <w:p w14:paraId="5D31B442" w14:textId="4AD30EE8" w:rsidR="00915F18" w:rsidRPr="00AA7B6F" w:rsidRDefault="00DA2639" w:rsidP="004E5677">
            <w:pPr>
              <w:jc w:val="center"/>
              <w:rPr>
                <w:rFonts w:ascii="Source Sans Pro" w:hAnsi="Source Sans Pro" w:cs="Arial"/>
                <w:b/>
                <w:color w:val="FF0000"/>
                <w:sz w:val="16"/>
                <w:szCs w:val="16"/>
                <w:highlight w:val="yellow"/>
              </w:rPr>
            </w:pPr>
            <w:r w:rsidRPr="00DA2639">
              <w:rPr>
                <w:rFonts w:ascii="Source Sans Pro" w:hAnsi="Source Sans Pro" w:cs="Arial"/>
                <w:b/>
                <w:sz w:val="16"/>
                <w:szCs w:val="16"/>
              </w:rPr>
              <w:t>95,45</w:t>
            </w:r>
          </w:p>
        </w:tc>
      </w:tr>
      <w:tr w:rsidR="00915F18" w:rsidRPr="004A2D54" w14:paraId="20451C59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7D8F3346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79AF01B5" w14:textId="3B4B8D2E" w:rsidR="00915F18" w:rsidRPr="00AA7B6F" w:rsidRDefault="002D13D9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717.500</w:t>
            </w:r>
          </w:p>
        </w:tc>
        <w:tc>
          <w:tcPr>
            <w:tcW w:w="502" w:type="pct"/>
            <w:vAlign w:val="center"/>
          </w:tcPr>
          <w:p w14:paraId="49E17191" w14:textId="2B2C4A8F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1.23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7</w:t>
            </w:r>
            <w:r w:rsidRPr="0078354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68CEA868" w14:textId="5FDFA470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7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28.600</w:t>
            </w:r>
          </w:p>
        </w:tc>
        <w:tc>
          <w:tcPr>
            <w:tcW w:w="502" w:type="pct"/>
            <w:vAlign w:val="center"/>
          </w:tcPr>
          <w:p w14:paraId="5B1F8ABA" w14:textId="15D46771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344.000</w:t>
            </w:r>
          </w:p>
        </w:tc>
        <w:tc>
          <w:tcPr>
            <w:tcW w:w="502" w:type="pct"/>
            <w:vAlign w:val="center"/>
          </w:tcPr>
          <w:p w14:paraId="6419DF74" w14:textId="4BE99F18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1.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235.200</w:t>
            </w:r>
          </w:p>
        </w:tc>
        <w:tc>
          <w:tcPr>
            <w:tcW w:w="502" w:type="pct"/>
            <w:vAlign w:val="center"/>
          </w:tcPr>
          <w:p w14:paraId="4F9E55D5" w14:textId="6B4BE2EF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456.700</w:t>
            </w:r>
          </w:p>
        </w:tc>
        <w:tc>
          <w:tcPr>
            <w:tcW w:w="502" w:type="pct"/>
            <w:vAlign w:val="center"/>
          </w:tcPr>
          <w:p w14:paraId="084FAD6A" w14:textId="22D0E6AA" w:rsidR="00915F18" w:rsidRPr="00B928B9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1.621.500</w:t>
            </w:r>
          </w:p>
        </w:tc>
        <w:tc>
          <w:tcPr>
            <w:tcW w:w="502" w:type="pct"/>
            <w:vAlign w:val="center"/>
          </w:tcPr>
          <w:p w14:paraId="73BC7799" w14:textId="66B0AB3D" w:rsidR="00915F18" w:rsidRPr="00AA7B6F" w:rsidRDefault="0029764A" w:rsidP="004E5677">
            <w:pPr>
              <w:jc w:val="center"/>
              <w:rPr>
                <w:rFonts w:ascii="Source Sans Pro" w:hAnsi="Source Sans Pro" w:cs="Arial"/>
                <w:b/>
                <w:color w:val="FF0000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6.340.500</w:t>
            </w:r>
          </w:p>
        </w:tc>
      </w:tr>
      <w:tr w:rsidR="00915F18" w:rsidRPr="004A2D54" w14:paraId="5D9FE5BB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165D4E3D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148F2DB7" w14:textId="109A644A" w:rsidR="00915F18" w:rsidRPr="00AA7B6F" w:rsidRDefault="002D13D9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D13D9">
              <w:rPr>
                <w:rFonts w:ascii="Source Sans Pro" w:hAnsi="Source Sans Pro" w:cs="Arial"/>
                <w:sz w:val="16"/>
                <w:szCs w:val="16"/>
              </w:rPr>
              <w:t>5,0</w:t>
            </w:r>
          </w:p>
        </w:tc>
        <w:tc>
          <w:tcPr>
            <w:tcW w:w="502" w:type="pct"/>
            <w:vAlign w:val="center"/>
          </w:tcPr>
          <w:p w14:paraId="53D977C2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5,7</w:t>
            </w:r>
          </w:p>
        </w:tc>
        <w:tc>
          <w:tcPr>
            <w:tcW w:w="502" w:type="pct"/>
            <w:vAlign w:val="center"/>
          </w:tcPr>
          <w:p w14:paraId="58D422BE" w14:textId="093893A7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9,7</w:t>
            </w:r>
          </w:p>
        </w:tc>
        <w:tc>
          <w:tcPr>
            <w:tcW w:w="502" w:type="pct"/>
            <w:vAlign w:val="center"/>
          </w:tcPr>
          <w:p w14:paraId="5D45C7FC" w14:textId="482193A4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4,2</w:t>
            </w:r>
          </w:p>
        </w:tc>
        <w:tc>
          <w:tcPr>
            <w:tcW w:w="502" w:type="pct"/>
            <w:vAlign w:val="center"/>
          </w:tcPr>
          <w:p w14:paraId="5915FD24" w14:textId="15882FC1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  <w:u w:val="single"/>
              </w:rPr>
              <w:t>10,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502" w:type="pct"/>
            <w:vAlign w:val="center"/>
          </w:tcPr>
          <w:p w14:paraId="3B9D2BD0" w14:textId="4B4D90CF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5,4</w:t>
            </w:r>
          </w:p>
        </w:tc>
        <w:tc>
          <w:tcPr>
            <w:tcW w:w="502" w:type="pct"/>
            <w:vAlign w:val="center"/>
          </w:tcPr>
          <w:p w14:paraId="17A6AD52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6,9</w:t>
            </w:r>
          </w:p>
        </w:tc>
        <w:tc>
          <w:tcPr>
            <w:tcW w:w="502" w:type="pct"/>
            <w:vAlign w:val="center"/>
          </w:tcPr>
          <w:p w14:paraId="7053E5B3" w14:textId="5C0EFF83" w:rsidR="00915F18" w:rsidRPr="00AA7B6F" w:rsidRDefault="00915F18" w:rsidP="004E5677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6,</w:t>
            </w:r>
            <w:r w:rsidR="0029764A" w:rsidRPr="0029764A">
              <w:rPr>
                <w:rFonts w:ascii="Source Sans Pro" w:hAnsi="Source Sans Pro" w:cs="Arial"/>
                <w:b/>
                <w:sz w:val="16"/>
                <w:szCs w:val="16"/>
              </w:rPr>
              <w:t>6</w:t>
            </w:r>
          </w:p>
        </w:tc>
      </w:tr>
      <w:tr w:rsidR="00915F18" w:rsidRPr="004A2D54" w14:paraId="017BC5AD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5A3D31BD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78AA14B2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2024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+ 2025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2FE8E63A" w14:textId="1DB8B5B5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38</w:t>
            </w:r>
            <w:r w:rsidR="00ED5E59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Pr="0078354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14D518C3" w14:textId="5815882C" w:rsidR="00915F18" w:rsidRPr="00B928B9" w:rsidRDefault="00C43F46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9</w:t>
            </w:r>
            <w:r w:rsidR="00783544"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5</w:t>
            </w: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  <w:r w:rsidR="00915F18"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4E23B493" w14:textId="43B639AD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71.000</w:t>
            </w:r>
          </w:p>
        </w:tc>
        <w:tc>
          <w:tcPr>
            <w:tcW w:w="502" w:type="pct"/>
            <w:vAlign w:val="center"/>
          </w:tcPr>
          <w:p w14:paraId="4AD34D09" w14:textId="21D4BB5E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1</w:t>
            </w:r>
            <w:r w:rsidR="00783544" w:rsidRPr="00783544">
              <w:rPr>
                <w:rFonts w:ascii="Source Sans Pro" w:hAnsi="Source Sans Pro" w:cs="Arial"/>
                <w:sz w:val="16"/>
                <w:szCs w:val="16"/>
              </w:rPr>
              <w:t>7</w:t>
            </w:r>
            <w:r w:rsidRPr="00783544">
              <w:rPr>
                <w:rFonts w:ascii="Source Sans Pro" w:hAnsi="Source Sans Pro" w:cs="Arial"/>
                <w:sz w:val="16"/>
                <w:szCs w:val="16"/>
              </w:rPr>
              <w:t>0.000</w:t>
            </w:r>
          </w:p>
        </w:tc>
        <w:tc>
          <w:tcPr>
            <w:tcW w:w="502" w:type="pct"/>
            <w:vAlign w:val="center"/>
          </w:tcPr>
          <w:p w14:paraId="273F1FBF" w14:textId="32C81503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32.500</w:t>
            </w:r>
          </w:p>
        </w:tc>
        <w:tc>
          <w:tcPr>
            <w:tcW w:w="502" w:type="pct"/>
            <w:vAlign w:val="center"/>
          </w:tcPr>
          <w:p w14:paraId="3BB1B52F" w14:textId="321D4FA9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15</w:t>
            </w:r>
            <w:r w:rsidR="0029764A" w:rsidRPr="0029764A">
              <w:rPr>
                <w:rFonts w:ascii="Source Sans Pro" w:hAnsi="Source Sans Pro" w:cs="Arial"/>
                <w:sz w:val="16"/>
                <w:szCs w:val="16"/>
              </w:rPr>
              <w:t>0.500</w:t>
            </w:r>
          </w:p>
        </w:tc>
        <w:tc>
          <w:tcPr>
            <w:tcW w:w="502" w:type="pct"/>
            <w:vAlign w:val="center"/>
          </w:tcPr>
          <w:p w14:paraId="2B809AE6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630.000</w:t>
            </w:r>
          </w:p>
        </w:tc>
        <w:tc>
          <w:tcPr>
            <w:tcW w:w="502" w:type="pct"/>
            <w:vAlign w:val="center"/>
          </w:tcPr>
          <w:p w14:paraId="7FC346B0" w14:textId="521FAD7B" w:rsidR="00915F18" w:rsidRPr="00AA7B6F" w:rsidRDefault="00915F18" w:rsidP="004E5677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2.8</w:t>
            </w:r>
            <w:r w:rsidR="0029764A" w:rsidRPr="0029764A">
              <w:rPr>
                <w:rFonts w:ascii="Source Sans Pro" w:hAnsi="Source Sans Pro" w:cs="Arial"/>
                <w:b/>
                <w:sz w:val="16"/>
                <w:szCs w:val="16"/>
              </w:rPr>
              <w:t>8</w:t>
            </w:r>
            <w:r w:rsidR="00ED5E59">
              <w:rPr>
                <w:rFonts w:ascii="Source Sans Pro" w:hAnsi="Source Sans Pro" w:cs="Arial"/>
                <w:b/>
                <w:sz w:val="16"/>
                <w:szCs w:val="16"/>
              </w:rPr>
              <w:t>8</w:t>
            </w: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.000</w:t>
            </w:r>
          </w:p>
        </w:tc>
      </w:tr>
      <w:tr w:rsidR="00915F18" w:rsidRPr="004A2D54" w14:paraId="6AD0DB2A" w14:textId="77777777" w:rsidTr="004E5677">
        <w:trPr>
          <w:trHeight w:val="283"/>
        </w:trPr>
        <w:tc>
          <w:tcPr>
            <w:tcW w:w="985" w:type="pct"/>
            <w:vAlign w:val="center"/>
          </w:tcPr>
          <w:p w14:paraId="045B3B85" w14:textId="77777777" w:rsidR="00915F18" w:rsidRPr="004A2D54" w:rsidRDefault="00915F18" w:rsidP="004E5677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2024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+ 2025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3B06FD3D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65</w:t>
            </w:r>
          </w:p>
        </w:tc>
        <w:tc>
          <w:tcPr>
            <w:tcW w:w="502" w:type="pct"/>
            <w:vAlign w:val="center"/>
          </w:tcPr>
          <w:p w14:paraId="162DDAAC" w14:textId="4ABF8A46" w:rsidR="00915F18" w:rsidRPr="00AA7B6F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71</w:t>
            </w:r>
          </w:p>
        </w:tc>
        <w:tc>
          <w:tcPr>
            <w:tcW w:w="502" w:type="pct"/>
            <w:vAlign w:val="center"/>
          </w:tcPr>
          <w:p w14:paraId="782AB3F9" w14:textId="77777777" w:rsidR="00915F18" w:rsidRPr="00AA7B6F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83544">
              <w:rPr>
                <w:rFonts w:ascii="Source Sans Pro" w:hAnsi="Source Sans Pro" w:cs="Arial"/>
                <w:sz w:val="16"/>
                <w:szCs w:val="16"/>
              </w:rPr>
              <w:t>48</w:t>
            </w:r>
          </w:p>
        </w:tc>
        <w:tc>
          <w:tcPr>
            <w:tcW w:w="502" w:type="pct"/>
            <w:vAlign w:val="center"/>
          </w:tcPr>
          <w:p w14:paraId="19476034" w14:textId="27B69B6C" w:rsidR="00915F18" w:rsidRPr="00B928B9" w:rsidRDefault="00783544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  <w:u w:val="single"/>
              </w:rPr>
            </w:pPr>
            <w:r w:rsidRPr="00B928B9">
              <w:rPr>
                <w:rFonts w:ascii="Source Sans Pro" w:hAnsi="Source Sans Pro" w:cs="Arial"/>
                <w:sz w:val="16"/>
                <w:szCs w:val="16"/>
                <w:u w:val="single"/>
              </w:rPr>
              <w:t>74</w:t>
            </w:r>
          </w:p>
        </w:tc>
        <w:tc>
          <w:tcPr>
            <w:tcW w:w="502" w:type="pct"/>
            <w:vAlign w:val="center"/>
          </w:tcPr>
          <w:p w14:paraId="62427165" w14:textId="411AD3E6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66</w:t>
            </w:r>
          </w:p>
        </w:tc>
        <w:tc>
          <w:tcPr>
            <w:tcW w:w="502" w:type="pct"/>
            <w:vAlign w:val="center"/>
          </w:tcPr>
          <w:p w14:paraId="2A052CF9" w14:textId="5B95F85F" w:rsidR="00915F18" w:rsidRPr="00AA7B6F" w:rsidRDefault="0029764A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28</w:t>
            </w:r>
          </w:p>
        </w:tc>
        <w:tc>
          <w:tcPr>
            <w:tcW w:w="502" w:type="pct"/>
            <w:vAlign w:val="center"/>
          </w:tcPr>
          <w:p w14:paraId="239B1AE9" w14:textId="77777777" w:rsidR="00915F18" w:rsidRPr="0029764A" w:rsidRDefault="00915F18" w:rsidP="004E5677">
            <w:pPr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sz w:val="16"/>
                <w:szCs w:val="16"/>
              </w:rPr>
              <w:t>68</w:t>
            </w:r>
          </w:p>
        </w:tc>
        <w:tc>
          <w:tcPr>
            <w:tcW w:w="502" w:type="pct"/>
            <w:vAlign w:val="center"/>
          </w:tcPr>
          <w:p w14:paraId="106416F1" w14:textId="075F6843" w:rsidR="00915F18" w:rsidRPr="00AA7B6F" w:rsidRDefault="0029764A" w:rsidP="004E5677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highlight w:val="yellow"/>
              </w:rPr>
            </w:pPr>
            <w:r w:rsidRPr="0029764A">
              <w:rPr>
                <w:rFonts w:ascii="Source Sans Pro" w:hAnsi="Source Sans Pro" w:cs="Arial"/>
                <w:b/>
                <w:sz w:val="16"/>
                <w:szCs w:val="16"/>
              </w:rPr>
              <w:t>65</w:t>
            </w:r>
          </w:p>
        </w:tc>
      </w:tr>
    </w:tbl>
    <w:p w14:paraId="6974BC43" w14:textId="77777777" w:rsidR="00915F18" w:rsidRDefault="00915F18" w:rsidP="00915F18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16416E31" w14:textId="77777777" w:rsidR="00915F18" w:rsidRDefault="00915F18" w:rsidP="00915F18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700A8FF0" w14:textId="67F40749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t xml:space="preserve">Top bekannte </w:t>
      </w:r>
      <w:r w:rsidR="001E5CBD">
        <w:rPr>
          <w:rFonts w:ascii="Source Sans Pro" w:hAnsi="Source Sans Pro" w:cs="Arial"/>
          <w:b/>
          <w:sz w:val="20"/>
        </w:rPr>
        <w:t xml:space="preserve">Abschlüsse über </w:t>
      </w:r>
      <w:r w:rsidR="00052B49">
        <w:rPr>
          <w:rFonts w:ascii="Source Sans Pro" w:hAnsi="Source Sans Pro" w:cs="Arial"/>
          <w:b/>
          <w:sz w:val="20"/>
        </w:rPr>
        <w:t>5</w:t>
      </w:r>
      <w:r w:rsidR="004A2D54" w:rsidRPr="004A2D54">
        <w:rPr>
          <w:rFonts w:ascii="Source Sans Pro" w:hAnsi="Source Sans Pro" w:cs="Arial"/>
          <w:b/>
          <w:sz w:val="20"/>
        </w:rPr>
        <w:t xml:space="preserve">.000 m² | Top-7-Standorte | </w:t>
      </w:r>
      <w:r w:rsidR="002D13D9">
        <w:rPr>
          <w:rFonts w:ascii="Source Sans Pro" w:hAnsi="Source Sans Pro" w:cs="Arial"/>
          <w:b/>
          <w:sz w:val="20"/>
        </w:rPr>
        <w:t>1.-</w:t>
      </w:r>
      <w:r w:rsidR="00AA7B6F">
        <w:rPr>
          <w:rFonts w:ascii="Source Sans Pro" w:hAnsi="Source Sans Pro" w:cs="Arial"/>
          <w:b/>
          <w:sz w:val="20"/>
        </w:rPr>
        <w:t>2.</w:t>
      </w:r>
      <w:r w:rsidR="004A2D54" w:rsidRPr="004A2D54">
        <w:rPr>
          <w:rFonts w:ascii="Source Sans Pro" w:hAnsi="Source Sans Pro" w:cs="Arial"/>
          <w:b/>
          <w:sz w:val="20"/>
        </w:rPr>
        <w:t xml:space="preserve"> Quartal 202</w:t>
      </w:r>
      <w:r w:rsidR="00740EB7">
        <w:rPr>
          <w:rFonts w:ascii="Source Sans Pro" w:hAnsi="Source Sans Pro" w:cs="Arial"/>
          <w:b/>
          <w:sz w:val="20"/>
        </w:rPr>
        <w:t>4</w:t>
      </w:r>
    </w:p>
    <w:tbl>
      <w:tblPr>
        <w:tblStyle w:val="Tabellenraster"/>
        <w:tblW w:w="5190" w:type="pct"/>
        <w:tblLayout w:type="fixed"/>
        <w:tblLook w:val="04A0" w:firstRow="1" w:lastRow="0" w:firstColumn="1" w:lastColumn="0" w:noHBand="0" w:noVBand="1"/>
      </w:tblPr>
      <w:tblGrid>
        <w:gridCol w:w="561"/>
        <w:gridCol w:w="3688"/>
        <w:gridCol w:w="4394"/>
        <w:gridCol w:w="992"/>
      </w:tblGrid>
      <w:tr w:rsidR="00936776" w:rsidRPr="004A2D54" w14:paraId="423F19E1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735000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4"/>
                <w:szCs w:val="14"/>
              </w:rPr>
            </w:pPr>
            <w:r w:rsidRPr="00735000">
              <w:rPr>
                <w:rFonts w:ascii="Source Sans Pro" w:hAnsi="Source Sans Pro" w:cs="Arial"/>
                <w:b/>
                <w:sz w:val="14"/>
                <w:szCs w:val="14"/>
              </w:rPr>
              <w:t>Stadt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735000">
              <w:rPr>
                <w:rFonts w:ascii="Source Sans Pro" w:hAnsi="Source Sans Pro" w:cs="Arial"/>
                <w:b/>
                <w:sz w:val="14"/>
                <w:szCs w:val="14"/>
              </w:rPr>
              <w:t>Projekt/Objekt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9D73832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735000">
              <w:rPr>
                <w:rFonts w:ascii="Source Sans Pro" w:hAnsi="Source Sans Pro" w:cs="Arial"/>
                <w:b/>
                <w:sz w:val="14"/>
                <w:szCs w:val="14"/>
              </w:rPr>
              <w:t>Mieter/Eigennutzer</w:t>
            </w:r>
            <w:r w:rsidR="004E52C1" w:rsidRPr="00735000">
              <w:rPr>
                <w:rFonts w:ascii="Source Sans Pro" w:hAnsi="Source Sans Pro" w:cs="Arial"/>
                <w:b/>
                <w:sz w:val="14"/>
                <w:szCs w:val="14"/>
              </w:rPr>
              <w:t xml:space="preserve"> (EN)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936776" w:rsidRPr="004A2D54" w14:paraId="7E1E4C34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E22" w14:textId="7D99BB28" w:rsidR="00371F8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9CD" w14:textId="7EFC6535" w:rsidR="00371F8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Erweiterungsbau, Willy-Brandt-Straße 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315" w14:textId="029C0930" w:rsidR="00371F8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 xml:space="preserve">Bundeskanzleramt </w:t>
            </w:r>
            <w:r w:rsidRPr="00DA2639">
              <w:rPr>
                <w:rFonts w:ascii="Source Sans Pro" w:hAnsi="Source Sans Pro" w:cs="Arial"/>
                <w:b/>
                <w:sz w:val="16"/>
                <w:szCs w:val="16"/>
              </w:rPr>
              <w:t>EN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CA8" w14:textId="330EE64C" w:rsidR="00371F8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48.000</w:t>
            </w:r>
          </w:p>
        </w:tc>
      </w:tr>
      <w:tr w:rsidR="00936776" w:rsidRPr="004A2D54" w14:paraId="1A9052AE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832" w14:textId="414DA37B" w:rsidR="004A2D54" w:rsidRPr="00DA2639" w:rsidRDefault="00B7165E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645" w14:textId="23D9F459" w:rsidR="004A2D54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„Galileo“, </w:t>
            </w:r>
            <w:proofErr w:type="spellStart"/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Gallusanlage</w:t>
            </w:r>
            <w:proofErr w:type="spellEnd"/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013" w14:textId="58C80264" w:rsidR="004A2D54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EZB-Bankenaufsicht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58F" w14:textId="32B2C7F2" w:rsidR="004A2D54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36.800</w:t>
            </w:r>
          </w:p>
        </w:tc>
      </w:tr>
      <w:tr w:rsidR="00936776" w:rsidRPr="004A2D54" w14:paraId="6D372F4A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E5C" w14:textId="6FE74733" w:rsidR="001421F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69A" w14:textId="561427D2" w:rsidR="001421F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„X8“, Markgrafenstraße 19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37" w14:textId="4319CEEA" w:rsidR="001421F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 xml:space="preserve">BImA für Bundesbauministerium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AC7" w14:textId="2E102AD1" w:rsidR="001421F7" w:rsidRPr="00DA2639" w:rsidRDefault="00052B4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25.000</w:t>
            </w:r>
          </w:p>
        </w:tc>
      </w:tr>
      <w:tr w:rsidR="00936776" w:rsidRPr="004A2D54" w14:paraId="2F0D2A72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25E" w14:textId="7AC32103" w:rsidR="00ED0595" w:rsidRPr="00DA2639" w:rsidRDefault="00ED0595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9D86B" w14:textId="7E3C57A4" w:rsidR="00ED0595" w:rsidRPr="00DA2639" w:rsidRDefault="00ED0595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ED0595">
              <w:rPr>
                <w:rFonts w:ascii="Source Sans Pro" w:hAnsi="Source Sans Pro" w:cs="Arial"/>
                <w:bCs/>
                <w:sz w:val="16"/>
                <w:szCs w:val="16"/>
              </w:rPr>
              <w:t>"BORX", Normannenweg 2-12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6A85" w14:textId="20EA3F69" w:rsidR="00ED0595" w:rsidRPr="00DA2639" w:rsidRDefault="00ED0595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ED0595">
              <w:rPr>
                <w:rFonts w:ascii="Source Sans Pro" w:hAnsi="Source Sans Pro" w:cs="Arial"/>
                <w:bCs/>
                <w:sz w:val="16"/>
                <w:szCs w:val="16"/>
              </w:rPr>
              <w:t xml:space="preserve">Strabag Real Estate </w:t>
            </w:r>
            <w:r w:rsidRPr="006B670F">
              <w:rPr>
                <w:rFonts w:ascii="Source Sans Pro" w:hAnsi="Source Sans Pro" w:cs="Arial"/>
                <w:b/>
                <w:sz w:val="16"/>
                <w:szCs w:val="16"/>
              </w:rPr>
              <w:t>EN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34EA6" w14:textId="6DB26C38" w:rsidR="00ED0595" w:rsidRPr="00DA2639" w:rsidRDefault="00ED0595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ED0595">
              <w:rPr>
                <w:rFonts w:ascii="Source Sans Pro" w:hAnsi="Source Sans Pro" w:cs="Arial"/>
                <w:bCs/>
                <w:sz w:val="16"/>
                <w:szCs w:val="16"/>
              </w:rPr>
              <w:t>18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.</w:t>
            </w:r>
            <w:r w:rsidRPr="00ED0595">
              <w:rPr>
                <w:rFonts w:ascii="Source Sans Pro" w:hAnsi="Source Sans Pro" w:cs="Arial"/>
                <w:bCs/>
                <w:sz w:val="16"/>
                <w:szCs w:val="16"/>
              </w:rPr>
              <w:t>000</w:t>
            </w:r>
          </w:p>
        </w:tc>
      </w:tr>
      <w:tr w:rsidR="00936776" w:rsidRPr="004A2D54" w14:paraId="7386F8DB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3D50E" w14:textId="7D05EF74" w:rsidR="00936776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12BE9" w14:textId="67C035B7" w:rsidR="00936776" w:rsidRPr="00824CB6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Pr="00936776">
              <w:rPr>
                <w:rFonts w:ascii="Source Sans Pro" w:hAnsi="Source Sans Pro" w:cs="Arial"/>
                <w:bCs/>
                <w:sz w:val="16"/>
                <w:szCs w:val="16"/>
              </w:rPr>
              <w:t>WESTEND Office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r w:rsidRPr="00936776">
              <w:rPr>
                <w:rFonts w:ascii="Source Sans Pro" w:hAnsi="Source Sans Pro" w:cs="Arial"/>
                <w:bCs/>
                <w:sz w:val="16"/>
                <w:szCs w:val="16"/>
              </w:rPr>
              <w:t>Fürstenbrunner Weg 22-32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E81D4" w14:textId="53D9A1FE" w:rsidR="00936776" w:rsidRPr="00824CB6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936776">
              <w:rPr>
                <w:rFonts w:ascii="Source Sans Pro" w:hAnsi="Source Sans Pro" w:cs="Arial"/>
                <w:bCs/>
                <w:sz w:val="16"/>
                <w:szCs w:val="16"/>
              </w:rPr>
              <w:t>BIM/ Berliner Landesinstitut für Aus-, Fort- und Weiterbildung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78958" w14:textId="5F28786B" w:rsidR="00936776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1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7</w:t>
            </w: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.000</w:t>
            </w:r>
          </w:p>
        </w:tc>
      </w:tr>
      <w:tr w:rsidR="00936776" w:rsidRPr="004A2D54" w14:paraId="1FFFA340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869A2" w14:textId="7B61BD9E" w:rsidR="00936776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93522" w14:textId="6247EEFC" w:rsidR="00936776" w:rsidRPr="00ED0595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824CB6">
              <w:rPr>
                <w:rFonts w:ascii="Source Sans Pro" w:hAnsi="Source Sans Pro" w:cs="Arial"/>
                <w:bCs/>
                <w:sz w:val="16"/>
                <w:szCs w:val="16"/>
              </w:rPr>
              <w:t xml:space="preserve">"Ehemalige Haspa-Zentrale", </w:t>
            </w:r>
            <w:proofErr w:type="spellStart"/>
            <w:r w:rsidRPr="00824CB6">
              <w:rPr>
                <w:rFonts w:ascii="Source Sans Pro" w:hAnsi="Source Sans Pro" w:cs="Arial"/>
                <w:bCs/>
                <w:sz w:val="16"/>
                <w:szCs w:val="16"/>
              </w:rPr>
              <w:t>Adolphsplatz</w:t>
            </w:r>
            <w:proofErr w:type="spellEnd"/>
            <w:r w:rsidRPr="00824CB6">
              <w:rPr>
                <w:rFonts w:ascii="Source Sans Pro" w:hAnsi="Source Sans Pro" w:cs="Arial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258E" w14:textId="646F039B" w:rsidR="00936776" w:rsidRPr="00ED0595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824CB6">
              <w:rPr>
                <w:rFonts w:ascii="Source Sans Pro" w:hAnsi="Source Sans Pro" w:cs="Arial"/>
                <w:bCs/>
                <w:sz w:val="16"/>
                <w:szCs w:val="16"/>
              </w:rPr>
              <w:t>Freie und Hansestadt Hamburg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58802" w14:textId="2347B1AC" w:rsidR="00936776" w:rsidRPr="00ED0595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14.900</w:t>
            </w:r>
          </w:p>
        </w:tc>
      </w:tr>
      <w:tr w:rsidR="00936776" w:rsidRPr="004A2D54" w14:paraId="0BA6F12E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1D5" w14:textId="3BB643A8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E34" w14:textId="592B59D9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„W2 Campus“, Am Wallgraben/Schockenriedstraße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B65" w14:textId="0603775E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SSB Stuttgarter Straßenbahn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139" w14:textId="2DB634F0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14.500</w:t>
            </w:r>
          </w:p>
        </w:tc>
      </w:tr>
      <w:tr w:rsidR="00936776" w:rsidRPr="004A2D54" w14:paraId="22B62F82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C55C" w14:textId="3C584186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922" w14:textId="20D68AFF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„Schlossgartenquartier“, Königstraße 1c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2ED3" w14:textId="619F1FE4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Land Baden-Württemberg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010" w14:textId="30976411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10.000</w:t>
            </w:r>
          </w:p>
        </w:tc>
      </w:tr>
      <w:tr w:rsidR="00936776" w:rsidRPr="004A2D54" w14:paraId="026A2FAB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410D5E19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0B" w14:textId="38DFC8AA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 xml:space="preserve">„Go four </w:t>
            </w:r>
            <w:proofErr w:type="gramStart"/>
            <w:r w:rsidRPr="00DA2639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>it“</w:t>
            </w:r>
            <w:proofErr w:type="gramEnd"/>
            <w:r w:rsidRPr="00DA2639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 xml:space="preserve">, Hanauer </w:t>
            </w:r>
            <w:proofErr w:type="spellStart"/>
            <w:r w:rsidRPr="00DA2639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>Straße</w:t>
            </w:r>
            <w:proofErr w:type="spellEnd"/>
            <w:r w:rsidRPr="00DA2639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 xml:space="preserve"> 91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3B4B75F5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DMG MORI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58F910A5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DA2639">
              <w:rPr>
                <w:rFonts w:ascii="Source Sans Pro" w:hAnsi="Source Sans Pro" w:cs="Arial"/>
                <w:bCs/>
                <w:sz w:val="16"/>
                <w:szCs w:val="16"/>
              </w:rPr>
              <w:t>10.000</w:t>
            </w:r>
          </w:p>
        </w:tc>
      </w:tr>
      <w:tr w:rsidR="00936776" w:rsidRPr="004A2D54" w14:paraId="49C3D06F" w14:textId="77777777" w:rsidTr="00735000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3585C" w14:textId="66005F35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1A5D5" w14:textId="37516938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93396F">
              <w:rPr>
                <w:rFonts w:ascii="Source Sans Pro" w:hAnsi="Source Sans Pro" w:cs="Arial"/>
                <w:bCs/>
                <w:sz w:val="16"/>
                <w:szCs w:val="16"/>
              </w:rPr>
              <w:t>"HAUPTWACHE EINS", A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n</w:t>
            </w:r>
            <w:r w:rsidRPr="0093396F">
              <w:rPr>
                <w:rFonts w:ascii="Source Sans Pro" w:hAnsi="Source Sans Pro" w:cs="Arial"/>
                <w:bCs/>
                <w:sz w:val="16"/>
                <w:szCs w:val="16"/>
              </w:rPr>
              <w:t xml:space="preserve"> der Hauptwache 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8FC8" w14:textId="76CC5222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93396F">
              <w:rPr>
                <w:rFonts w:ascii="Source Sans Pro" w:hAnsi="Source Sans Pro" w:cs="Arial"/>
                <w:bCs/>
                <w:sz w:val="16"/>
                <w:szCs w:val="16"/>
              </w:rPr>
              <w:t>Frankfurter Sparkasse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FB65D" w14:textId="1777EB79" w:rsidR="00936776" w:rsidRPr="00DA2639" w:rsidRDefault="00936776" w:rsidP="0093677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7.200</w:t>
            </w:r>
          </w:p>
        </w:tc>
      </w:tr>
    </w:tbl>
    <w:p w14:paraId="444FE02E" w14:textId="1CBA74EF" w:rsidR="004A2D54" w:rsidRPr="005D5F7E" w:rsidRDefault="00052B49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5D5F7E">
        <w:rPr>
          <w:rFonts w:ascii="Source Sans Pro" w:hAnsi="Source Sans Pro" w:cs="Arial"/>
          <w:sz w:val="16"/>
          <w:szCs w:val="16"/>
        </w:rPr>
        <w:t>Q</w:t>
      </w:r>
      <w:r w:rsidR="004A2D54" w:rsidRPr="005D5F7E">
        <w:rPr>
          <w:rFonts w:ascii="Source Sans Pro" w:hAnsi="Source Sans Pro" w:cs="Arial"/>
          <w:sz w:val="16"/>
          <w:szCs w:val="16"/>
        </w:rPr>
        <w:t>uelle: German Property Partners (GPP)</w:t>
      </w:r>
      <w:r w:rsidR="00342A23" w:rsidRPr="005D5F7E">
        <w:rPr>
          <w:rFonts w:ascii="Source Sans Pro" w:hAnsi="Source Sans Pro" w:cs="Arial"/>
          <w:sz w:val="16"/>
          <w:szCs w:val="16"/>
        </w:rPr>
        <w:t>; Deals aus dem aktuellen Quartal sind farblich hervorgehoben</w:t>
      </w:r>
    </w:p>
    <w:p w14:paraId="25DC210E" w14:textId="77777777" w:rsidR="00972495" w:rsidRDefault="00972495" w:rsidP="00EF4420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4F35128E" w14:textId="77777777" w:rsidR="006B670F" w:rsidRDefault="006B670F" w:rsidP="00EF4420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69B4E491" w14:textId="64D15EF7" w:rsidR="00EF4420" w:rsidRPr="00A36FA4" w:rsidRDefault="00EF4420" w:rsidP="00EF4420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5BB183CA" w14:textId="77777777" w:rsidR="00EF4420" w:rsidRPr="00E1280F" w:rsidRDefault="0073500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9" w:history="1">
        <w:r w:rsidR="00EF4420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F4420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</w:t>
      </w:r>
      <w:r w:rsidR="00EF4420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Immobilien</w:t>
      </w:r>
      <w:r w:rsidR="00EF4420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Anteon Immobilien, GREIF &amp; CONTZEN Immobilien, blackolive und E &amp; G </w:t>
      </w:r>
      <w:r w:rsidR="00EF4420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Immobilien</w:t>
      </w:r>
      <w:r w:rsidR="00EF4420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. Es zeichnet sich durch tiefe Marktkenntnisse vor Ort, langjährig für die Partnerunternehmen tätige Immobilienberater und das persönliche Engagement der Gesellschafter und Geschäftsführer aus. </w:t>
      </w:r>
    </w:p>
    <w:p w14:paraId="4419B28D" w14:textId="77777777" w:rsidR="00EF4420" w:rsidRPr="00E1280F" w:rsidRDefault="00EF442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28E3A0B8" w14:textId="77777777" w:rsidR="00EF4420" w:rsidRPr="00E1280F" w:rsidRDefault="00EF442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Das Netzwerk verfügt in den Top-7-Städten Hamburg, Berlin, Düsseldorf|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Essen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3F996FFC" w14:textId="77777777" w:rsidR="00EF4420" w:rsidRPr="00E1280F" w:rsidRDefault="00EF442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7C69F8C6" w14:textId="77777777" w:rsidR="00EF4420" w:rsidRPr="006C69B7" w:rsidRDefault="00EF442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>Aktuell sind rund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3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 w:rsidRPr="009C6B1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490.000</w:t>
      </w:r>
      <w:r w:rsidRP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m²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Gewerbefläche und betreute ein Transaktionsvolumen in Höhe von rund </w:t>
      </w:r>
      <w:r w:rsidRPr="009C6B1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770 Mio. €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</w:p>
    <w:p w14:paraId="0879C928" w14:textId="77777777" w:rsidR="00EF4420" w:rsidRDefault="00EF4420" w:rsidP="00EF4420">
      <w:pPr>
        <w:pStyle w:val="EinfAbs"/>
        <w:tabs>
          <w:tab w:val="left" w:pos="200"/>
        </w:tabs>
        <w:spacing w:line="220" w:lineRule="exact"/>
        <w:jc w:val="both"/>
      </w:pPr>
    </w:p>
    <w:p w14:paraId="3F0E1BFC" w14:textId="10AC79F1" w:rsidR="00EF4420" w:rsidRDefault="0073500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</w:pPr>
      <w:r w:rsidRPr="00735000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408123CF" w14:textId="77777777" w:rsidR="00735000" w:rsidRPr="00972495" w:rsidRDefault="0073500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</w:pPr>
    </w:p>
    <w:p w14:paraId="1B5471A2" w14:textId="77777777" w:rsidR="00EF4420" w:rsidRPr="00D56A51" w:rsidRDefault="00EF4420" w:rsidP="00EF4420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790528">
    <w:pPr>
      <w:pStyle w:val="Fuzeile"/>
      <w:spacing w:line="220" w:lineRule="exact"/>
      <w:jc w:val="center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18698016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740E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740E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05B67B8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735000">
      <w:rPr>
        <w:rFonts w:ascii="Source Sans Pro" w:hAnsi="Source Sans Pro" w:cs="Source Sans Pro"/>
        <w:color w:val="0087A8"/>
        <w:sz w:val="18"/>
        <w:szCs w:val="18"/>
      </w:rPr>
      <w:t>9</w:t>
    </w:r>
    <w:r w:rsidR="00735000">
      <w:rPr>
        <w:rFonts w:ascii="Source Sans Pro" w:hAnsi="Source Sans Pro" w:cs="Source Sans Pro"/>
        <w:color w:val="0087A8"/>
        <w:sz w:val="18"/>
        <w:szCs w:val="18"/>
      </w:rPr>
      <w:t>88</w:t>
    </w:r>
  </w:p>
  <w:p w14:paraId="6F9C1B3C" w14:textId="14EDD27A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3D9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0C144EF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740E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740E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15787C79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790528">
      <w:rPr>
        <w:rFonts w:ascii="Source Sans Pro" w:hAnsi="Source Sans Pro" w:cs="Source Sans Pro"/>
        <w:color w:val="0087A8"/>
        <w:sz w:val="18"/>
        <w:szCs w:val="18"/>
      </w:rPr>
      <w:t>9</w:t>
    </w:r>
    <w:r w:rsidR="002D13D9">
      <w:rPr>
        <w:rFonts w:ascii="Source Sans Pro" w:hAnsi="Source Sans Pro" w:cs="Source Sans Pro"/>
        <w:color w:val="0087A8"/>
        <w:sz w:val="18"/>
        <w:szCs w:val="18"/>
      </w:rPr>
      <w:t>88</w:t>
    </w:r>
  </w:p>
  <w:p w14:paraId="5F7CBAE8" w14:textId="45EF2C56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3D9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F206F"/>
    <w:multiLevelType w:val="hybridMultilevel"/>
    <w:tmpl w:val="287EDB1E"/>
    <w:lvl w:ilvl="0" w:tplc="010ECCCC">
      <w:start w:val="5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7A5D"/>
    <w:multiLevelType w:val="hybridMultilevel"/>
    <w:tmpl w:val="4FAA88A4"/>
    <w:lvl w:ilvl="0" w:tplc="C16281F0">
      <w:start w:val="5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C30FF"/>
    <w:multiLevelType w:val="hybridMultilevel"/>
    <w:tmpl w:val="DC068E26"/>
    <w:lvl w:ilvl="0" w:tplc="A91AE740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0FA5"/>
    <w:multiLevelType w:val="hybridMultilevel"/>
    <w:tmpl w:val="CFC436D8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030BBC"/>
    <w:multiLevelType w:val="hybridMultilevel"/>
    <w:tmpl w:val="1FEACB4E"/>
    <w:lvl w:ilvl="0" w:tplc="D3D2A39C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363AC"/>
    <w:multiLevelType w:val="hybridMultilevel"/>
    <w:tmpl w:val="95BA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6643">
    <w:abstractNumId w:val="3"/>
  </w:num>
  <w:num w:numId="2" w16cid:durableId="441808873">
    <w:abstractNumId w:val="0"/>
  </w:num>
  <w:num w:numId="3" w16cid:durableId="1681614760">
    <w:abstractNumId w:val="1"/>
  </w:num>
  <w:num w:numId="4" w16cid:durableId="1572348037">
    <w:abstractNumId w:val="5"/>
  </w:num>
  <w:num w:numId="5" w16cid:durableId="1749574291">
    <w:abstractNumId w:val="4"/>
  </w:num>
  <w:num w:numId="6" w16cid:durableId="965281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85"/>
    <w:rsid w:val="00003819"/>
    <w:rsid w:val="00004E93"/>
    <w:rsid w:val="00006B0B"/>
    <w:rsid w:val="00007A82"/>
    <w:rsid w:val="00012426"/>
    <w:rsid w:val="000136D7"/>
    <w:rsid w:val="00013D73"/>
    <w:rsid w:val="00013FE8"/>
    <w:rsid w:val="0001488A"/>
    <w:rsid w:val="000173C0"/>
    <w:rsid w:val="00020AC9"/>
    <w:rsid w:val="0002187D"/>
    <w:rsid w:val="00022CE1"/>
    <w:rsid w:val="00022F25"/>
    <w:rsid w:val="00024032"/>
    <w:rsid w:val="00024153"/>
    <w:rsid w:val="000243CC"/>
    <w:rsid w:val="00024C47"/>
    <w:rsid w:val="00027EA3"/>
    <w:rsid w:val="00032028"/>
    <w:rsid w:val="00033F7F"/>
    <w:rsid w:val="0003409F"/>
    <w:rsid w:val="00035322"/>
    <w:rsid w:val="00041A34"/>
    <w:rsid w:val="000440EB"/>
    <w:rsid w:val="0005029E"/>
    <w:rsid w:val="000513D0"/>
    <w:rsid w:val="00052B49"/>
    <w:rsid w:val="00053277"/>
    <w:rsid w:val="00054FE9"/>
    <w:rsid w:val="000663B5"/>
    <w:rsid w:val="00066A8A"/>
    <w:rsid w:val="0007043A"/>
    <w:rsid w:val="00070F97"/>
    <w:rsid w:val="00071BAF"/>
    <w:rsid w:val="00077E8A"/>
    <w:rsid w:val="00082C59"/>
    <w:rsid w:val="00091562"/>
    <w:rsid w:val="0009382E"/>
    <w:rsid w:val="0009706D"/>
    <w:rsid w:val="000A4F68"/>
    <w:rsid w:val="000A4FBB"/>
    <w:rsid w:val="000A5015"/>
    <w:rsid w:val="000A6A78"/>
    <w:rsid w:val="000B310B"/>
    <w:rsid w:val="000B4143"/>
    <w:rsid w:val="000C278A"/>
    <w:rsid w:val="000C36A5"/>
    <w:rsid w:val="000C3A22"/>
    <w:rsid w:val="000C3EF6"/>
    <w:rsid w:val="000C5B2A"/>
    <w:rsid w:val="000D2B1C"/>
    <w:rsid w:val="000D4F14"/>
    <w:rsid w:val="000D6F2E"/>
    <w:rsid w:val="000D7FD3"/>
    <w:rsid w:val="000E1357"/>
    <w:rsid w:val="000E194E"/>
    <w:rsid w:val="000E641E"/>
    <w:rsid w:val="000E6577"/>
    <w:rsid w:val="000E7EA5"/>
    <w:rsid w:val="000F031F"/>
    <w:rsid w:val="000F08DC"/>
    <w:rsid w:val="000F57F1"/>
    <w:rsid w:val="000F6013"/>
    <w:rsid w:val="000F79F5"/>
    <w:rsid w:val="00101220"/>
    <w:rsid w:val="00103C4E"/>
    <w:rsid w:val="0010452E"/>
    <w:rsid w:val="00104EC7"/>
    <w:rsid w:val="00110B3E"/>
    <w:rsid w:val="001116D7"/>
    <w:rsid w:val="00113D8C"/>
    <w:rsid w:val="00120624"/>
    <w:rsid w:val="0012156C"/>
    <w:rsid w:val="00127A45"/>
    <w:rsid w:val="00133961"/>
    <w:rsid w:val="00137831"/>
    <w:rsid w:val="001416A0"/>
    <w:rsid w:val="001421F7"/>
    <w:rsid w:val="0014498B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77F39"/>
    <w:rsid w:val="00184BB0"/>
    <w:rsid w:val="00187963"/>
    <w:rsid w:val="0019039E"/>
    <w:rsid w:val="001963BB"/>
    <w:rsid w:val="001A08CF"/>
    <w:rsid w:val="001A1F4F"/>
    <w:rsid w:val="001A22F5"/>
    <w:rsid w:val="001A33B3"/>
    <w:rsid w:val="001A4E95"/>
    <w:rsid w:val="001A60D1"/>
    <w:rsid w:val="001B786B"/>
    <w:rsid w:val="001C15E0"/>
    <w:rsid w:val="001C518B"/>
    <w:rsid w:val="001C5D5B"/>
    <w:rsid w:val="001C6C29"/>
    <w:rsid w:val="001D3808"/>
    <w:rsid w:val="001E1829"/>
    <w:rsid w:val="001E5503"/>
    <w:rsid w:val="001E5CBD"/>
    <w:rsid w:val="001E6935"/>
    <w:rsid w:val="001E73A9"/>
    <w:rsid w:val="001E77A9"/>
    <w:rsid w:val="001F218D"/>
    <w:rsid w:val="001F35E1"/>
    <w:rsid w:val="00200C83"/>
    <w:rsid w:val="002014F7"/>
    <w:rsid w:val="00202DD3"/>
    <w:rsid w:val="00205386"/>
    <w:rsid w:val="002076E6"/>
    <w:rsid w:val="0021392B"/>
    <w:rsid w:val="0021727D"/>
    <w:rsid w:val="00221CD3"/>
    <w:rsid w:val="00221D60"/>
    <w:rsid w:val="00223AD5"/>
    <w:rsid w:val="00226210"/>
    <w:rsid w:val="0022694F"/>
    <w:rsid w:val="002303B6"/>
    <w:rsid w:val="002350C4"/>
    <w:rsid w:val="00235393"/>
    <w:rsid w:val="002371FE"/>
    <w:rsid w:val="00245D99"/>
    <w:rsid w:val="002468C0"/>
    <w:rsid w:val="00256932"/>
    <w:rsid w:val="00264A0A"/>
    <w:rsid w:val="00270180"/>
    <w:rsid w:val="0028070D"/>
    <w:rsid w:val="00282ED8"/>
    <w:rsid w:val="00296D61"/>
    <w:rsid w:val="0029764A"/>
    <w:rsid w:val="002A09C2"/>
    <w:rsid w:val="002A41A8"/>
    <w:rsid w:val="002A480D"/>
    <w:rsid w:val="002A59DD"/>
    <w:rsid w:val="002A7D58"/>
    <w:rsid w:val="002B4422"/>
    <w:rsid w:val="002B537B"/>
    <w:rsid w:val="002C52C5"/>
    <w:rsid w:val="002C67D7"/>
    <w:rsid w:val="002D13D9"/>
    <w:rsid w:val="002D5B8F"/>
    <w:rsid w:val="002E0FB5"/>
    <w:rsid w:val="002F461A"/>
    <w:rsid w:val="002F746F"/>
    <w:rsid w:val="00300B29"/>
    <w:rsid w:val="00303901"/>
    <w:rsid w:val="003054EB"/>
    <w:rsid w:val="00315269"/>
    <w:rsid w:val="003152C9"/>
    <w:rsid w:val="00316196"/>
    <w:rsid w:val="003250ED"/>
    <w:rsid w:val="003278F6"/>
    <w:rsid w:val="0033523C"/>
    <w:rsid w:val="003366E6"/>
    <w:rsid w:val="00337E28"/>
    <w:rsid w:val="00341D84"/>
    <w:rsid w:val="003424EC"/>
    <w:rsid w:val="00342A23"/>
    <w:rsid w:val="00343846"/>
    <w:rsid w:val="0034454C"/>
    <w:rsid w:val="0035249E"/>
    <w:rsid w:val="00355438"/>
    <w:rsid w:val="00355ED1"/>
    <w:rsid w:val="00357E06"/>
    <w:rsid w:val="00363075"/>
    <w:rsid w:val="003643A0"/>
    <w:rsid w:val="00364BAF"/>
    <w:rsid w:val="00366AF3"/>
    <w:rsid w:val="00370BFB"/>
    <w:rsid w:val="0037108D"/>
    <w:rsid w:val="00371640"/>
    <w:rsid w:val="00371D83"/>
    <w:rsid w:val="00371F87"/>
    <w:rsid w:val="00374F87"/>
    <w:rsid w:val="003766F3"/>
    <w:rsid w:val="0038142B"/>
    <w:rsid w:val="00381A5A"/>
    <w:rsid w:val="00381D14"/>
    <w:rsid w:val="00387EEF"/>
    <w:rsid w:val="00392897"/>
    <w:rsid w:val="00392C51"/>
    <w:rsid w:val="003948FA"/>
    <w:rsid w:val="003A0CF9"/>
    <w:rsid w:val="003A343C"/>
    <w:rsid w:val="003A44CB"/>
    <w:rsid w:val="003A463F"/>
    <w:rsid w:val="003B496B"/>
    <w:rsid w:val="003D36F0"/>
    <w:rsid w:val="003D37E4"/>
    <w:rsid w:val="003D40B2"/>
    <w:rsid w:val="003D5215"/>
    <w:rsid w:val="003E772C"/>
    <w:rsid w:val="003F293B"/>
    <w:rsid w:val="003F4EE7"/>
    <w:rsid w:val="003F5E07"/>
    <w:rsid w:val="004000A8"/>
    <w:rsid w:val="0040331F"/>
    <w:rsid w:val="00403C95"/>
    <w:rsid w:val="0041251D"/>
    <w:rsid w:val="00421BFA"/>
    <w:rsid w:val="00421D43"/>
    <w:rsid w:val="00423DAC"/>
    <w:rsid w:val="00425DBF"/>
    <w:rsid w:val="004329C6"/>
    <w:rsid w:val="004333FF"/>
    <w:rsid w:val="004343B1"/>
    <w:rsid w:val="00434EB9"/>
    <w:rsid w:val="00437B38"/>
    <w:rsid w:val="00441174"/>
    <w:rsid w:val="00445495"/>
    <w:rsid w:val="004501A9"/>
    <w:rsid w:val="00453BB0"/>
    <w:rsid w:val="00453F14"/>
    <w:rsid w:val="004563C8"/>
    <w:rsid w:val="00456442"/>
    <w:rsid w:val="00464D30"/>
    <w:rsid w:val="0047027D"/>
    <w:rsid w:val="00474099"/>
    <w:rsid w:val="00475CB4"/>
    <w:rsid w:val="00483578"/>
    <w:rsid w:val="00491CBC"/>
    <w:rsid w:val="00494AE2"/>
    <w:rsid w:val="004A2A30"/>
    <w:rsid w:val="004A2D54"/>
    <w:rsid w:val="004A5F84"/>
    <w:rsid w:val="004A6E04"/>
    <w:rsid w:val="004B5CB6"/>
    <w:rsid w:val="004C616B"/>
    <w:rsid w:val="004D21F1"/>
    <w:rsid w:val="004D2CD0"/>
    <w:rsid w:val="004D5D1F"/>
    <w:rsid w:val="004E52C1"/>
    <w:rsid w:val="004E6B98"/>
    <w:rsid w:val="004F1EDD"/>
    <w:rsid w:val="004F5684"/>
    <w:rsid w:val="004F77D4"/>
    <w:rsid w:val="00500981"/>
    <w:rsid w:val="00500AD6"/>
    <w:rsid w:val="0050304A"/>
    <w:rsid w:val="005045E7"/>
    <w:rsid w:val="0051046D"/>
    <w:rsid w:val="00510C33"/>
    <w:rsid w:val="005122A0"/>
    <w:rsid w:val="00513341"/>
    <w:rsid w:val="005179D5"/>
    <w:rsid w:val="00520B8C"/>
    <w:rsid w:val="005306BF"/>
    <w:rsid w:val="005319DF"/>
    <w:rsid w:val="0054038E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1D42"/>
    <w:rsid w:val="0059441E"/>
    <w:rsid w:val="00596092"/>
    <w:rsid w:val="005A5999"/>
    <w:rsid w:val="005A7DA9"/>
    <w:rsid w:val="005B52B7"/>
    <w:rsid w:val="005B74A4"/>
    <w:rsid w:val="005C25D5"/>
    <w:rsid w:val="005D0D0E"/>
    <w:rsid w:val="005D1D6F"/>
    <w:rsid w:val="005D21C5"/>
    <w:rsid w:val="005D449F"/>
    <w:rsid w:val="005D5F7E"/>
    <w:rsid w:val="005D73BE"/>
    <w:rsid w:val="005E21DE"/>
    <w:rsid w:val="005E6515"/>
    <w:rsid w:val="005F27EF"/>
    <w:rsid w:val="005F283A"/>
    <w:rsid w:val="005F3B7B"/>
    <w:rsid w:val="0060257F"/>
    <w:rsid w:val="00605989"/>
    <w:rsid w:val="006110D3"/>
    <w:rsid w:val="00613713"/>
    <w:rsid w:val="00613E6C"/>
    <w:rsid w:val="0062180F"/>
    <w:rsid w:val="006224FB"/>
    <w:rsid w:val="00630505"/>
    <w:rsid w:val="0063115F"/>
    <w:rsid w:val="006363DA"/>
    <w:rsid w:val="00640E69"/>
    <w:rsid w:val="006432C0"/>
    <w:rsid w:val="006456EA"/>
    <w:rsid w:val="00646995"/>
    <w:rsid w:val="00650F25"/>
    <w:rsid w:val="00653983"/>
    <w:rsid w:val="00655943"/>
    <w:rsid w:val="006609C2"/>
    <w:rsid w:val="00664262"/>
    <w:rsid w:val="006724DF"/>
    <w:rsid w:val="00675BA1"/>
    <w:rsid w:val="00675E89"/>
    <w:rsid w:val="00684F14"/>
    <w:rsid w:val="006853DC"/>
    <w:rsid w:val="00685E14"/>
    <w:rsid w:val="006923BE"/>
    <w:rsid w:val="00695F46"/>
    <w:rsid w:val="006A0549"/>
    <w:rsid w:val="006A3192"/>
    <w:rsid w:val="006A3C35"/>
    <w:rsid w:val="006A49B1"/>
    <w:rsid w:val="006A5878"/>
    <w:rsid w:val="006A6D11"/>
    <w:rsid w:val="006B2259"/>
    <w:rsid w:val="006B2684"/>
    <w:rsid w:val="006B2E8B"/>
    <w:rsid w:val="006B5252"/>
    <w:rsid w:val="006B670F"/>
    <w:rsid w:val="006C1FF3"/>
    <w:rsid w:val="006C5754"/>
    <w:rsid w:val="006C5831"/>
    <w:rsid w:val="006D2948"/>
    <w:rsid w:val="006D2B6F"/>
    <w:rsid w:val="006D2DAE"/>
    <w:rsid w:val="006D6526"/>
    <w:rsid w:val="006D7431"/>
    <w:rsid w:val="006D7E9F"/>
    <w:rsid w:val="006E03E0"/>
    <w:rsid w:val="006E3B37"/>
    <w:rsid w:val="006E60AE"/>
    <w:rsid w:val="006E674D"/>
    <w:rsid w:val="006E6770"/>
    <w:rsid w:val="006F12A8"/>
    <w:rsid w:val="006F154A"/>
    <w:rsid w:val="006F3858"/>
    <w:rsid w:val="006F3CBD"/>
    <w:rsid w:val="006F3F00"/>
    <w:rsid w:val="006F4F92"/>
    <w:rsid w:val="00700A62"/>
    <w:rsid w:val="0070136B"/>
    <w:rsid w:val="0070363C"/>
    <w:rsid w:val="00712023"/>
    <w:rsid w:val="007144E9"/>
    <w:rsid w:val="0071482E"/>
    <w:rsid w:val="00714A1F"/>
    <w:rsid w:val="00717328"/>
    <w:rsid w:val="0072073D"/>
    <w:rsid w:val="00732D5E"/>
    <w:rsid w:val="00735000"/>
    <w:rsid w:val="007355B6"/>
    <w:rsid w:val="00735DF6"/>
    <w:rsid w:val="007366B7"/>
    <w:rsid w:val="00740EB7"/>
    <w:rsid w:val="00742C04"/>
    <w:rsid w:val="0074571D"/>
    <w:rsid w:val="00745D50"/>
    <w:rsid w:val="007627C8"/>
    <w:rsid w:val="0076666B"/>
    <w:rsid w:val="00766717"/>
    <w:rsid w:val="00771C92"/>
    <w:rsid w:val="007755D7"/>
    <w:rsid w:val="007832C8"/>
    <w:rsid w:val="00783544"/>
    <w:rsid w:val="00790528"/>
    <w:rsid w:val="00793C7D"/>
    <w:rsid w:val="00797DA3"/>
    <w:rsid w:val="007A2D16"/>
    <w:rsid w:val="007A4844"/>
    <w:rsid w:val="007B27FB"/>
    <w:rsid w:val="007B3142"/>
    <w:rsid w:val="007B33CE"/>
    <w:rsid w:val="007B35E6"/>
    <w:rsid w:val="007B7B81"/>
    <w:rsid w:val="007D1495"/>
    <w:rsid w:val="007D5A52"/>
    <w:rsid w:val="007D75C8"/>
    <w:rsid w:val="007E2C66"/>
    <w:rsid w:val="007E38D1"/>
    <w:rsid w:val="007E46C3"/>
    <w:rsid w:val="007E6244"/>
    <w:rsid w:val="007F02A1"/>
    <w:rsid w:val="007F1021"/>
    <w:rsid w:val="007F2DBB"/>
    <w:rsid w:val="007F5B5C"/>
    <w:rsid w:val="007F7E7C"/>
    <w:rsid w:val="008010F4"/>
    <w:rsid w:val="00801337"/>
    <w:rsid w:val="008113A7"/>
    <w:rsid w:val="0081554E"/>
    <w:rsid w:val="00821A81"/>
    <w:rsid w:val="00824CB6"/>
    <w:rsid w:val="00833779"/>
    <w:rsid w:val="008373FC"/>
    <w:rsid w:val="00846E84"/>
    <w:rsid w:val="00856A7C"/>
    <w:rsid w:val="00863D6C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5E54"/>
    <w:rsid w:val="008A7188"/>
    <w:rsid w:val="008B4EB4"/>
    <w:rsid w:val="008C1EBB"/>
    <w:rsid w:val="008D24F1"/>
    <w:rsid w:val="008D6864"/>
    <w:rsid w:val="008D6B2E"/>
    <w:rsid w:val="008E25DF"/>
    <w:rsid w:val="008E5C25"/>
    <w:rsid w:val="008F0275"/>
    <w:rsid w:val="008F1872"/>
    <w:rsid w:val="008F2058"/>
    <w:rsid w:val="009064CE"/>
    <w:rsid w:val="00912233"/>
    <w:rsid w:val="00915F18"/>
    <w:rsid w:val="00917111"/>
    <w:rsid w:val="00917410"/>
    <w:rsid w:val="00921F45"/>
    <w:rsid w:val="009264D0"/>
    <w:rsid w:val="009312C4"/>
    <w:rsid w:val="009321F1"/>
    <w:rsid w:val="0093360A"/>
    <w:rsid w:val="0093396F"/>
    <w:rsid w:val="009358D3"/>
    <w:rsid w:val="00936776"/>
    <w:rsid w:val="00955433"/>
    <w:rsid w:val="00955764"/>
    <w:rsid w:val="00957A6F"/>
    <w:rsid w:val="009649C2"/>
    <w:rsid w:val="00965DEB"/>
    <w:rsid w:val="00971DF5"/>
    <w:rsid w:val="00972495"/>
    <w:rsid w:val="00973056"/>
    <w:rsid w:val="009738DE"/>
    <w:rsid w:val="009750F7"/>
    <w:rsid w:val="009758E9"/>
    <w:rsid w:val="00977A0F"/>
    <w:rsid w:val="00980BEB"/>
    <w:rsid w:val="00980D94"/>
    <w:rsid w:val="009825A7"/>
    <w:rsid w:val="00982F7B"/>
    <w:rsid w:val="009843D4"/>
    <w:rsid w:val="00986E5B"/>
    <w:rsid w:val="0099076D"/>
    <w:rsid w:val="0099690F"/>
    <w:rsid w:val="00996D38"/>
    <w:rsid w:val="00997675"/>
    <w:rsid w:val="009A3211"/>
    <w:rsid w:val="009A53E2"/>
    <w:rsid w:val="009B008F"/>
    <w:rsid w:val="009B0C09"/>
    <w:rsid w:val="009C11F2"/>
    <w:rsid w:val="009C3FDE"/>
    <w:rsid w:val="009C51BD"/>
    <w:rsid w:val="009C7CAD"/>
    <w:rsid w:val="009D1C7A"/>
    <w:rsid w:val="009D2111"/>
    <w:rsid w:val="009D2836"/>
    <w:rsid w:val="009D686B"/>
    <w:rsid w:val="009E6FDF"/>
    <w:rsid w:val="009F28F5"/>
    <w:rsid w:val="009F2DA7"/>
    <w:rsid w:val="00A0582F"/>
    <w:rsid w:val="00A0717D"/>
    <w:rsid w:val="00A07846"/>
    <w:rsid w:val="00A12AFE"/>
    <w:rsid w:val="00A13548"/>
    <w:rsid w:val="00A159F8"/>
    <w:rsid w:val="00A17CA6"/>
    <w:rsid w:val="00A2086A"/>
    <w:rsid w:val="00A20DD4"/>
    <w:rsid w:val="00A2291B"/>
    <w:rsid w:val="00A22C2C"/>
    <w:rsid w:val="00A32496"/>
    <w:rsid w:val="00A346EF"/>
    <w:rsid w:val="00A53AF4"/>
    <w:rsid w:val="00A54087"/>
    <w:rsid w:val="00A549F3"/>
    <w:rsid w:val="00A611B9"/>
    <w:rsid w:val="00A626AC"/>
    <w:rsid w:val="00A65690"/>
    <w:rsid w:val="00A65FB0"/>
    <w:rsid w:val="00A66A23"/>
    <w:rsid w:val="00A67512"/>
    <w:rsid w:val="00A743C6"/>
    <w:rsid w:val="00A908C3"/>
    <w:rsid w:val="00A908E3"/>
    <w:rsid w:val="00A90FFC"/>
    <w:rsid w:val="00A9327D"/>
    <w:rsid w:val="00A9412B"/>
    <w:rsid w:val="00A95739"/>
    <w:rsid w:val="00A96A38"/>
    <w:rsid w:val="00AA0491"/>
    <w:rsid w:val="00AA0AB4"/>
    <w:rsid w:val="00AA7B6F"/>
    <w:rsid w:val="00AB0EF0"/>
    <w:rsid w:val="00AB2F7B"/>
    <w:rsid w:val="00AB300C"/>
    <w:rsid w:val="00AB449B"/>
    <w:rsid w:val="00AB69AD"/>
    <w:rsid w:val="00AB7CFA"/>
    <w:rsid w:val="00AC00F8"/>
    <w:rsid w:val="00AC49D3"/>
    <w:rsid w:val="00AC6B15"/>
    <w:rsid w:val="00AC7376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4AB8"/>
    <w:rsid w:val="00AE6F47"/>
    <w:rsid w:val="00AF13F6"/>
    <w:rsid w:val="00AF202A"/>
    <w:rsid w:val="00AF2305"/>
    <w:rsid w:val="00AF237D"/>
    <w:rsid w:val="00AF2F5E"/>
    <w:rsid w:val="00B005BD"/>
    <w:rsid w:val="00B03444"/>
    <w:rsid w:val="00B03542"/>
    <w:rsid w:val="00B04F23"/>
    <w:rsid w:val="00B06E5F"/>
    <w:rsid w:val="00B10FC3"/>
    <w:rsid w:val="00B110DF"/>
    <w:rsid w:val="00B14E68"/>
    <w:rsid w:val="00B226FB"/>
    <w:rsid w:val="00B23669"/>
    <w:rsid w:val="00B23A2B"/>
    <w:rsid w:val="00B24860"/>
    <w:rsid w:val="00B30599"/>
    <w:rsid w:val="00B340CD"/>
    <w:rsid w:val="00B41CC3"/>
    <w:rsid w:val="00B4714C"/>
    <w:rsid w:val="00B50A63"/>
    <w:rsid w:val="00B53AEB"/>
    <w:rsid w:val="00B56AFB"/>
    <w:rsid w:val="00B576A5"/>
    <w:rsid w:val="00B57BCE"/>
    <w:rsid w:val="00B62EDB"/>
    <w:rsid w:val="00B6613A"/>
    <w:rsid w:val="00B7165E"/>
    <w:rsid w:val="00B71718"/>
    <w:rsid w:val="00B717E3"/>
    <w:rsid w:val="00B71BBD"/>
    <w:rsid w:val="00B72F21"/>
    <w:rsid w:val="00B776EA"/>
    <w:rsid w:val="00B83DA7"/>
    <w:rsid w:val="00B84498"/>
    <w:rsid w:val="00B862DB"/>
    <w:rsid w:val="00B922EE"/>
    <w:rsid w:val="00B928B9"/>
    <w:rsid w:val="00B9596E"/>
    <w:rsid w:val="00BA6227"/>
    <w:rsid w:val="00BB0F85"/>
    <w:rsid w:val="00BB21C3"/>
    <w:rsid w:val="00BC0132"/>
    <w:rsid w:val="00BC0598"/>
    <w:rsid w:val="00BC05DE"/>
    <w:rsid w:val="00BC410C"/>
    <w:rsid w:val="00BC72A5"/>
    <w:rsid w:val="00BD0426"/>
    <w:rsid w:val="00BD10B3"/>
    <w:rsid w:val="00BD2784"/>
    <w:rsid w:val="00BD4A4F"/>
    <w:rsid w:val="00BE0C9E"/>
    <w:rsid w:val="00BF11C6"/>
    <w:rsid w:val="00BF5F7B"/>
    <w:rsid w:val="00BF69F6"/>
    <w:rsid w:val="00BF702E"/>
    <w:rsid w:val="00C00EA0"/>
    <w:rsid w:val="00C0282D"/>
    <w:rsid w:val="00C074BD"/>
    <w:rsid w:val="00C11004"/>
    <w:rsid w:val="00C111FE"/>
    <w:rsid w:val="00C14603"/>
    <w:rsid w:val="00C1497F"/>
    <w:rsid w:val="00C20B9C"/>
    <w:rsid w:val="00C2509E"/>
    <w:rsid w:val="00C2778C"/>
    <w:rsid w:val="00C27F6A"/>
    <w:rsid w:val="00C35841"/>
    <w:rsid w:val="00C41C74"/>
    <w:rsid w:val="00C43C76"/>
    <w:rsid w:val="00C43F46"/>
    <w:rsid w:val="00C47F8B"/>
    <w:rsid w:val="00C500B4"/>
    <w:rsid w:val="00C51A09"/>
    <w:rsid w:val="00C52723"/>
    <w:rsid w:val="00C616A4"/>
    <w:rsid w:val="00C64096"/>
    <w:rsid w:val="00C654E1"/>
    <w:rsid w:val="00C832FA"/>
    <w:rsid w:val="00C846F6"/>
    <w:rsid w:val="00C85B10"/>
    <w:rsid w:val="00C90DE4"/>
    <w:rsid w:val="00C9383E"/>
    <w:rsid w:val="00C96048"/>
    <w:rsid w:val="00C96214"/>
    <w:rsid w:val="00C9797F"/>
    <w:rsid w:val="00CA1FB9"/>
    <w:rsid w:val="00CA73C1"/>
    <w:rsid w:val="00CA79D7"/>
    <w:rsid w:val="00CB2D7E"/>
    <w:rsid w:val="00CB3EA4"/>
    <w:rsid w:val="00CC40B9"/>
    <w:rsid w:val="00CC646D"/>
    <w:rsid w:val="00CC7CBA"/>
    <w:rsid w:val="00CD463B"/>
    <w:rsid w:val="00CD687A"/>
    <w:rsid w:val="00CD77DD"/>
    <w:rsid w:val="00CD7E39"/>
    <w:rsid w:val="00CE2EFB"/>
    <w:rsid w:val="00CE37BA"/>
    <w:rsid w:val="00CE5A10"/>
    <w:rsid w:val="00CF49FA"/>
    <w:rsid w:val="00CF6D99"/>
    <w:rsid w:val="00D002D6"/>
    <w:rsid w:val="00D02522"/>
    <w:rsid w:val="00D02F81"/>
    <w:rsid w:val="00D02FD8"/>
    <w:rsid w:val="00D10832"/>
    <w:rsid w:val="00D14315"/>
    <w:rsid w:val="00D30707"/>
    <w:rsid w:val="00D3104C"/>
    <w:rsid w:val="00D3143B"/>
    <w:rsid w:val="00D33105"/>
    <w:rsid w:val="00D41ABC"/>
    <w:rsid w:val="00D478CC"/>
    <w:rsid w:val="00D50FDD"/>
    <w:rsid w:val="00D51669"/>
    <w:rsid w:val="00D52EF6"/>
    <w:rsid w:val="00D602AC"/>
    <w:rsid w:val="00D70824"/>
    <w:rsid w:val="00D70F9E"/>
    <w:rsid w:val="00D760A9"/>
    <w:rsid w:val="00D8401E"/>
    <w:rsid w:val="00D925B8"/>
    <w:rsid w:val="00D92C1C"/>
    <w:rsid w:val="00D92E46"/>
    <w:rsid w:val="00D95197"/>
    <w:rsid w:val="00DA0D62"/>
    <w:rsid w:val="00DA2639"/>
    <w:rsid w:val="00DA3B66"/>
    <w:rsid w:val="00DA6836"/>
    <w:rsid w:val="00DA733A"/>
    <w:rsid w:val="00DB2417"/>
    <w:rsid w:val="00DC05A3"/>
    <w:rsid w:val="00DC0951"/>
    <w:rsid w:val="00DC497C"/>
    <w:rsid w:val="00DC6A0C"/>
    <w:rsid w:val="00DC74D9"/>
    <w:rsid w:val="00DC7EB8"/>
    <w:rsid w:val="00DD1087"/>
    <w:rsid w:val="00DD2947"/>
    <w:rsid w:val="00DD3BDB"/>
    <w:rsid w:val="00DD446C"/>
    <w:rsid w:val="00DE7EFC"/>
    <w:rsid w:val="00DF1DB5"/>
    <w:rsid w:val="00DF1EEF"/>
    <w:rsid w:val="00DF226F"/>
    <w:rsid w:val="00DF25FA"/>
    <w:rsid w:val="00DF2B8B"/>
    <w:rsid w:val="00E03DB3"/>
    <w:rsid w:val="00E05ECE"/>
    <w:rsid w:val="00E1280F"/>
    <w:rsid w:val="00E131B0"/>
    <w:rsid w:val="00E17B2C"/>
    <w:rsid w:val="00E200B3"/>
    <w:rsid w:val="00E20271"/>
    <w:rsid w:val="00E23ABF"/>
    <w:rsid w:val="00E27DEF"/>
    <w:rsid w:val="00E32743"/>
    <w:rsid w:val="00E342C7"/>
    <w:rsid w:val="00E354F6"/>
    <w:rsid w:val="00E35D3E"/>
    <w:rsid w:val="00E404DC"/>
    <w:rsid w:val="00E41A83"/>
    <w:rsid w:val="00E4317C"/>
    <w:rsid w:val="00E51A3A"/>
    <w:rsid w:val="00E606F4"/>
    <w:rsid w:val="00E63703"/>
    <w:rsid w:val="00E66C4A"/>
    <w:rsid w:val="00E704C6"/>
    <w:rsid w:val="00E72EE7"/>
    <w:rsid w:val="00E744B7"/>
    <w:rsid w:val="00E75185"/>
    <w:rsid w:val="00E775AC"/>
    <w:rsid w:val="00E77B98"/>
    <w:rsid w:val="00E77E42"/>
    <w:rsid w:val="00E80907"/>
    <w:rsid w:val="00E8471E"/>
    <w:rsid w:val="00E9085A"/>
    <w:rsid w:val="00E942DA"/>
    <w:rsid w:val="00E94EF3"/>
    <w:rsid w:val="00E959E9"/>
    <w:rsid w:val="00E95E00"/>
    <w:rsid w:val="00E9704C"/>
    <w:rsid w:val="00E97167"/>
    <w:rsid w:val="00EB19E5"/>
    <w:rsid w:val="00EB468A"/>
    <w:rsid w:val="00EC3DC1"/>
    <w:rsid w:val="00EC6CC2"/>
    <w:rsid w:val="00ED0595"/>
    <w:rsid w:val="00ED0970"/>
    <w:rsid w:val="00ED5E59"/>
    <w:rsid w:val="00ED6DCA"/>
    <w:rsid w:val="00EF20B1"/>
    <w:rsid w:val="00EF4420"/>
    <w:rsid w:val="00EF7BE7"/>
    <w:rsid w:val="00F00604"/>
    <w:rsid w:val="00F00CF2"/>
    <w:rsid w:val="00F011B6"/>
    <w:rsid w:val="00F05141"/>
    <w:rsid w:val="00F076C1"/>
    <w:rsid w:val="00F07725"/>
    <w:rsid w:val="00F119A6"/>
    <w:rsid w:val="00F167CB"/>
    <w:rsid w:val="00F2164E"/>
    <w:rsid w:val="00F218D7"/>
    <w:rsid w:val="00F240EB"/>
    <w:rsid w:val="00F315FE"/>
    <w:rsid w:val="00F31FE6"/>
    <w:rsid w:val="00F43811"/>
    <w:rsid w:val="00F45BB8"/>
    <w:rsid w:val="00F53E0E"/>
    <w:rsid w:val="00F53F80"/>
    <w:rsid w:val="00F5697E"/>
    <w:rsid w:val="00F63BFA"/>
    <w:rsid w:val="00F64376"/>
    <w:rsid w:val="00F6556A"/>
    <w:rsid w:val="00F65709"/>
    <w:rsid w:val="00F673A2"/>
    <w:rsid w:val="00F70A1C"/>
    <w:rsid w:val="00F72A3E"/>
    <w:rsid w:val="00F7577B"/>
    <w:rsid w:val="00F77715"/>
    <w:rsid w:val="00F84A25"/>
    <w:rsid w:val="00F84C57"/>
    <w:rsid w:val="00F937F1"/>
    <w:rsid w:val="00FA3D12"/>
    <w:rsid w:val="00FA4024"/>
    <w:rsid w:val="00FA76AB"/>
    <w:rsid w:val="00FB28C0"/>
    <w:rsid w:val="00FB2A50"/>
    <w:rsid w:val="00FB3B53"/>
    <w:rsid w:val="00FC570A"/>
    <w:rsid w:val="00FC69D9"/>
    <w:rsid w:val="00FD6D0F"/>
    <w:rsid w:val="00FD7412"/>
    <w:rsid w:val="00FE2133"/>
    <w:rsid w:val="00FE4632"/>
    <w:rsid w:val="00FE6C3C"/>
    <w:rsid w:val="00FF01B7"/>
    <w:rsid w:val="00FF1703"/>
    <w:rsid w:val="00FF1EF9"/>
    <w:rsid w:val="00FF3CBC"/>
    <w:rsid w:val="00FF5BF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  <w:style w:type="paragraph" w:styleId="berarbeitung">
    <w:name w:val="Revision"/>
    <w:hidden/>
    <w:uiPriority w:val="99"/>
    <w:semiHidden/>
    <w:rsid w:val="00D14315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442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rmanpropertypartners.de/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41FD-201F-4F54-86A2-91DC410D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Katharina Koester</cp:lastModifiedBy>
  <cp:revision>2</cp:revision>
  <cp:lastPrinted>2019-05-13T13:17:00Z</cp:lastPrinted>
  <dcterms:created xsi:type="dcterms:W3CDTF">2024-06-28T14:56:00Z</dcterms:created>
  <dcterms:modified xsi:type="dcterms:W3CDTF">2024-06-28T14:56:00Z</dcterms:modified>
</cp:coreProperties>
</file>