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9D6BF7" w14:textId="77777777" w:rsidR="0042755B" w:rsidRDefault="00827A19">
      <w:pPr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 wp14:anchorId="099D6C12" wp14:editId="099D6C13">
            <wp:extent cx="3426374" cy="891718"/>
            <wp:effectExtent l="0" t="0" r="0" b="0"/>
            <wp:docPr id="1026352104" name="image1.jpg" descr="Ein Bild, das Schrift, Grafiken, Logo, Grafikdesig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Ein Bild, das Schrift, Grafiken, Logo, Grafikdesign enthält.&#10;&#10;Automatisch generierte Beschreibu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6374" cy="891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9D6BF8" w14:textId="77777777" w:rsidR="0042755B" w:rsidRDefault="0042755B">
      <w:pPr>
        <w:rPr>
          <w:sz w:val="23"/>
          <w:szCs w:val="23"/>
        </w:rPr>
      </w:pPr>
    </w:p>
    <w:p w14:paraId="099D6BF9" w14:textId="77777777" w:rsidR="0042755B" w:rsidRDefault="0042755B" w:rsidP="1AA4BFA5">
      <w:pPr>
        <w:jc w:val="right"/>
        <w:rPr>
          <w:sz w:val="23"/>
          <w:szCs w:val="23"/>
        </w:rPr>
      </w:pPr>
    </w:p>
    <w:p w14:paraId="099D6BFA" w14:textId="39E60F8B" w:rsidR="0042755B" w:rsidRDefault="00827A19" w:rsidP="1AA4BFA5">
      <w:pPr>
        <w:jc w:val="right"/>
        <w:rPr>
          <w:rFonts w:ascii="Avenir" w:eastAsia="Avenir" w:hAnsi="Avenir" w:cs="Avenir"/>
          <w:sz w:val="23"/>
          <w:szCs w:val="23"/>
        </w:rPr>
      </w:pPr>
      <w:r>
        <w:rPr>
          <w:rFonts w:ascii="Avenir" w:eastAsia="Avenir" w:hAnsi="Avenir" w:cs="Avenir"/>
          <w:sz w:val="23"/>
          <w:szCs w:val="23"/>
        </w:rPr>
        <w:t xml:space="preserve">Berlin, den </w:t>
      </w:r>
      <w:r w:rsidR="00B26B46">
        <w:rPr>
          <w:rFonts w:ascii="Avenir" w:eastAsia="Avenir" w:hAnsi="Avenir" w:cs="Avenir"/>
          <w:sz w:val="23"/>
          <w:szCs w:val="23"/>
        </w:rPr>
        <w:t>29</w:t>
      </w:r>
      <w:r>
        <w:rPr>
          <w:rFonts w:ascii="Avenir" w:eastAsia="Avenir" w:hAnsi="Avenir" w:cs="Avenir"/>
          <w:sz w:val="23"/>
          <w:szCs w:val="23"/>
        </w:rPr>
        <w:t>. April</w:t>
      </w:r>
      <w:r w:rsidR="0CAFCC54">
        <w:rPr>
          <w:rFonts w:ascii="Avenir" w:eastAsia="Avenir" w:hAnsi="Avenir" w:cs="Avenir"/>
          <w:sz w:val="23"/>
          <w:szCs w:val="23"/>
        </w:rPr>
        <w:t xml:space="preserve"> </w:t>
      </w:r>
      <w:r>
        <w:rPr>
          <w:rFonts w:ascii="Avenir" w:eastAsia="Avenir" w:hAnsi="Avenir" w:cs="Avenir"/>
          <w:sz w:val="23"/>
          <w:szCs w:val="23"/>
        </w:rPr>
        <w:t>2025</w:t>
      </w:r>
    </w:p>
    <w:p w14:paraId="099D6BFB" w14:textId="77777777" w:rsidR="0042755B" w:rsidRDefault="0042755B" w:rsidP="1AA4BFA5">
      <w:pPr>
        <w:jc w:val="right"/>
        <w:rPr>
          <w:rFonts w:ascii="Avenir" w:eastAsia="Avenir" w:hAnsi="Avenir" w:cs="Avenir"/>
          <w:sz w:val="23"/>
          <w:szCs w:val="23"/>
        </w:rPr>
      </w:pPr>
    </w:p>
    <w:p w14:paraId="099D6BFC" w14:textId="77777777" w:rsidR="0042755B" w:rsidRDefault="0042755B">
      <w:pPr>
        <w:rPr>
          <w:rFonts w:ascii="Avenir" w:eastAsia="Avenir" w:hAnsi="Avenir" w:cs="Avenir"/>
          <w:sz w:val="23"/>
          <w:szCs w:val="23"/>
        </w:rPr>
      </w:pPr>
    </w:p>
    <w:p w14:paraId="099D6BFD" w14:textId="77777777" w:rsidR="0042755B" w:rsidRDefault="0042755B">
      <w:pPr>
        <w:rPr>
          <w:rFonts w:ascii="Avenir" w:eastAsia="Avenir" w:hAnsi="Avenir" w:cs="Avenir"/>
          <w:sz w:val="23"/>
          <w:szCs w:val="23"/>
        </w:rPr>
      </w:pPr>
    </w:p>
    <w:p w14:paraId="099D6BFE" w14:textId="77777777" w:rsidR="0042755B" w:rsidRDefault="00827A19">
      <w:pPr>
        <w:rPr>
          <w:rFonts w:ascii="Avenir" w:eastAsia="Avenir" w:hAnsi="Avenir" w:cs="Avenir"/>
          <w:u w:val="single"/>
        </w:rPr>
      </w:pPr>
      <w:r>
        <w:rPr>
          <w:rFonts w:ascii="Avenir" w:eastAsia="Avenir" w:hAnsi="Avenir" w:cs="Avenir"/>
          <w:u w:val="single"/>
        </w:rPr>
        <w:t>Pressemitteilung</w:t>
      </w:r>
    </w:p>
    <w:p w14:paraId="099D6BFF" w14:textId="77777777" w:rsidR="0042755B" w:rsidRDefault="0042755B">
      <w:pPr>
        <w:rPr>
          <w:rFonts w:ascii="Avenir" w:eastAsia="Avenir" w:hAnsi="Avenir" w:cs="Avenir"/>
          <w:sz w:val="23"/>
          <w:szCs w:val="23"/>
        </w:rPr>
      </w:pPr>
    </w:p>
    <w:p w14:paraId="5F03AAB2" w14:textId="38DEABFE" w:rsidR="1AA4BFA5" w:rsidRDefault="1AA4BFA5" w:rsidP="1AA4BFA5">
      <w:pPr>
        <w:rPr>
          <w:rFonts w:ascii="Avenir" w:eastAsia="Avenir" w:hAnsi="Avenir" w:cs="Avenir"/>
          <w:b/>
          <w:bCs/>
          <w:sz w:val="40"/>
          <w:szCs w:val="40"/>
        </w:rPr>
      </w:pPr>
    </w:p>
    <w:p w14:paraId="7885FC3A" w14:textId="219CD8AC" w:rsidR="052D2400" w:rsidRDefault="052D2400" w:rsidP="1AA4BFA5">
      <w:pPr>
        <w:rPr>
          <w:rFonts w:ascii="Avenir" w:eastAsia="Avenir" w:hAnsi="Avenir" w:cs="Avenir"/>
          <w:b/>
          <w:bCs/>
          <w:sz w:val="40"/>
          <w:szCs w:val="40"/>
        </w:rPr>
      </w:pPr>
      <w:r w:rsidRPr="1AA4BFA5">
        <w:rPr>
          <w:rFonts w:ascii="Avenir" w:eastAsia="Avenir" w:hAnsi="Avenir" w:cs="Avenir"/>
          <w:b/>
          <w:bCs/>
          <w:sz w:val="40"/>
          <w:szCs w:val="40"/>
        </w:rPr>
        <w:t>MiCX-X</w:t>
      </w:r>
      <w:r w:rsidRPr="00346C69">
        <w:rPr>
          <w:rFonts w:ascii="Avenir" w:eastAsia="Avenir" w:hAnsi="Avenir" w:cs="Avenir"/>
          <w:b/>
          <w:bCs/>
          <w:sz w:val="40"/>
          <w:szCs w:val="40"/>
          <w:vertAlign w:val="superscript"/>
        </w:rPr>
        <w:t>®</w:t>
      </w:r>
      <w:r w:rsidRPr="1AA4BFA5">
        <w:rPr>
          <w:rFonts w:ascii="Avenir" w:eastAsia="Avenir" w:hAnsi="Avenir" w:cs="Avenir"/>
          <w:b/>
          <w:bCs/>
          <w:sz w:val="40"/>
          <w:szCs w:val="40"/>
        </w:rPr>
        <w:t>-</w:t>
      </w:r>
      <w:r w:rsidR="3B6225B9" w:rsidRPr="1AA4BFA5">
        <w:rPr>
          <w:rFonts w:ascii="Avenir" w:eastAsia="Avenir" w:hAnsi="Avenir" w:cs="Avenir"/>
          <w:b/>
          <w:bCs/>
          <w:sz w:val="40"/>
          <w:szCs w:val="40"/>
        </w:rPr>
        <w:t>Umfrage</w:t>
      </w:r>
      <w:r w:rsidRPr="1AA4BFA5">
        <w:rPr>
          <w:rFonts w:ascii="Avenir" w:eastAsia="Avenir" w:hAnsi="Avenir" w:cs="Avenir"/>
          <w:b/>
          <w:bCs/>
          <w:sz w:val="40"/>
          <w:szCs w:val="40"/>
        </w:rPr>
        <w:t xml:space="preserve"> zeigt: Customer Experience im Mittelstand angekommen – </w:t>
      </w:r>
      <w:r w:rsidR="770330A1" w:rsidRPr="1AA4BFA5">
        <w:rPr>
          <w:rFonts w:ascii="Avenir" w:eastAsia="Avenir" w:hAnsi="Avenir" w:cs="Avenir"/>
          <w:b/>
          <w:bCs/>
          <w:sz w:val="40"/>
          <w:szCs w:val="40"/>
        </w:rPr>
        <w:t>aber oft fragmentiert und ohne Strategie</w:t>
      </w:r>
    </w:p>
    <w:p w14:paraId="099D6C01" w14:textId="77777777" w:rsidR="0042755B" w:rsidRDefault="0042755B">
      <w:pPr>
        <w:rPr>
          <w:rFonts w:ascii="Avenir" w:eastAsia="Avenir" w:hAnsi="Avenir" w:cs="Avenir"/>
          <w:sz w:val="23"/>
          <w:szCs w:val="23"/>
        </w:rPr>
      </w:pPr>
    </w:p>
    <w:p w14:paraId="099D6C03" w14:textId="69873450" w:rsidR="0042755B" w:rsidRDefault="00C94CDA">
      <w:pPr>
        <w:rPr>
          <w:rFonts w:ascii="Avenir" w:eastAsia="Avenir" w:hAnsi="Avenir" w:cs="Avenir"/>
          <w:b/>
          <w:bCs/>
        </w:rPr>
      </w:pPr>
      <w:r w:rsidRPr="00C94CDA">
        <w:rPr>
          <w:rFonts w:ascii="Avenir" w:eastAsia="Avenir" w:hAnsi="Avenir" w:cs="Avenir"/>
          <w:b/>
          <w:bCs/>
        </w:rPr>
        <w:t>Die Customer Experience (CX) ist entscheidend für den wirtschaftlichen Erfolg, denn sie bestimmt, ob ein Kunde bei einem Unternehmen kauft, wiederkommt oder es weiterempfiehlt. Deshalb wollten es die drei CX-Experten QuestionPro, Anbieter von Customer-Experience-, Marktforschungs- und Employee-Experience-Software, die Branchenkonferenz Shift/CX und das Beratungsunternehmen CXecutives</w:t>
      </w:r>
      <w:r w:rsidRPr="00346C69">
        <w:rPr>
          <w:rFonts w:ascii="Avenir" w:eastAsia="Avenir" w:hAnsi="Avenir" w:cs="Avenir"/>
          <w:b/>
          <w:bCs/>
          <w:vertAlign w:val="superscript"/>
        </w:rPr>
        <w:t>®</w:t>
      </w:r>
      <w:r w:rsidRPr="00C94CDA">
        <w:rPr>
          <w:rFonts w:ascii="Avenir" w:eastAsia="Avenir" w:hAnsi="Avenir" w:cs="Avenir"/>
          <w:b/>
          <w:bCs/>
        </w:rPr>
        <w:t xml:space="preserve"> ganz genau wissen und haben eine Umfrage zum Thema Customer Experience durchgeführt – branchenübergreifend und mit Fokus auf den deutschsprachigen Mittelstand.</w:t>
      </w:r>
    </w:p>
    <w:p w14:paraId="50B51C1B" w14:textId="77777777" w:rsidR="00C94CDA" w:rsidRDefault="00C94CDA">
      <w:pPr>
        <w:rPr>
          <w:rFonts w:ascii="Avenir" w:eastAsia="Avenir" w:hAnsi="Avenir" w:cs="Avenir"/>
        </w:rPr>
      </w:pPr>
    </w:p>
    <w:p w14:paraId="432932BE" w14:textId="77777777" w:rsidR="00C94CDA" w:rsidRPr="00C94CDA" w:rsidRDefault="00C94CDA" w:rsidP="00C94CDA">
      <w:pPr>
        <w:rPr>
          <w:rFonts w:ascii="Avenir" w:eastAsia="Avenir" w:hAnsi="Avenir" w:cs="Avenir"/>
        </w:rPr>
      </w:pPr>
      <w:r w:rsidRPr="00C94CDA">
        <w:rPr>
          <w:rFonts w:ascii="Avenir" w:eastAsia="Avenir" w:hAnsi="Avenir" w:cs="Avenir"/>
        </w:rPr>
        <w:t>Die Organisatoren der MiCX-X</w:t>
      </w:r>
      <w:r w:rsidRPr="00346C69">
        <w:rPr>
          <w:rFonts w:ascii="Avenir" w:eastAsia="Avenir" w:hAnsi="Avenir" w:cs="Avenir"/>
          <w:vertAlign w:val="superscript"/>
        </w:rPr>
        <w:t>®</w:t>
      </w:r>
      <w:r w:rsidRPr="00C94CDA">
        <w:rPr>
          <w:rFonts w:ascii="Avenir" w:eastAsia="Avenir" w:hAnsi="Avenir" w:cs="Avenir"/>
        </w:rPr>
        <w:t>-Umfrage (Customer Experience-Index für den Mittelstand) waren am Ende selbst überrascht über die hohe Rücklaufquote – allein das zeigt, dass CX ein neuralgischer Punkt im Mittelstand ist. Mehr als 1.000 Unternehmen aus dem deutschsprachigen Raum haben sich beteiligt und Einblicke in ihre aktuelle CX-Praxis gegeben. Die Befragung richtete sich speziell an kleine und mittlere Unternehmen (KMU). 95 Prozent der Befragten waren Geschäftsführer:innen oder Inhaber:innen, was bedeutet, dass CX in vielen Unternehmen bereits zur Chefsache geworden ist.</w:t>
      </w:r>
    </w:p>
    <w:p w14:paraId="1E8C7659" w14:textId="77777777" w:rsidR="00C94CDA" w:rsidRPr="00C94CDA" w:rsidRDefault="00C94CDA" w:rsidP="00C94CDA">
      <w:pPr>
        <w:rPr>
          <w:rFonts w:ascii="Avenir" w:eastAsia="Avenir" w:hAnsi="Avenir" w:cs="Avenir"/>
        </w:rPr>
      </w:pPr>
    </w:p>
    <w:p w14:paraId="0DA4E736" w14:textId="77777777" w:rsidR="00C94CDA" w:rsidRPr="00C94CDA" w:rsidRDefault="00C94CDA" w:rsidP="00C94CDA">
      <w:pPr>
        <w:rPr>
          <w:rFonts w:ascii="Avenir" w:eastAsia="Avenir" w:hAnsi="Avenir" w:cs="Avenir"/>
        </w:rPr>
      </w:pPr>
      <w:r w:rsidRPr="00C94CDA">
        <w:rPr>
          <w:rFonts w:ascii="Avenir" w:eastAsia="Avenir" w:hAnsi="Avenir" w:cs="Avenir"/>
        </w:rPr>
        <w:t xml:space="preserve">Andererseits besteht noch Nachholbedarf: Nur knapp 25 Prozent der Unternehmen schätzen ihr eigenes CX-Know-how als sehr gut ein. Weitere 40 Prozent halten ihr Wissen für gut. Häufig liegt CX in der Verantwortung der Geschäftsführung (22 %) oder des Marketings (26 %). Aber auch andere Abteilungen wie Kundenservice, Vertrieb oder IT können verantwortlich sein. Diese Bandbreite verdeutlicht, dass es </w:t>
      </w:r>
      <w:r w:rsidRPr="00C94CDA">
        <w:rPr>
          <w:rFonts w:ascii="Avenir" w:eastAsia="Avenir" w:hAnsi="Avenir" w:cs="Avenir"/>
        </w:rPr>
        <w:lastRenderedPageBreak/>
        <w:t>beim Thema CX viele Beteiligte gibt. Das erschwert es, CX als ganzheitliche und langfristige Strategie im Unternehmen zu verankern.</w:t>
      </w:r>
    </w:p>
    <w:p w14:paraId="0A46C2E9" w14:textId="77777777" w:rsidR="00C94CDA" w:rsidRPr="00C94CDA" w:rsidRDefault="00C94CDA" w:rsidP="00C94CDA">
      <w:pPr>
        <w:rPr>
          <w:rFonts w:ascii="Avenir" w:eastAsia="Avenir" w:hAnsi="Avenir" w:cs="Avenir"/>
        </w:rPr>
      </w:pPr>
    </w:p>
    <w:p w14:paraId="57B01246" w14:textId="77777777" w:rsidR="00C94CDA" w:rsidRPr="00C94CDA" w:rsidRDefault="00C94CDA" w:rsidP="00C94CDA">
      <w:pPr>
        <w:rPr>
          <w:rFonts w:ascii="Avenir" w:eastAsia="Avenir" w:hAnsi="Avenir" w:cs="Avenir"/>
        </w:rPr>
      </w:pPr>
      <w:r w:rsidRPr="00C94CDA">
        <w:rPr>
          <w:rFonts w:ascii="Avenir" w:eastAsia="Avenir" w:hAnsi="Avenir" w:cs="Avenir"/>
        </w:rPr>
        <w:t>„In vielen Unternehmen läuft Customer Experience noch nebenher oder wird ganz oben mitverwaltet – aber ohne klare Zuständigkeit und Ressourcen bleibt echte Kundenorientierung auf der Strecke. Es braucht Fokus, Zeit und das richtige Know-how, um Customer Experience wirksam zu gestalten und in Profit zu verwandeln“, so Heinrich Erkens, Initiator der MiCX-X</w:t>
      </w:r>
      <w:r w:rsidRPr="00346C69">
        <w:rPr>
          <w:rFonts w:ascii="Avenir" w:eastAsia="Avenir" w:hAnsi="Avenir" w:cs="Avenir"/>
          <w:vertAlign w:val="superscript"/>
        </w:rPr>
        <w:t>®</w:t>
      </w:r>
      <w:r w:rsidRPr="00C94CDA">
        <w:rPr>
          <w:rFonts w:ascii="Avenir" w:eastAsia="Avenir" w:hAnsi="Avenir" w:cs="Avenir"/>
        </w:rPr>
        <w:t>-Studie und Geschäftsführer von CXecutives</w:t>
      </w:r>
      <w:r w:rsidRPr="00346C69">
        <w:rPr>
          <w:rFonts w:ascii="Avenir" w:eastAsia="Avenir" w:hAnsi="Avenir" w:cs="Avenir"/>
          <w:vertAlign w:val="superscript"/>
        </w:rPr>
        <w:t>®</w:t>
      </w:r>
      <w:r w:rsidRPr="00C94CDA">
        <w:rPr>
          <w:rFonts w:ascii="Avenir" w:eastAsia="Avenir" w:hAnsi="Avenir" w:cs="Avenir"/>
        </w:rPr>
        <w:t>.</w:t>
      </w:r>
    </w:p>
    <w:p w14:paraId="18B9F906" w14:textId="77777777" w:rsidR="00C94CDA" w:rsidRPr="00C94CDA" w:rsidRDefault="00C94CDA" w:rsidP="00C94CDA">
      <w:pPr>
        <w:rPr>
          <w:rFonts w:ascii="Avenir" w:eastAsia="Avenir" w:hAnsi="Avenir" w:cs="Avenir"/>
        </w:rPr>
      </w:pPr>
    </w:p>
    <w:p w14:paraId="31931CBE" w14:textId="77777777" w:rsidR="00C94CDA" w:rsidRPr="00C94CDA" w:rsidRDefault="00C94CDA" w:rsidP="00C94CDA">
      <w:pPr>
        <w:rPr>
          <w:rFonts w:ascii="Avenir" w:eastAsia="Avenir" w:hAnsi="Avenir" w:cs="Avenir"/>
        </w:rPr>
      </w:pPr>
      <w:r w:rsidRPr="00C94CDA">
        <w:rPr>
          <w:rFonts w:ascii="Avenir" w:eastAsia="Avenir" w:hAnsi="Avenir" w:cs="Avenir"/>
        </w:rPr>
        <w:t>Auffällig ist, dass Unternehmen mit geringer CX-Kompetenz häufiger mit internen Widerständen zu kämpfen haben, während Unternehmen mit CX-Erfahrung eher technologische Defizite als Problem sehen.</w:t>
      </w:r>
    </w:p>
    <w:p w14:paraId="73C27C63" w14:textId="77777777" w:rsidR="00C94CDA" w:rsidRPr="00C94CDA" w:rsidRDefault="00C94CDA" w:rsidP="00C94CDA">
      <w:pPr>
        <w:rPr>
          <w:rFonts w:ascii="Avenir" w:eastAsia="Avenir" w:hAnsi="Avenir" w:cs="Avenir"/>
        </w:rPr>
      </w:pPr>
    </w:p>
    <w:p w14:paraId="072ADA3B" w14:textId="77777777" w:rsidR="00C94CDA" w:rsidRPr="00C94CDA" w:rsidRDefault="00C94CDA" w:rsidP="00C94CDA">
      <w:pPr>
        <w:rPr>
          <w:rFonts w:ascii="Avenir" w:eastAsia="Avenir" w:hAnsi="Avenir" w:cs="Avenir"/>
        </w:rPr>
      </w:pPr>
      <w:r w:rsidRPr="00C94CDA">
        <w:rPr>
          <w:rFonts w:ascii="Avenir" w:eastAsia="Avenir" w:hAnsi="Avenir" w:cs="Avenir"/>
        </w:rPr>
        <w:t>Die Umfrage zeigt zusammenfassend, dass CX im Mittelstand und bei KMU angekommen ist, aber häufig noch fragmentiert und nicht strategisch integriert ist. Während viele Unternehmen bereits in Kundenbefragungen, CX-Metriken und Technologien investieren, fehlen oft klare Verantwortlichkeiten, eine systematische Datennutzung, regelmäßige Strategieüberprüfungen und Kostentransparenz.</w:t>
      </w:r>
    </w:p>
    <w:p w14:paraId="1202AB14" w14:textId="77777777" w:rsidR="00C94CDA" w:rsidRPr="00C94CDA" w:rsidRDefault="00C94CDA" w:rsidP="00C94CDA">
      <w:pPr>
        <w:rPr>
          <w:rFonts w:ascii="Avenir" w:eastAsia="Avenir" w:hAnsi="Avenir" w:cs="Avenir"/>
        </w:rPr>
      </w:pPr>
    </w:p>
    <w:p w14:paraId="0B69E719" w14:textId="77777777" w:rsidR="00C94CDA" w:rsidRPr="00C94CDA" w:rsidRDefault="00C94CDA" w:rsidP="00C94CDA">
      <w:pPr>
        <w:rPr>
          <w:rFonts w:ascii="Avenir" w:eastAsia="Avenir" w:hAnsi="Avenir" w:cs="Avenir"/>
        </w:rPr>
      </w:pPr>
      <w:r w:rsidRPr="00C94CDA">
        <w:rPr>
          <w:rFonts w:ascii="Avenir" w:eastAsia="Avenir" w:hAnsi="Avenir" w:cs="Avenir"/>
        </w:rPr>
        <w:t>„Um das Kundenerlebnis nachhaltig zu verbessern, müssen Unternehmen Customer Experience als strategisches Element begreifen: mit klaren Verantwortlichkeiten, gezieltem Technologieeinsatz und der konsequenten Nutzung von CX-Metriken entlang der gesamten Customer Journey. Der größte Hebel liegt jedoch darin, aus Kundenfeedback echte Erkenntnisse zu gewinnen – also den Loop zu schließen, hinter die Zahlen zu schauen und das Warum zu verstehen. Gleichzeitig braucht es befähigte Mitarbeitende mit dem richtigen Mindset und Zugang zu den passenden Tools – denn nur wer gute Employee Experience schafft, kann auch gute Customer Experience liefern“, sagt Thomas Maiwald-Immer, Geschäftsführer der QuestionPro GmbH.</w:t>
      </w:r>
    </w:p>
    <w:p w14:paraId="78D372D6" w14:textId="77777777" w:rsidR="00C94CDA" w:rsidRPr="00C94CDA" w:rsidRDefault="00C94CDA" w:rsidP="00C94CDA">
      <w:pPr>
        <w:rPr>
          <w:rFonts w:ascii="Avenir" w:eastAsia="Avenir" w:hAnsi="Avenir" w:cs="Avenir"/>
        </w:rPr>
      </w:pPr>
    </w:p>
    <w:p w14:paraId="0F89E3AE" w14:textId="62E963E4" w:rsidR="25CA4205" w:rsidRDefault="00C94CDA" w:rsidP="00C94CDA">
      <w:pPr>
        <w:rPr>
          <w:rFonts w:ascii="Avenir" w:eastAsia="Avenir" w:hAnsi="Avenir" w:cs="Avenir"/>
        </w:rPr>
      </w:pPr>
      <w:r w:rsidRPr="00C94CDA">
        <w:rPr>
          <w:rFonts w:ascii="Avenir" w:eastAsia="Avenir" w:hAnsi="Avenir" w:cs="Avenir"/>
        </w:rPr>
        <w:t>Ziel ist es, den Customer Experience-Index für den Mittelstand – den sogenannten MiCX-X</w:t>
      </w:r>
      <w:r w:rsidRPr="00346C69">
        <w:rPr>
          <w:rFonts w:ascii="Avenir" w:eastAsia="Avenir" w:hAnsi="Avenir" w:cs="Avenir"/>
          <w:vertAlign w:val="superscript"/>
        </w:rPr>
        <w:t>®</w:t>
      </w:r>
      <w:r w:rsidRPr="00C94CDA">
        <w:rPr>
          <w:rFonts w:ascii="Avenir" w:eastAsia="Avenir" w:hAnsi="Avenir" w:cs="Avenir"/>
        </w:rPr>
        <w:t xml:space="preserve"> – künftig in einem jährlichen Rhythmus zu erheben. Damit soll ein Indikator für den Mittelstand geschaffen werden, um die Entwicklung in diesem wichtigen Bereich zu monitoren.</w:t>
      </w:r>
      <w:r w:rsidR="25CA4205" w:rsidRPr="1AA4BFA5">
        <w:rPr>
          <w:rFonts w:ascii="Avenir" w:eastAsia="Avenir" w:hAnsi="Avenir" w:cs="Avenir"/>
        </w:rPr>
        <w:t xml:space="preserve">        </w:t>
      </w:r>
    </w:p>
    <w:sectPr w:rsidR="25CA4205"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824C9E3D-996F-8447-812A-6D35F3839108}"/>
    <w:embedItalic r:id="rId2" w:fontKey="{F111C3A9-DFC8-9E49-9503-D92254CC943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9026F867-A646-D34E-BA4F-8A82618228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AA0CE4B-B6B0-CF4E-A206-E0D1EA73041A}"/>
    <w:embedBold r:id="rId5" w:fontKey="{52BAEC46-BB54-6A4A-B688-7724564632BB}"/>
    <w:embedItalic r:id="rId6" w:fontKey="{066D06C2-9D5C-2D4B-B142-33B5FF8227C6}"/>
  </w:font>
  <w:font w:name="Avenir">
    <w:altName w:val="Calibri"/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7" w:fontKey="{E941C8C5-87E0-084B-AD23-F1176BDF7FC4}"/>
    <w:embedBold r:id="rId8" w:fontKey="{7748FC75-9A41-4A40-B5D3-376744C31B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5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55B"/>
    <w:rsid w:val="00061C00"/>
    <w:rsid w:val="001367D7"/>
    <w:rsid w:val="00316E7A"/>
    <w:rsid w:val="00346C69"/>
    <w:rsid w:val="00367FF5"/>
    <w:rsid w:val="0042755B"/>
    <w:rsid w:val="00517B09"/>
    <w:rsid w:val="006C4658"/>
    <w:rsid w:val="006F295D"/>
    <w:rsid w:val="007970DB"/>
    <w:rsid w:val="007D0334"/>
    <w:rsid w:val="00825858"/>
    <w:rsid w:val="00827A19"/>
    <w:rsid w:val="009B3269"/>
    <w:rsid w:val="00A16046"/>
    <w:rsid w:val="00A266C2"/>
    <w:rsid w:val="00A76CE0"/>
    <w:rsid w:val="00B26B46"/>
    <w:rsid w:val="00BC3C34"/>
    <w:rsid w:val="00C53077"/>
    <w:rsid w:val="00C668A8"/>
    <w:rsid w:val="00C94CDA"/>
    <w:rsid w:val="00C95BC4"/>
    <w:rsid w:val="00D8478E"/>
    <w:rsid w:val="00EA0EB8"/>
    <w:rsid w:val="0319E487"/>
    <w:rsid w:val="052D2400"/>
    <w:rsid w:val="07C51226"/>
    <w:rsid w:val="0BCC44B6"/>
    <w:rsid w:val="0CAFCC54"/>
    <w:rsid w:val="0E923F1E"/>
    <w:rsid w:val="121629FA"/>
    <w:rsid w:val="1AA4BFA5"/>
    <w:rsid w:val="25CA4205"/>
    <w:rsid w:val="29455D4A"/>
    <w:rsid w:val="29B43BDB"/>
    <w:rsid w:val="2C3EBEC9"/>
    <w:rsid w:val="2DE45385"/>
    <w:rsid w:val="2F6D2369"/>
    <w:rsid w:val="39E9C3AD"/>
    <w:rsid w:val="3AB4C841"/>
    <w:rsid w:val="3AB5F665"/>
    <w:rsid w:val="3B6225B9"/>
    <w:rsid w:val="41934D62"/>
    <w:rsid w:val="422FA921"/>
    <w:rsid w:val="47ABC27E"/>
    <w:rsid w:val="4E21F610"/>
    <w:rsid w:val="51616D07"/>
    <w:rsid w:val="61B556DD"/>
    <w:rsid w:val="691FBA0B"/>
    <w:rsid w:val="6A01B44D"/>
    <w:rsid w:val="6A0FCC4C"/>
    <w:rsid w:val="6FDC14C5"/>
    <w:rsid w:val="770330A1"/>
    <w:rsid w:val="7E733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D6BF7"/>
  <w15:docId w15:val="{B25E50C4-10D7-4AFC-BE47-2E2F9B8FD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D1A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D1A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D1A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D1A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D1A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D1A8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D1A8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D1A8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D1A8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link w:val="TitelZchn"/>
    <w:uiPriority w:val="10"/>
    <w:qFormat/>
    <w:rsid w:val="004D1A8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D1A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D1A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D1A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D1A8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D1A8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D1A8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D1A8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D1A8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D1A85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link w:val="Titel"/>
    <w:uiPriority w:val="10"/>
    <w:rsid w:val="004D1A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D1A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D1A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D1A8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D1A8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D1A8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D1A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D1A8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D1A85"/>
    <w:rPr>
      <w:b/>
      <w:bCs/>
      <w:smallCaps/>
      <w:color w:val="0F4761" w:themeColor="accent1" w:themeShade="BF"/>
      <w:spacing w:val="5"/>
    </w:rPr>
  </w:style>
  <w:style w:type="character" w:styleId="Fett">
    <w:name w:val="Strong"/>
    <w:basedOn w:val="Absatz-Standardschriftart"/>
    <w:uiPriority w:val="22"/>
    <w:qFormat/>
    <w:rsid w:val="00E666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2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ioqvWlCrIDDLqQBqBOIhS14yow==">CgMxLjA4AHIhMWxEc2lKME5DN2R5UlhFSHdXUU45T1RyWUZpanpVYUph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520</Words>
  <Characters>3277</Characters>
  <Application>Microsoft Office Word</Application>
  <DocSecurity>0</DocSecurity>
  <Lines>27</Lines>
  <Paragraphs>7</Paragraphs>
  <ScaleCrop>false</ScaleCrop>
  <Company/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Sascha Tapken</dc:creator>
  <cp:lastModifiedBy>Kristina Tapken</cp:lastModifiedBy>
  <cp:revision>24</cp:revision>
  <dcterms:created xsi:type="dcterms:W3CDTF">2025-04-16T12:59:00Z</dcterms:created>
  <dcterms:modified xsi:type="dcterms:W3CDTF">2025-04-29T07:50:00Z</dcterms:modified>
</cp:coreProperties>
</file>