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728" w14:textId="27789026" w:rsidR="00CA79D7" w:rsidRPr="0037108D" w:rsidRDefault="00AF202A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top-7-büromärkte Q</w:t>
      </w:r>
      <w:r w:rsidR="00613E6C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1</w:t>
      </w:r>
      <w:r w:rsidR="001550FE" w:rsidRPr="0037108D">
        <w:rPr>
          <w:rFonts w:ascii="Source Sans Pro" w:hAnsi="Source Sans Pro" w:cs="Source Sans Pro"/>
          <w:caps/>
          <w:color w:val="0086A8"/>
          <w:sz w:val="22"/>
          <w:szCs w:val="22"/>
        </w:rPr>
        <w:t>/202</w:t>
      </w:r>
      <w:r w:rsidR="001E3FA4">
        <w:rPr>
          <w:rFonts w:ascii="Source Sans Pro" w:hAnsi="Source Sans Pro" w:cs="Source Sans Pro"/>
          <w:caps/>
          <w:color w:val="0086A8"/>
          <w:sz w:val="22"/>
          <w:szCs w:val="22"/>
        </w:rPr>
        <w:t>5</w:t>
      </w:r>
    </w:p>
    <w:p w14:paraId="743073FD" w14:textId="602CE73A" w:rsidR="003152C9" w:rsidRDefault="00CC71A3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>
        <w:rPr>
          <w:rFonts w:ascii="Source Sans Pro" w:hAnsi="Source Sans Pro" w:cs="Source Sans Pro"/>
          <w:sz w:val="36"/>
          <w:szCs w:val="36"/>
        </w:rPr>
        <w:t>Flächenumsatz</w:t>
      </w:r>
      <w:r w:rsidR="00E1580F">
        <w:rPr>
          <w:rFonts w:ascii="Source Sans Pro" w:hAnsi="Source Sans Pro" w:cs="Source Sans Pro"/>
          <w:sz w:val="36"/>
          <w:szCs w:val="36"/>
        </w:rPr>
        <w:t xml:space="preserve"> steigt durch einzelne Großabschlüsse</w:t>
      </w:r>
    </w:p>
    <w:p w14:paraId="27B91DAD" w14:textId="77777777" w:rsidR="00901E97" w:rsidRPr="00387EEF" w:rsidRDefault="00901E97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647083E" w14:textId="78FA4AAD" w:rsidR="00CA79D7" w:rsidRPr="00CA79D7" w:rsidRDefault="005B52B7" w:rsidP="00CA79D7">
      <w:pPr>
        <w:pStyle w:val="EinfAbs"/>
        <w:tabs>
          <w:tab w:val="left" w:pos="200"/>
        </w:tabs>
        <w:rPr>
          <w:rFonts w:ascii="Source Sans Pro" w:hAnsi="Source Sans Pro" w:cs="Source Sans Pro"/>
          <w:color w:val="0086A8"/>
          <w:sz w:val="22"/>
          <w:szCs w:val="22"/>
        </w:rPr>
      </w:pPr>
      <w:r>
        <w:rPr>
          <w:rFonts w:ascii="Source Sans Pro" w:hAnsi="Source Sans Pro" w:cs="Source Sans Pro"/>
          <w:noProof/>
          <w:color w:val="0086A8"/>
          <w:sz w:val="22"/>
          <w:szCs w:val="22"/>
        </w:rPr>
        <w:drawing>
          <wp:inline distT="0" distB="0" distL="0" distR="0" wp14:anchorId="2B738CB5" wp14:editId="5BCAA41C">
            <wp:extent cx="3657802" cy="2152114"/>
            <wp:effectExtent l="19050" t="19050" r="19050" b="19685"/>
            <wp:docPr id="10456971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716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802" cy="215211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C3BDF2" w14:textId="77777777" w:rsidR="00CA79D7" w:rsidRDefault="00CA79D7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32A04992" w14:textId="286B84B7" w:rsidR="00F50790" w:rsidRPr="002B5E0E" w:rsidRDefault="00013486" w:rsidP="00F50790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sz w:val="22"/>
          <w:szCs w:val="22"/>
        </w:rPr>
      </w:pPr>
      <w:r>
        <w:rPr>
          <w:rFonts w:ascii="Source Sans Pro" w:hAnsi="Source Sans Pro" w:cs="Source Sans Pro"/>
          <w:color w:val="0087A8"/>
          <w:sz w:val="22"/>
          <w:szCs w:val="22"/>
        </w:rPr>
        <w:t>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613E6C">
        <w:rPr>
          <w:rFonts w:ascii="Source Sans Pro" w:hAnsi="Source Sans Pro" w:cs="Source Sans Pro"/>
          <w:color w:val="0087A8"/>
          <w:sz w:val="22"/>
          <w:szCs w:val="22"/>
        </w:rPr>
        <w:t>April</w:t>
      </w:r>
      <w:r w:rsidR="00591D42">
        <w:rPr>
          <w:rFonts w:ascii="Source Sans Pro" w:hAnsi="Source Sans Pro" w:cs="Source Sans Pro"/>
          <w:color w:val="0087A8"/>
          <w:sz w:val="22"/>
          <w:szCs w:val="22"/>
        </w:rPr>
        <w:t xml:space="preserve"> 202</w:t>
      </w:r>
      <w:r w:rsidR="001E3FA4">
        <w:rPr>
          <w:rFonts w:ascii="Source Sans Pro" w:hAnsi="Source Sans Pro" w:cs="Source Sans Pro"/>
          <w:color w:val="0087A8"/>
          <w:sz w:val="22"/>
          <w:szCs w:val="22"/>
        </w:rPr>
        <w:t>5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B7165E">
        <w:rPr>
          <w:rFonts w:ascii="Source Sans Pro" w:hAnsi="Source Sans Pro" w:cs="Source Sans Pro"/>
          <w:color w:val="0087A8"/>
          <w:sz w:val="22"/>
          <w:szCs w:val="22"/>
        </w:rPr>
        <w:t xml:space="preserve"> </w:t>
      </w:r>
      <w:r w:rsidR="00F50790" w:rsidRPr="00F50790">
        <w:rPr>
          <w:rFonts w:ascii="Source Sans Pro" w:hAnsi="Source Sans Pro" w:cs="Source Sans Pro"/>
          <w:sz w:val="22"/>
          <w:szCs w:val="22"/>
        </w:rPr>
        <w:t xml:space="preserve">Zum Ende des </w:t>
      </w:r>
      <w:r w:rsidR="00F50790">
        <w:rPr>
          <w:rFonts w:ascii="Source Sans Pro" w:hAnsi="Source Sans Pro" w:cs="Source Sans Pro"/>
          <w:sz w:val="22"/>
          <w:szCs w:val="22"/>
        </w:rPr>
        <w:t>1.</w:t>
      </w:r>
      <w:r w:rsidR="00F50790" w:rsidRPr="00F50790">
        <w:rPr>
          <w:rFonts w:ascii="Source Sans Pro" w:hAnsi="Source Sans Pro" w:cs="Source Sans Pro"/>
          <w:sz w:val="22"/>
          <w:szCs w:val="22"/>
        </w:rPr>
        <w:t xml:space="preserve"> Quartals 2025 </w:t>
      </w:r>
      <w:r w:rsidR="00EA42C5">
        <w:rPr>
          <w:rFonts w:ascii="Source Sans Pro" w:hAnsi="Source Sans Pro" w:cs="Source Sans Pro"/>
          <w:sz w:val="22"/>
          <w:szCs w:val="22"/>
        </w:rPr>
        <w:t>erzielten</w:t>
      </w:r>
      <w:r w:rsidR="00F50790" w:rsidRPr="00F50790">
        <w:rPr>
          <w:rFonts w:ascii="Source Sans Pro" w:hAnsi="Source Sans Pro" w:cs="Source Sans Pro"/>
          <w:sz w:val="22"/>
          <w:szCs w:val="22"/>
        </w:rPr>
        <w:t xml:space="preserve"> die Top-7-Bürovermietungsmärkte einen Flächenumsatz von rund 713.400 m². </w:t>
      </w:r>
      <w:r w:rsidR="00F50790">
        <w:rPr>
          <w:rFonts w:ascii="Source Sans Pro" w:hAnsi="Source Sans Pro" w:cs="Source Sans Pro"/>
          <w:sz w:val="22"/>
          <w:szCs w:val="22"/>
        </w:rPr>
        <w:t>Dies entspricht</w:t>
      </w:r>
      <w:r w:rsidR="00F50790" w:rsidRPr="00F50790">
        <w:rPr>
          <w:rFonts w:ascii="Source Sans Pro" w:hAnsi="Source Sans Pro" w:cs="Source Sans Pro"/>
          <w:sz w:val="22"/>
          <w:szCs w:val="22"/>
        </w:rPr>
        <w:t xml:space="preserve"> ein</w:t>
      </w:r>
      <w:r w:rsidR="00F50790">
        <w:rPr>
          <w:rFonts w:ascii="Source Sans Pro" w:hAnsi="Source Sans Pro" w:cs="Source Sans Pro"/>
          <w:sz w:val="22"/>
          <w:szCs w:val="22"/>
        </w:rPr>
        <w:t>em</w:t>
      </w:r>
      <w:r w:rsidR="00F50790" w:rsidRPr="00F50790">
        <w:rPr>
          <w:rFonts w:ascii="Source Sans Pro" w:hAnsi="Source Sans Pro" w:cs="Source Sans Pro"/>
          <w:sz w:val="22"/>
          <w:szCs w:val="22"/>
        </w:rPr>
        <w:t xml:space="preserve"> Plus von etwa 16 % im Vergleich zum Vorjahreszeitraum.</w:t>
      </w:r>
      <w:r w:rsidR="00F50790" w:rsidRPr="00F50790">
        <w:rPr>
          <w:rFonts w:ascii="Source Sans Pro" w:hAnsi="Source Sans Pro" w:cs="Source Sans Pro"/>
          <w:i/>
          <w:iCs/>
          <w:sz w:val="22"/>
          <w:szCs w:val="22"/>
        </w:rPr>
        <w:t xml:space="preserve"> „</w:t>
      </w:r>
      <w:r w:rsidR="00BC555F">
        <w:rPr>
          <w:rFonts w:ascii="Source Sans Pro" w:hAnsi="Source Sans Pro" w:cs="Source Sans Pro"/>
          <w:i/>
          <w:iCs/>
          <w:sz w:val="22"/>
          <w:szCs w:val="22"/>
        </w:rPr>
        <w:t>Zum Jahresstart zeigte sich an den Top</w:t>
      </w:r>
      <w:r w:rsidR="00FE47BB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BC555F">
        <w:rPr>
          <w:rFonts w:ascii="Source Sans Pro" w:hAnsi="Source Sans Pro" w:cs="Source Sans Pro"/>
          <w:i/>
          <w:iCs/>
          <w:sz w:val="22"/>
          <w:szCs w:val="22"/>
        </w:rPr>
        <w:t xml:space="preserve">7 ein gemischtes Bild. 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>An einigen Standorten sorgten einzelne großvolumige A</w:t>
      </w:r>
      <w:r w:rsidR="00BC555F">
        <w:rPr>
          <w:rFonts w:ascii="Source Sans Pro" w:hAnsi="Source Sans Pro" w:cs="Source Sans Pro"/>
          <w:i/>
          <w:iCs/>
          <w:sz w:val="22"/>
          <w:szCs w:val="22"/>
        </w:rPr>
        <w:t>nmietungen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 xml:space="preserve"> für sprunghafte Anstiege des Flächenumsatzes</w:t>
      </w:r>
      <w:r w:rsidR="005C7C90">
        <w:rPr>
          <w:rFonts w:ascii="Source Sans Pro" w:hAnsi="Source Sans Pro" w:cs="Source Sans Pro"/>
          <w:i/>
          <w:iCs/>
          <w:sz w:val="22"/>
          <w:szCs w:val="22"/>
        </w:rPr>
        <w:t>, in anderen Städten blieben Großabschlüsse gänzlich aus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 xml:space="preserve">“, </w:t>
      </w:r>
      <w:r w:rsidR="00CB7E2C">
        <w:rPr>
          <w:rFonts w:ascii="Source Sans Pro" w:hAnsi="Source Sans Pro" w:cs="Source Sans Pro"/>
          <w:sz w:val="22"/>
          <w:szCs w:val="22"/>
        </w:rPr>
        <w:t xml:space="preserve">ordnet </w:t>
      </w:r>
      <w:r w:rsidR="00CB7E2C" w:rsidRPr="00F50790">
        <w:rPr>
          <w:rFonts w:ascii="Source Sans Pro" w:hAnsi="Source Sans Pro" w:cs="Source Sans Pro"/>
          <w:b/>
          <w:bCs/>
          <w:sz w:val="22"/>
          <w:szCs w:val="22"/>
        </w:rPr>
        <w:t>Björn Holzwarth</w:t>
      </w:r>
      <w:r w:rsidR="00CB7E2C" w:rsidRPr="00F50790">
        <w:rPr>
          <w:rFonts w:ascii="Source Sans Pro" w:hAnsi="Source Sans Pro" w:cs="Source Sans Pro"/>
          <w:sz w:val="22"/>
          <w:szCs w:val="22"/>
        </w:rPr>
        <w:t>, Sprecher von German Property Partners (GPP)</w:t>
      </w:r>
      <w:r w:rsidR="00CB7E2C">
        <w:rPr>
          <w:rFonts w:ascii="Source Sans Pro" w:hAnsi="Source Sans Pro" w:cs="Source Sans Pro"/>
          <w:sz w:val="22"/>
          <w:szCs w:val="22"/>
        </w:rPr>
        <w:t>, ein</w:t>
      </w:r>
      <w:r w:rsidR="00CB7E2C" w:rsidRPr="00F50790">
        <w:rPr>
          <w:rFonts w:ascii="Source Sans Pro" w:hAnsi="Source Sans Pro" w:cs="Source Sans Pro"/>
          <w:sz w:val="22"/>
          <w:szCs w:val="22"/>
        </w:rPr>
        <w:t>.</w:t>
      </w:r>
      <w:r w:rsidR="00CB7E2C" w:rsidRPr="00CB7E2C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CB7E2C" w:rsidRPr="00F50790">
        <w:rPr>
          <w:rFonts w:ascii="Source Sans Pro" w:hAnsi="Source Sans Pro" w:cs="Source Sans Pro"/>
          <w:i/>
          <w:iCs/>
          <w:sz w:val="22"/>
          <w:szCs w:val="22"/>
        </w:rPr>
        <w:t>„</w:t>
      </w:r>
      <w:r w:rsidR="00DE4603">
        <w:rPr>
          <w:rFonts w:ascii="Source Sans Pro" w:hAnsi="Source Sans Pro" w:cs="Source Sans Pro"/>
          <w:i/>
          <w:iCs/>
          <w:sz w:val="22"/>
          <w:szCs w:val="22"/>
        </w:rPr>
        <w:t xml:space="preserve">Vielerorts ist mehr Bewegung am Markt spürbar, insbesondere im kleinen bis mittleren Größensegment. </w:t>
      </w:r>
      <w:r w:rsidR="008C0111">
        <w:rPr>
          <w:rFonts w:ascii="Source Sans Pro" w:hAnsi="Source Sans Pro" w:cs="Source Sans Pro"/>
          <w:i/>
          <w:iCs/>
          <w:sz w:val="22"/>
          <w:szCs w:val="22"/>
        </w:rPr>
        <w:t>N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>egative Konjunkturprognosen</w:t>
      </w:r>
      <w:r w:rsidR="00CB7E2C" w:rsidRPr="00F50790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8C0111">
        <w:rPr>
          <w:rFonts w:ascii="Source Sans Pro" w:hAnsi="Source Sans Pro" w:cs="Source Sans Pro"/>
          <w:i/>
          <w:iCs/>
          <w:sz w:val="22"/>
          <w:szCs w:val="22"/>
        </w:rPr>
        <w:t xml:space="preserve">und </w:t>
      </w:r>
      <w:r w:rsidR="00CB7E2C" w:rsidRPr="00F50790">
        <w:rPr>
          <w:rFonts w:ascii="Source Sans Pro" w:hAnsi="Source Sans Pro" w:cs="Source Sans Pro"/>
          <w:i/>
          <w:iCs/>
          <w:sz w:val="22"/>
          <w:szCs w:val="22"/>
        </w:rPr>
        <w:t>geopolitische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CB7E2C" w:rsidRPr="00F50790">
        <w:rPr>
          <w:rFonts w:ascii="Source Sans Pro" w:hAnsi="Source Sans Pro" w:cs="Source Sans Pro"/>
          <w:i/>
          <w:iCs/>
          <w:sz w:val="22"/>
          <w:szCs w:val="22"/>
        </w:rPr>
        <w:t>Spannungen</w:t>
      </w:r>
      <w:r w:rsidR="004262A9">
        <w:rPr>
          <w:rFonts w:ascii="Source Sans Pro" w:hAnsi="Source Sans Pro" w:cs="Source Sans Pro"/>
          <w:i/>
          <w:iCs/>
          <w:sz w:val="22"/>
          <w:szCs w:val="22"/>
        </w:rPr>
        <w:t xml:space="preserve"> </w:t>
      </w:r>
      <w:r w:rsidR="00BC555F">
        <w:rPr>
          <w:rFonts w:ascii="Source Sans Pro" w:hAnsi="Source Sans Pro" w:cs="Source Sans Pro"/>
          <w:i/>
          <w:iCs/>
          <w:sz w:val="22"/>
          <w:szCs w:val="22"/>
        </w:rPr>
        <w:t xml:space="preserve">bleiben </w:t>
      </w:r>
      <w:r w:rsidR="008C0111">
        <w:rPr>
          <w:rFonts w:ascii="Source Sans Pro" w:hAnsi="Source Sans Pro" w:cs="Source Sans Pro"/>
          <w:i/>
          <w:iCs/>
          <w:sz w:val="22"/>
          <w:szCs w:val="22"/>
        </w:rPr>
        <w:t xml:space="preserve">allerdings </w:t>
      </w:r>
      <w:r w:rsidR="00CB7E2C" w:rsidRPr="0056696C">
        <w:rPr>
          <w:rFonts w:ascii="Source Sans Pro" w:hAnsi="Source Sans Pro" w:cs="Source Sans Pro"/>
          <w:i/>
          <w:iCs/>
          <w:sz w:val="22"/>
          <w:szCs w:val="22"/>
        </w:rPr>
        <w:t>Unsicherheit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>sfaktoren</w:t>
      </w:r>
      <w:r w:rsidR="008C0111">
        <w:rPr>
          <w:rFonts w:ascii="Source Sans Pro" w:hAnsi="Source Sans Pro" w:cs="Source Sans Pro"/>
          <w:i/>
          <w:iCs/>
          <w:sz w:val="22"/>
          <w:szCs w:val="22"/>
        </w:rPr>
        <w:t xml:space="preserve"> und verzögern 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>viele</w:t>
      </w:r>
      <w:r w:rsidR="00CB7E2C" w:rsidRPr="0056696C">
        <w:rPr>
          <w:rFonts w:ascii="Source Sans Pro" w:hAnsi="Source Sans Pro" w:cs="Source Sans Pro"/>
          <w:i/>
          <w:iCs/>
          <w:sz w:val="22"/>
          <w:szCs w:val="22"/>
        </w:rPr>
        <w:t xml:space="preserve"> Anmietungs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>entscheidungen</w:t>
      </w:r>
      <w:r w:rsidR="00CB7E2C" w:rsidRPr="0056696C">
        <w:rPr>
          <w:rFonts w:ascii="Source Sans Pro" w:hAnsi="Source Sans Pro" w:cs="Source Sans Pro"/>
          <w:i/>
          <w:iCs/>
          <w:sz w:val="22"/>
          <w:szCs w:val="22"/>
        </w:rPr>
        <w:t>.</w:t>
      </w:r>
      <w:r w:rsidR="00CB7E2C">
        <w:rPr>
          <w:rFonts w:ascii="Source Sans Pro" w:hAnsi="Source Sans Pro" w:cs="Source Sans Pro"/>
          <w:i/>
          <w:iCs/>
          <w:sz w:val="22"/>
          <w:szCs w:val="22"/>
        </w:rPr>
        <w:t>“</w:t>
      </w:r>
    </w:p>
    <w:p w14:paraId="46693A95" w14:textId="77777777" w:rsidR="00EF7671" w:rsidRPr="00013486" w:rsidRDefault="00EF7671" w:rsidP="007D5A52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iCs/>
          <w:sz w:val="22"/>
          <w:szCs w:val="22"/>
        </w:rPr>
      </w:pPr>
    </w:p>
    <w:p w14:paraId="34963DAE" w14:textId="243E9238" w:rsidR="00CB7E2C" w:rsidRPr="00CB7E2C" w:rsidRDefault="00CB7E2C" w:rsidP="00013486">
      <w:pPr>
        <w:pStyle w:val="Listenabsatz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 w:rsidRPr="00CB7E2C">
        <w:rPr>
          <w:rFonts w:ascii="Source Sans Pro" w:hAnsi="Source Sans Pro" w:cs="Source Sans Pro"/>
          <w:sz w:val="22"/>
          <w:szCs w:val="22"/>
        </w:rPr>
        <w:t>Die Top-7-St</w:t>
      </w:r>
      <w:r w:rsidR="00B52B53">
        <w:rPr>
          <w:rFonts w:ascii="Source Sans Pro" w:hAnsi="Source Sans Pro" w:cs="Source Sans Pro"/>
          <w:sz w:val="22"/>
          <w:szCs w:val="22"/>
        </w:rPr>
        <w:t>ädte</w:t>
      </w:r>
      <w:r w:rsidRPr="00CB7E2C">
        <w:rPr>
          <w:rFonts w:ascii="Source Sans Pro" w:hAnsi="Source Sans Pro" w:cs="Source Sans Pro"/>
          <w:sz w:val="22"/>
          <w:szCs w:val="22"/>
        </w:rPr>
        <w:t xml:space="preserve"> starteten mit uneinheitlichen Entwicklungen der Flächenumsätze in das Jahr: 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Den größten Zuwachs 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um rund 112 % auf 202.700 m² erfasste GPP in Frankfurt. 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Damit erreichte die Mainmetropole auch den höchsten Flächenumsatz 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>im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 Top-7-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>Vergleich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. 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>Hierzu trug vor allem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 die 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großvolumige 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Anmietung </w:t>
      </w:r>
      <w:r w:rsidR="005564A2">
        <w:rPr>
          <w:rFonts w:ascii="Source Sans Pro" w:hAnsi="Source Sans Pro" w:cs="Source Sans Pro"/>
          <w:color w:val="000000"/>
          <w:sz w:val="22"/>
          <w:szCs w:val="22"/>
        </w:rPr>
        <w:t>der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 Commerzbank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 im „CBT Central Business Tower“ bei</w:t>
      </w:r>
      <w:r w:rsidR="00013486"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. 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Auch Köln (+103 % auf 65.000 m²) und Hamburg (46 % auf 124.000 m²) verzeichneten ein </w:t>
      </w:r>
      <w:r w:rsidR="008E3F6F">
        <w:rPr>
          <w:rFonts w:ascii="Source Sans Pro" w:hAnsi="Source Sans Pro" w:cs="Source Sans Pro"/>
          <w:color w:val="000000"/>
          <w:sz w:val="22"/>
          <w:szCs w:val="22"/>
        </w:rPr>
        <w:t>starke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s Plus. Rückläufig entwickelte sich der Flächenumsatz hingegen </w:t>
      </w:r>
      <w:r w:rsidR="006005C8">
        <w:rPr>
          <w:rFonts w:ascii="Source Sans Pro" w:hAnsi="Source Sans Pro" w:cs="Source Sans Pro"/>
          <w:color w:val="000000"/>
          <w:sz w:val="22"/>
          <w:szCs w:val="22"/>
        </w:rPr>
        <w:t xml:space="preserve">unter anderem 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 xml:space="preserve">in Stuttgart (-33 % auf 40.000 m²) und Berlin (-30 % auf </w:t>
      </w:r>
      <w:r w:rsidR="006005C8">
        <w:rPr>
          <w:rFonts w:ascii="Source Sans Pro" w:hAnsi="Source Sans Pro" w:cs="Source Sans Pro"/>
          <w:color w:val="000000"/>
          <w:sz w:val="22"/>
          <w:szCs w:val="22"/>
        </w:rPr>
        <w:t>103</w:t>
      </w:r>
      <w:r w:rsidRPr="00CB7E2C">
        <w:rPr>
          <w:rFonts w:ascii="Source Sans Pro" w:hAnsi="Source Sans Pro" w:cs="Source Sans Pro"/>
          <w:color w:val="000000"/>
          <w:sz w:val="22"/>
          <w:szCs w:val="22"/>
        </w:rPr>
        <w:t>.000 m²).</w:t>
      </w:r>
    </w:p>
    <w:p w14:paraId="1D8B6111" w14:textId="2D2C4D48" w:rsidR="00013486" w:rsidRPr="002433EB" w:rsidRDefault="00F310D7" w:rsidP="00013486">
      <w:pPr>
        <w:pStyle w:val="Listenabsatz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 w:rsidRPr="00F310D7">
        <w:rPr>
          <w:rFonts w:ascii="Source Sans Pro" w:hAnsi="Source Sans Pro" w:cs="Source Sans Pro"/>
          <w:color w:val="000000"/>
          <w:sz w:val="22"/>
          <w:szCs w:val="22"/>
        </w:rPr>
        <w:t>Erwartungsgemäß nahm</w:t>
      </w:r>
      <w:r>
        <w:rPr>
          <w:rFonts w:ascii="Source Sans Pro" w:hAnsi="Source Sans Pro" w:cs="Source Sans Pro"/>
          <w:color w:val="000000"/>
          <w:sz w:val="22"/>
          <w:szCs w:val="22"/>
        </w:rPr>
        <w:t xml:space="preserve"> der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 Leerstand an allen Standorten weiter </w:t>
      </w:r>
      <w:r w:rsidR="002433EB" w:rsidRPr="002433EB">
        <w:rPr>
          <w:rFonts w:ascii="Source Sans Pro" w:hAnsi="Source Sans Pro" w:cs="Source Sans Pro"/>
          <w:color w:val="000000"/>
          <w:sz w:val="22"/>
          <w:szCs w:val="22"/>
        </w:rPr>
        <w:t>zu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. Besonders deutlich fiel der </w:t>
      </w:r>
      <w:r w:rsidR="002433EB" w:rsidRPr="002433EB">
        <w:rPr>
          <w:rFonts w:ascii="Source Sans Pro" w:hAnsi="Source Sans Pro" w:cs="Source Sans Pro"/>
          <w:color w:val="000000"/>
          <w:sz w:val="22"/>
          <w:szCs w:val="22"/>
        </w:rPr>
        <w:t>Anstieg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 in Berlin und Köln aus</w:t>
      </w:r>
      <w:r>
        <w:rPr>
          <w:rFonts w:ascii="Source Sans Pro" w:hAnsi="Source Sans Pro" w:cs="Source Sans Pro"/>
          <w:color w:val="000000"/>
          <w:sz w:val="22"/>
          <w:szCs w:val="22"/>
        </w:rPr>
        <w:t>, hier</w:t>
      </w:r>
      <w:r w:rsidR="002433EB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="002433EB" w:rsidRPr="00F310D7">
        <w:rPr>
          <w:rFonts w:ascii="Source Sans Pro" w:hAnsi="Source Sans Pro" w:cs="Source Sans Pro"/>
          <w:color w:val="000000"/>
          <w:sz w:val="22"/>
          <w:szCs w:val="22"/>
        </w:rPr>
        <w:t>er</w:t>
      </w:r>
      <w:r w:rsidRPr="00F310D7">
        <w:rPr>
          <w:rFonts w:ascii="Source Sans Pro" w:hAnsi="Source Sans Pro" w:cs="Source Sans Pro"/>
          <w:color w:val="000000"/>
          <w:sz w:val="22"/>
          <w:szCs w:val="22"/>
        </w:rPr>
        <w:t>hob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 GPP </w:t>
      </w:r>
      <w:r w:rsidR="008E3F6F">
        <w:rPr>
          <w:rFonts w:ascii="Source Sans Pro" w:hAnsi="Source Sans Pro" w:cs="Source Sans Pro"/>
          <w:color w:val="000000"/>
          <w:sz w:val="22"/>
          <w:szCs w:val="22"/>
        </w:rPr>
        <w:t xml:space="preserve">ein Plus 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von </w:t>
      </w:r>
      <w:r w:rsidR="002433EB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rund 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43 </w:t>
      </w:r>
      <w:r w:rsidR="00E81BEB">
        <w:rPr>
          <w:rFonts w:ascii="Source Sans Pro" w:hAnsi="Source Sans Pro" w:cs="Source Sans Pro"/>
          <w:color w:val="000000"/>
          <w:sz w:val="22"/>
          <w:szCs w:val="22"/>
        </w:rPr>
        <w:t>und</w:t>
      </w:r>
      <w:r w:rsidR="0048102A">
        <w:rPr>
          <w:rFonts w:ascii="Source Sans Pro" w:hAnsi="Source Sans Pro" w:cs="Source Sans Pro"/>
          <w:color w:val="000000"/>
          <w:sz w:val="22"/>
          <w:szCs w:val="22"/>
        </w:rPr>
        <w:t xml:space="preserve"> 30</w:t>
      </w:r>
      <w:r w:rsidR="00A02210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%. Insgesamt erhöhte sich der Top-7-Leerstand um etwa </w:t>
      </w:r>
      <w:r w:rsidR="004D3556">
        <w:rPr>
          <w:rFonts w:ascii="Source Sans Pro" w:hAnsi="Source Sans Pro" w:cs="Source Sans Pro"/>
          <w:color w:val="000000"/>
          <w:sz w:val="22"/>
          <w:szCs w:val="22"/>
        </w:rPr>
        <w:t>25</w:t>
      </w:r>
      <w:r w:rsidR="004D3556" w:rsidRPr="002433EB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="002433EB">
        <w:rPr>
          <w:rFonts w:ascii="Source Sans Pro" w:hAnsi="Source Sans Pro" w:cs="Source Sans Pro"/>
          <w:color w:val="000000"/>
          <w:sz w:val="22"/>
          <w:szCs w:val="22"/>
        </w:rPr>
        <w:t>%, entsprechend kletterte d</w:t>
      </w:r>
      <w:r w:rsidR="00013486" w:rsidRPr="002433EB">
        <w:rPr>
          <w:rFonts w:ascii="Source Sans Pro" w:hAnsi="Source Sans Pro" w:cs="Source Sans Pro"/>
          <w:color w:val="000000"/>
          <w:sz w:val="22"/>
          <w:szCs w:val="22"/>
        </w:rPr>
        <w:t>ie Top-7-Leerstandsquote um rund 1,6 %-Punkte auf etwa 8,1 %.</w:t>
      </w:r>
    </w:p>
    <w:p w14:paraId="7A2DEAE8" w14:textId="150FAF23" w:rsidR="002433EB" w:rsidRPr="00427B58" w:rsidRDefault="000835E3" w:rsidP="002433EB">
      <w:pPr>
        <w:pStyle w:val="Listenabsatz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>
        <w:rPr>
          <w:rFonts w:ascii="Source Sans Pro" w:hAnsi="Source Sans Pro" w:cs="Source Sans Pro"/>
          <w:color w:val="000000"/>
          <w:sz w:val="22"/>
          <w:szCs w:val="22"/>
        </w:rPr>
        <w:t>Im Vergleich zum Vorjahreszeitraum sank d</w:t>
      </w:r>
      <w:r w:rsidR="002433EB">
        <w:rPr>
          <w:rFonts w:ascii="Source Sans Pro" w:hAnsi="Source Sans Pro" w:cs="Source Sans Pro"/>
          <w:color w:val="000000"/>
          <w:sz w:val="22"/>
          <w:szCs w:val="22"/>
        </w:rPr>
        <w:t xml:space="preserve">ie Top-7-Eigennutzerquote um 10 %-Punkte auf </w:t>
      </w:r>
      <w:r w:rsidR="006005C8">
        <w:rPr>
          <w:rFonts w:ascii="Source Sans Pro" w:hAnsi="Source Sans Pro" w:cs="Source Sans Pro"/>
          <w:color w:val="000000"/>
          <w:sz w:val="22"/>
          <w:szCs w:val="22"/>
        </w:rPr>
        <w:t xml:space="preserve">rund </w:t>
      </w:r>
      <w:r w:rsidR="002433EB">
        <w:rPr>
          <w:rFonts w:ascii="Source Sans Pro" w:hAnsi="Source Sans Pro" w:cs="Source Sans Pro"/>
          <w:color w:val="000000"/>
          <w:sz w:val="22"/>
          <w:szCs w:val="22"/>
        </w:rPr>
        <w:t xml:space="preserve">7 %. Zwar stieg das Ergebnis für Hamburg um 16 %-Punkte an – </w:t>
      </w:r>
      <w:r w:rsidR="00F310D7">
        <w:rPr>
          <w:rFonts w:ascii="Source Sans Pro" w:hAnsi="Source Sans Pro" w:cs="Source Sans Pro"/>
          <w:color w:val="000000"/>
          <w:sz w:val="22"/>
          <w:szCs w:val="22"/>
        </w:rPr>
        <w:t>maßgeblich</w:t>
      </w:r>
      <w:r w:rsidR="002433EB">
        <w:rPr>
          <w:rFonts w:ascii="Source Sans Pro" w:hAnsi="Source Sans Pro" w:cs="Source Sans Pro"/>
          <w:color w:val="000000"/>
          <w:sz w:val="22"/>
          <w:szCs w:val="22"/>
        </w:rPr>
        <w:t xml:space="preserve"> bedingt durch den Eigennutzerbaustart von Körber Technologies – an den meisten anderen Standorten ging die Quote hingegen zurück. </w:t>
      </w:r>
    </w:p>
    <w:p w14:paraId="565EC11A" w14:textId="3A763204" w:rsidR="00013486" w:rsidRPr="000835E3" w:rsidRDefault="00AF6E30" w:rsidP="000835E3">
      <w:pPr>
        <w:pStyle w:val="Listenabsatz"/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 w:rsidRPr="00AF6E30">
        <w:rPr>
          <w:rFonts w:ascii="Source Sans Pro" w:hAnsi="Source Sans Pro" w:cs="Source Sans Pro"/>
          <w:color w:val="000000"/>
          <w:sz w:val="22"/>
          <w:szCs w:val="22"/>
        </w:rPr>
        <w:t>An den Top-7-Standorten entwickelten sich di</w:t>
      </w:r>
      <w:r w:rsidR="00013486" w:rsidRPr="00AF6E30">
        <w:rPr>
          <w:rFonts w:ascii="Source Sans Pro" w:hAnsi="Source Sans Pro" w:cs="Source Sans Pro"/>
          <w:color w:val="000000"/>
          <w:sz w:val="22"/>
          <w:szCs w:val="22"/>
        </w:rPr>
        <w:t>e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 xml:space="preserve"> Durchschnittsmieten </w:t>
      </w:r>
      <w:r w:rsidR="000835E3" w:rsidRPr="000835E3">
        <w:rPr>
          <w:rFonts w:ascii="Source Sans Pro" w:hAnsi="Source Sans Pro" w:cs="Source Sans Pro"/>
          <w:color w:val="000000"/>
          <w:sz w:val="22"/>
          <w:szCs w:val="22"/>
        </w:rPr>
        <w:t>in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 xml:space="preserve"> unterschiedlich</w:t>
      </w:r>
      <w:r w:rsidR="000835E3" w:rsidRPr="000835E3">
        <w:rPr>
          <w:rFonts w:ascii="Source Sans Pro" w:hAnsi="Source Sans Pro" w:cs="Source Sans Pro"/>
          <w:color w:val="000000"/>
          <w:sz w:val="22"/>
          <w:szCs w:val="22"/>
        </w:rPr>
        <w:t>e Richtungen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 xml:space="preserve">: </w:t>
      </w:r>
      <w:r w:rsidR="000835E3" w:rsidRPr="000835E3">
        <w:rPr>
          <w:rFonts w:ascii="Source Sans Pro" w:hAnsi="Source Sans Pro" w:cs="Source Sans Pro"/>
          <w:color w:val="000000"/>
          <w:sz w:val="22"/>
          <w:szCs w:val="22"/>
        </w:rPr>
        <w:t>Ein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t xml:space="preserve"> deutliches Plus registrierte GPP</w:t>
      </w:r>
      <w:r w:rsidR="0048102A">
        <w:rPr>
          <w:rFonts w:ascii="Source Sans Pro" w:hAnsi="Source Sans Pro" w:cs="Source Sans Pro"/>
          <w:color w:val="000000"/>
          <w:sz w:val="22"/>
          <w:szCs w:val="22"/>
        </w:rPr>
        <w:t xml:space="preserve"> aufgrund einzelner Großanmietungen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t xml:space="preserve"> in Köln (+20 % auf 22,30 </w:t>
      </w:r>
      <w:r w:rsidR="000835E3" w:rsidRPr="00C616AE">
        <w:rPr>
          <w:rFonts w:ascii="Source Sans Pro" w:hAnsi="Source Sans Pro" w:cs="Source Sans Pro"/>
          <w:color w:val="000000"/>
          <w:sz w:val="22"/>
          <w:szCs w:val="22"/>
        </w:rPr>
        <w:t>€/m²/Monat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t xml:space="preserve">). Ähnlich hohe Anstiege zeigten sich in Frankfurt (+15 % auf 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lastRenderedPageBreak/>
        <w:t xml:space="preserve">28,80 </w:t>
      </w:r>
      <w:r w:rsidR="000835E3" w:rsidRPr="00C616AE">
        <w:rPr>
          <w:rFonts w:ascii="Source Sans Pro" w:hAnsi="Source Sans Pro" w:cs="Source Sans Pro"/>
          <w:color w:val="000000"/>
          <w:sz w:val="22"/>
          <w:szCs w:val="22"/>
        </w:rPr>
        <w:t>€/m²/Monat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t xml:space="preserve">) und Stuttgart (+13 % auf 21,40 </w:t>
      </w:r>
      <w:r w:rsidR="000835E3" w:rsidRPr="00C616AE">
        <w:rPr>
          <w:rFonts w:ascii="Source Sans Pro" w:hAnsi="Source Sans Pro" w:cs="Source Sans Pro"/>
          <w:color w:val="000000"/>
          <w:sz w:val="22"/>
          <w:szCs w:val="22"/>
        </w:rPr>
        <w:t>€/m²/Monat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t xml:space="preserve">). Berlin realisierte die höchste Durchschnittsmiete von 28,95 </w:t>
      </w:r>
      <w:r w:rsidR="000835E3" w:rsidRPr="00C616AE">
        <w:rPr>
          <w:rFonts w:ascii="Source Sans Pro" w:hAnsi="Source Sans Pro" w:cs="Source Sans Pro"/>
          <w:color w:val="000000"/>
          <w:sz w:val="22"/>
          <w:szCs w:val="22"/>
        </w:rPr>
        <w:t>€/m²/Monat</w:t>
      </w:r>
      <w:r w:rsidR="000835E3">
        <w:rPr>
          <w:rFonts w:ascii="Source Sans Pro" w:hAnsi="Source Sans Pro" w:cs="Source Sans Pro"/>
          <w:color w:val="000000"/>
          <w:sz w:val="22"/>
          <w:szCs w:val="22"/>
        </w:rPr>
        <w:t>.</w:t>
      </w:r>
    </w:p>
    <w:p w14:paraId="1D4C28A0" w14:textId="0C3639AB" w:rsidR="00013486" w:rsidRPr="000835E3" w:rsidRDefault="008E3F6F" w:rsidP="000835E3">
      <w:pPr>
        <w:pStyle w:val="Listenabsatz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  <w:r>
        <w:rPr>
          <w:rFonts w:ascii="Source Sans Pro" w:hAnsi="Source Sans Pro" w:cs="Source Sans Pro"/>
          <w:color w:val="000000"/>
          <w:sz w:val="22"/>
          <w:szCs w:val="22"/>
        </w:rPr>
        <w:t>An allen Standorten verblieben d</w:t>
      </w:r>
      <w:r w:rsidR="00AF6E30">
        <w:rPr>
          <w:rFonts w:ascii="Source Sans Pro" w:hAnsi="Source Sans Pro" w:cs="Source Sans Pro"/>
          <w:color w:val="000000"/>
          <w:sz w:val="22"/>
          <w:szCs w:val="22"/>
        </w:rPr>
        <w:t>ie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 xml:space="preserve"> Spitzenmieten</w:t>
      </w:r>
      <w:r w:rsidR="00583CC2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>weitestgehend stabil</w:t>
      </w:r>
      <w:r w:rsidR="00583CC2">
        <w:rPr>
          <w:rFonts w:ascii="Source Sans Pro" w:hAnsi="Source Sans Pro" w:cs="Source Sans Pro"/>
          <w:color w:val="000000"/>
          <w:sz w:val="22"/>
          <w:szCs w:val="22"/>
        </w:rPr>
        <w:t xml:space="preserve"> oder nahmen leicht zu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 xml:space="preserve">. </w:t>
      </w:r>
      <w:r w:rsidR="000835E3" w:rsidRPr="008E3F6F">
        <w:rPr>
          <w:rFonts w:ascii="Source Sans Pro" w:hAnsi="Source Sans Pro" w:cs="Source Sans Pro"/>
          <w:color w:val="000000"/>
          <w:sz w:val="22"/>
          <w:szCs w:val="22"/>
        </w:rPr>
        <w:t>Die</w:t>
      </w:r>
      <w:r w:rsidR="000835E3" w:rsidRPr="000835E3">
        <w:rPr>
          <w:rFonts w:ascii="Source Sans Pro" w:hAnsi="Source Sans Pro" w:cs="Source Sans Pro"/>
          <w:color w:val="000000"/>
          <w:sz w:val="22"/>
          <w:szCs w:val="22"/>
        </w:rPr>
        <w:t xml:space="preserve"> höchsten Zuwächse von jeweils rund 6 % verzeichneten Köln (+6 % auf 35,00 €/m²/Monat), Frankfurt (+6 % auf 50,00 €/m²/Monat) und Stuttgart (+6 % auf 37,00 €/m²/Monat). </w:t>
      </w:r>
      <w:r w:rsidR="00013486" w:rsidRPr="000835E3">
        <w:rPr>
          <w:rFonts w:ascii="Source Sans Pro" w:hAnsi="Source Sans Pro" w:cs="Source Sans Pro"/>
          <w:color w:val="000000"/>
          <w:sz w:val="22"/>
          <w:szCs w:val="22"/>
        </w:rPr>
        <w:t>München blieb mit 53,30 €/m²/Monat der Standort mit der höchsten Spitzenmiete, gefolgt von Frankfurt.</w:t>
      </w:r>
    </w:p>
    <w:p w14:paraId="3ED390D2" w14:textId="5491892C" w:rsidR="00F741A3" w:rsidRDefault="00F741A3" w:rsidP="007C689F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i/>
          <w:iCs/>
          <w:color w:val="000000"/>
          <w:sz w:val="22"/>
          <w:szCs w:val="22"/>
        </w:rPr>
      </w:pPr>
    </w:p>
    <w:p w14:paraId="608BCEEE" w14:textId="5BFF9C45" w:rsidR="002B5E0E" w:rsidRDefault="00F741A3" w:rsidP="007C689F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i/>
          <w:iCs/>
          <w:color w:val="000000"/>
          <w:sz w:val="22"/>
          <w:szCs w:val="22"/>
        </w:rPr>
      </w:pPr>
      <w:r>
        <w:rPr>
          <w:rFonts w:ascii="Source Sans Pro" w:hAnsi="Source Sans Pro" w:cs="Source Sans Pro"/>
          <w:i/>
          <w:iCs/>
          <w:color w:val="000000"/>
          <w:sz w:val="22"/>
          <w:szCs w:val="22"/>
        </w:rPr>
        <w:t>„</w:t>
      </w:r>
      <w:r w:rsidR="00013486" w:rsidRPr="00013486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Die </w:t>
      </w:r>
      <w:r w:rsidR="00013486">
        <w:rPr>
          <w:rFonts w:ascii="Source Sans Pro" w:hAnsi="Source Sans Pro" w:cs="Source Sans Pro"/>
          <w:i/>
          <w:iCs/>
          <w:color w:val="000000"/>
          <w:sz w:val="22"/>
          <w:szCs w:val="22"/>
        </w:rPr>
        <w:t>Markte</w:t>
      </w:r>
      <w:r w:rsidR="00013486" w:rsidRPr="00013486">
        <w:rPr>
          <w:rFonts w:ascii="Source Sans Pro" w:hAnsi="Source Sans Pro" w:cs="Source Sans Pro"/>
          <w:i/>
          <w:iCs/>
          <w:color w:val="000000"/>
          <w:sz w:val="22"/>
          <w:szCs w:val="22"/>
        </w:rPr>
        <w:t>ntwicklung im Jahresverlauf</w:t>
      </w:r>
      <w:r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wird</w:t>
      </w:r>
      <w:r w:rsidR="00013486" w:rsidRPr="00013486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wesentlich davon abhängen, wie sich die gesamtwirtschaftliche Lage entwickel</w:t>
      </w:r>
      <w:r w:rsidR="00D213E9">
        <w:rPr>
          <w:rFonts w:ascii="Source Sans Pro" w:hAnsi="Source Sans Pro" w:cs="Source Sans Pro"/>
          <w:i/>
          <w:iCs/>
          <w:color w:val="000000"/>
          <w:sz w:val="22"/>
          <w:szCs w:val="22"/>
        </w:rPr>
        <w:t>t</w:t>
      </w:r>
      <w:r w:rsidR="00EF7671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“, </w:t>
      </w:r>
      <w:r w:rsidR="008E3F6F">
        <w:rPr>
          <w:rFonts w:ascii="Source Sans Pro" w:hAnsi="Source Sans Pro" w:cs="Source Sans Pro"/>
          <w:color w:val="000000"/>
          <w:sz w:val="22"/>
          <w:szCs w:val="22"/>
        </w:rPr>
        <w:t>prognostiziert</w:t>
      </w:r>
      <w:r w:rsidR="00EF7671" w:rsidRPr="00EF7671">
        <w:rPr>
          <w:rFonts w:ascii="Source Sans Pro" w:hAnsi="Source Sans Pro" w:cs="Source Sans Pro"/>
          <w:color w:val="000000"/>
          <w:sz w:val="22"/>
          <w:szCs w:val="22"/>
        </w:rPr>
        <w:t xml:space="preserve"> </w:t>
      </w:r>
      <w:r w:rsidR="00EF7671" w:rsidRPr="00EF7671">
        <w:rPr>
          <w:rFonts w:ascii="Source Sans Pro" w:hAnsi="Source Sans Pro" w:cs="Source Sans Pro"/>
          <w:b/>
          <w:bCs/>
          <w:color w:val="000000"/>
          <w:sz w:val="22"/>
          <w:szCs w:val="22"/>
        </w:rPr>
        <w:t>Holzwarth</w:t>
      </w:r>
      <w:r w:rsidR="00EF7671" w:rsidRPr="00EF7671">
        <w:rPr>
          <w:rFonts w:ascii="Source Sans Pro" w:hAnsi="Source Sans Pro" w:cs="Source Sans Pro"/>
          <w:color w:val="000000"/>
          <w:sz w:val="22"/>
          <w:szCs w:val="22"/>
        </w:rPr>
        <w:t>.</w:t>
      </w:r>
      <w:r w:rsidR="00EF7671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„A</w:t>
      </w:r>
      <w:r>
        <w:rPr>
          <w:rFonts w:ascii="Source Sans Pro" w:hAnsi="Source Sans Pro" w:cs="Source Sans Pro"/>
          <w:i/>
          <w:iCs/>
          <w:color w:val="000000"/>
          <w:sz w:val="22"/>
          <w:szCs w:val="22"/>
        </w:rPr>
        <w:t>n einigen Standorten</w:t>
      </w:r>
      <w:r w:rsidR="00EF7671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herrscht</w:t>
      </w:r>
      <w:r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bereits eine </w:t>
      </w:r>
      <w:r w:rsidR="00EF7671">
        <w:rPr>
          <w:rFonts w:ascii="Source Sans Pro" w:hAnsi="Source Sans Pro" w:cs="Source Sans Pro"/>
          <w:i/>
          <w:iCs/>
          <w:color w:val="000000"/>
          <w:sz w:val="22"/>
          <w:szCs w:val="22"/>
        </w:rPr>
        <w:t>lebendigere</w:t>
      </w:r>
      <w:r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Grundstimmung und </w:t>
      </w:r>
      <w:r w:rsidR="00A67425">
        <w:rPr>
          <w:rFonts w:ascii="Source Sans Pro" w:hAnsi="Source Sans Pro" w:cs="Source Sans Pro"/>
          <w:i/>
          <w:iCs/>
          <w:color w:val="000000"/>
          <w:sz w:val="22"/>
          <w:szCs w:val="22"/>
        </w:rPr>
        <w:t>weitere</w:t>
      </w:r>
      <w:r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Großabschlüsse kündigen sich an. Doch s</w:t>
      </w:r>
      <w:r w:rsidR="00D213E9" w:rsidRPr="00D213E9">
        <w:rPr>
          <w:rFonts w:ascii="Source Sans Pro" w:hAnsi="Source Sans Pro" w:cs="Source Sans Pro"/>
          <w:i/>
          <w:iCs/>
          <w:color w:val="000000"/>
          <w:sz w:val="22"/>
          <w:szCs w:val="22"/>
        </w:rPr>
        <w:t>olange keine spürbare</w:t>
      </w:r>
      <w:r w:rsidR="00386A1E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</w:t>
      </w:r>
      <w:r w:rsidR="00D213E9" w:rsidRPr="00D213E9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konjunkturelle Stabilisierung einsetzt, </w:t>
      </w:r>
      <w:r w:rsidR="00386A1E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die langfristige Planung ermöglicht, </w:t>
      </w:r>
      <w:r w:rsidR="00D213E9" w:rsidRPr="00D213E9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dürfte sich die Zurückhaltung vieler Unternehmen bei </w:t>
      </w:r>
      <w:r w:rsidR="008E3F6F">
        <w:rPr>
          <w:rFonts w:ascii="Source Sans Pro" w:hAnsi="Source Sans Pro" w:cs="Source Sans Pro"/>
          <w:i/>
          <w:iCs/>
          <w:color w:val="000000"/>
          <w:sz w:val="22"/>
          <w:szCs w:val="22"/>
        </w:rPr>
        <w:t>Anmietungsent</w:t>
      </w:r>
      <w:r w:rsidR="00D213E9" w:rsidRPr="00D213E9">
        <w:rPr>
          <w:rFonts w:ascii="Source Sans Pro" w:hAnsi="Source Sans Pro" w:cs="Source Sans Pro"/>
          <w:i/>
          <w:iCs/>
          <w:color w:val="000000"/>
          <w:sz w:val="22"/>
          <w:szCs w:val="22"/>
        </w:rPr>
        <w:t>scheidungen fortsetzen.</w:t>
      </w:r>
      <w:r w:rsidR="00EF7671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 </w:t>
      </w:r>
      <w:r w:rsidR="00DD6040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Für das Gesamtjahr rechnen wir mit einer schwachen Zunahme der </w:t>
      </w:r>
      <w:r w:rsidR="008E3F6F">
        <w:rPr>
          <w:rFonts w:ascii="Source Sans Pro" w:hAnsi="Source Sans Pro" w:cs="Source Sans Pro"/>
          <w:i/>
          <w:iCs/>
          <w:color w:val="000000"/>
          <w:sz w:val="22"/>
          <w:szCs w:val="22"/>
        </w:rPr>
        <w:t>A</w:t>
      </w:r>
      <w:r w:rsidR="00DD6040">
        <w:rPr>
          <w:rFonts w:ascii="Source Sans Pro" w:hAnsi="Source Sans Pro" w:cs="Source Sans Pro"/>
          <w:i/>
          <w:iCs/>
          <w:color w:val="000000"/>
          <w:sz w:val="22"/>
          <w:szCs w:val="22"/>
        </w:rPr>
        <w:t>ktivitäte</w:t>
      </w:r>
      <w:r w:rsidR="008E3F6F">
        <w:rPr>
          <w:rFonts w:ascii="Source Sans Pro" w:hAnsi="Source Sans Pro" w:cs="Source Sans Pro"/>
          <w:i/>
          <w:iCs/>
          <w:color w:val="000000"/>
          <w:sz w:val="22"/>
          <w:szCs w:val="22"/>
        </w:rPr>
        <w:t>n</w:t>
      </w:r>
      <w:r w:rsidR="00DD6040">
        <w:rPr>
          <w:rFonts w:ascii="Source Sans Pro" w:hAnsi="Source Sans Pro" w:cs="Source Sans Pro"/>
          <w:i/>
          <w:iCs/>
          <w:color w:val="000000"/>
          <w:sz w:val="22"/>
          <w:szCs w:val="22"/>
        </w:rPr>
        <w:t xml:space="preserve">. Das </w:t>
      </w:r>
      <w:r w:rsidR="008E3F6F">
        <w:rPr>
          <w:rFonts w:ascii="Source Sans Pro" w:hAnsi="Source Sans Pro" w:cs="Source Sans Pro"/>
          <w:i/>
          <w:iCs/>
          <w:color w:val="000000"/>
          <w:sz w:val="22"/>
          <w:szCs w:val="22"/>
        </w:rPr>
        <w:t>Top-7-</w:t>
      </w:r>
      <w:r w:rsidR="00DD6040">
        <w:rPr>
          <w:rFonts w:ascii="Source Sans Pro" w:hAnsi="Source Sans Pro" w:cs="Source Sans Pro"/>
          <w:i/>
          <w:iCs/>
          <w:color w:val="000000"/>
          <w:sz w:val="22"/>
          <w:szCs w:val="22"/>
        </w:rPr>
        <w:t>Ergebnis wird sich voraussichtlich weiterhin unter den langjährigen Durchschnittswerten bewegen</w:t>
      </w:r>
      <w:r w:rsidR="00EF7671">
        <w:rPr>
          <w:rFonts w:ascii="Source Sans Pro" w:hAnsi="Source Sans Pro" w:cs="Source Sans Pro"/>
          <w:i/>
          <w:iCs/>
          <w:color w:val="000000"/>
          <w:sz w:val="22"/>
          <w:szCs w:val="22"/>
        </w:rPr>
        <w:t>.“</w:t>
      </w:r>
    </w:p>
    <w:p w14:paraId="4B7E4393" w14:textId="77777777" w:rsidR="00322A1B" w:rsidRDefault="00322A1B" w:rsidP="007C689F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i/>
          <w:iCs/>
          <w:color w:val="000000"/>
          <w:sz w:val="22"/>
          <w:szCs w:val="22"/>
        </w:rPr>
      </w:pPr>
    </w:p>
    <w:p w14:paraId="61596975" w14:textId="77777777" w:rsidR="002B5E0E" w:rsidRDefault="002B5E0E" w:rsidP="002B5E0E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 w:rsidRPr="00F50790">
        <w:rPr>
          <w:rFonts w:ascii="Source Sans Pro" w:hAnsi="Source Sans Pro" w:cs="Source Sans Pro"/>
          <w:sz w:val="22"/>
          <w:szCs w:val="22"/>
        </w:rPr>
        <w:t xml:space="preserve">Zu dem Gewerbeimmobiliennetzwerk GPP gehören Grossmann &amp; Berger Immobilien, </w:t>
      </w:r>
      <w:proofErr w:type="spellStart"/>
      <w:r w:rsidRPr="00F50790">
        <w:rPr>
          <w:rFonts w:ascii="Source Sans Pro" w:hAnsi="Source Sans Pro" w:cs="Source Sans Pro"/>
          <w:sz w:val="22"/>
          <w:szCs w:val="22"/>
        </w:rPr>
        <w:t>Anteon</w:t>
      </w:r>
      <w:proofErr w:type="spellEnd"/>
      <w:r w:rsidRPr="00F50790">
        <w:rPr>
          <w:rFonts w:ascii="Source Sans Pro" w:hAnsi="Source Sans Pro" w:cs="Source Sans Pro"/>
          <w:sz w:val="22"/>
          <w:szCs w:val="22"/>
        </w:rPr>
        <w:t xml:space="preserve"> Immobilien, GREIF &amp; CONTZEN Immobilien, </w:t>
      </w:r>
      <w:proofErr w:type="spellStart"/>
      <w:r w:rsidRPr="00F50790">
        <w:rPr>
          <w:rFonts w:ascii="Source Sans Pro" w:hAnsi="Source Sans Pro" w:cs="Source Sans Pro"/>
          <w:sz w:val="22"/>
          <w:szCs w:val="22"/>
        </w:rPr>
        <w:t>blackolive</w:t>
      </w:r>
      <w:proofErr w:type="spellEnd"/>
      <w:r w:rsidRPr="00F50790">
        <w:rPr>
          <w:rFonts w:ascii="Source Sans Pro" w:hAnsi="Source Sans Pro" w:cs="Source Sans Pro"/>
          <w:sz w:val="22"/>
          <w:szCs w:val="22"/>
        </w:rPr>
        <w:t xml:space="preserve"> und E &amp; G Immobilien.</w:t>
      </w:r>
    </w:p>
    <w:p w14:paraId="5684F894" w14:textId="77777777" w:rsidR="00427B58" w:rsidRDefault="00427B58" w:rsidP="00427B58">
      <w:pPr>
        <w:overflowPunct/>
        <w:autoSpaceDE/>
        <w:autoSpaceDN/>
        <w:adjustRightInd/>
        <w:textAlignment w:val="auto"/>
        <w:rPr>
          <w:rFonts w:ascii="Source Sans Pro" w:hAnsi="Source Sans Pro" w:cs="Source Sans Pro"/>
          <w:color w:val="000000"/>
          <w:sz w:val="22"/>
          <w:szCs w:val="22"/>
        </w:rPr>
      </w:pPr>
    </w:p>
    <w:p w14:paraId="5EB23EF7" w14:textId="77777777" w:rsidR="00710BCA" w:rsidRPr="00C92B70" w:rsidRDefault="00710BCA" w:rsidP="00915F18">
      <w:pPr>
        <w:rPr>
          <w:rFonts w:ascii="Source Sans Pro" w:hAnsi="Source Sans Pro" w:cs="Arial"/>
          <w:b/>
          <w:sz w:val="20"/>
        </w:rPr>
      </w:pPr>
    </w:p>
    <w:p w14:paraId="19FCC4BA" w14:textId="77777777" w:rsidR="00710BCA" w:rsidRPr="00C92B70" w:rsidRDefault="00710BCA" w:rsidP="00915F18">
      <w:pPr>
        <w:rPr>
          <w:rFonts w:ascii="Source Sans Pro" w:hAnsi="Source Sans Pro" w:cs="Arial"/>
          <w:b/>
          <w:sz w:val="20"/>
        </w:rPr>
      </w:pPr>
    </w:p>
    <w:p w14:paraId="4B65132D" w14:textId="772678FF" w:rsidR="00915F18" w:rsidRPr="0051046D" w:rsidRDefault="00915F18" w:rsidP="00915F18">
      <w:pPr>
        <w:rPr>
          <w:rFonts w:ascii="Source Sans Pro" w:hAnsi="Source Sans Pro" w:cs="Arial"/>
          <w:sz w:val="16"/>
          <w:szCs w:val="16"/>
          <w:lang w:val="en-GB"/>
        </w:rPr>
      </w:pPr>
      <w:r w:rsidRPr="0051046D">
        <w:rPr>
          <w:rFonts w:ascii="Source Sans Pro" w:hAnsi="Source Sans Pro" w:cs="Arial"/>
          <w:b/>
          <w:sz w:val="20"/>
          <w:lang w:val="en-GB"/>
        </w:rPr>
        <w:t>Top-7-Standorte | 1. Quartal 202</w:t>
      </w:r>
      <w:r w:rsidR="001E3FA4">
        <w:rPr>
          <w:rFonts w:ascii="Source Sans Pro" w:hAnsi="Source Sans Pro" w:cs="Arial"/>
          <w:b/>
          <w:sz w:val="20"/>
          <w:lang w:val="en-GB"/>
        </w:rPr>
        <w:t>5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828"/>
        <w:gridCol w:w="932"/>
        <w:gridCol w:w="932"/>
        <w:gridCol w:w="932"/>
        <w:gridCol w:w="932"/>
        <w:gridCol w:w="932"/>
        <w:gridCol w:w="932"/>
        <w:gridCol w:w="932"/>
        <w:gridCol w:w="930"/>
      </w:tblGrid>
      <w:tr w:rsidR="00915F18" w:rsidRPr="0051046D" w14:paraId="4CC25B8D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7F9D736B" w14:textId="77777777" w:rsidR="00915F18" w:rsidRPr="0051046D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2" w:type="pct"/>
            <w:vAlign w:val="center"/>
          </w:tcPr>
          <w:p w14:paraId="5661DA6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HAM</w:t>
            </w:r>
          </w:p>
        </w:tc>
        <w:tc>
          <w:tcPr>
            <w:tcW w:w="502" w:type="pct"/>
            <w:vAlign w:val="center"/>
          </w:tcPr>
          <w:p w14:paraId="0304E8CE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BER</w:t>
            </w:r>
          </w:p>
        </w:tc>
        <w:tc>
          <w:tcPr>
            <w:tcW w:w="502" w:type="pct"/>
            <w:vAlign w:val="center"/>
          </w:tcPr>
          <w:p w14:paraId="6E63E79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DUS</w:t>
            </w:r>
          </w:p>
        </w:tc>
        <w:tc>
          <w:tcPr>
            <w:tcW w:w="502" w:type="pct"/>
            <w:vAlign w:val="center"/>
          </w:tcPr>
          <w:p w14:paraId="09B7C9DA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CGN</w:t>
            </w:r>
          </w:p>
        </w:tc>
        <w:tc>
          <w:tcPr>
            <w:tcW w:w="502" w:type="pct"/>
            <w:vAlign w:val="center"/>
          </w:tcPr>
          <w:p w14:paraId="6AC7535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FFM</w:t>
            </w:r>
          </w:p>
        </w:tc>
        <w:tc>
          <w:tcPr>
            <w:tcW w:w="502" w:type="pct"/>
            <w:vAlign w:val="center"/>
          </w:tcPr>
          <w:p w14:paraId="7BD4EB59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STU</w:t>
            </w:r>
          </w:p>
        </w:tc>
        <w:tc>
          <w:tcPr>
            <w:tcW w:w="502" w:type="pct"/>
            <w:vAlign w:val="center"/>
          </w:tcPr>
          <w:p w14:paraId="32559EC2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MUC</w:t>
            </w:r>
          </w:p>
        </w:tc>
        <w:tc>
          <w:tcPr>
            <w:tcW w:w="502" w:type="pct"/>
            <w:vAlign w:val="center"/>
          </w:tcPr>
          <w:p w14:paraId="19B841D6" w14:textId="77777777" w:rsidR="00915F18" w:rsidRPr="0051046D" w:rsidRDefault="00915F18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</w:pPr>
            <w:proofErr w:type="gram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TOP-7</w:t>
            </w:r>
            <w:proofErr w:type="gramEnd"/>
          </w:p>
        </w:tc>
      </w:tr>
      <w:tr w:rsidR="00915F18" w:rsidRPr="004A2D54" w14:paraId="33EE787C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73EFB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51046D">
              <w:rPr>
                <w:rFonts w:ascii="Source Sans Pro" w:hAnsi="Source Sans Pro" w:cs="Arial"/>
                <w:b/>
                <w:sz w:val="16"/>
                <w:szCs w:val="16"/>
                <w:lang w:val="en-GB"/>
              </w:rPr>
              <w:t>Fläch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enumsatz</w:t>
            </w:r>
            <w:proofErr w:type="spellEnd"/>
          </w:p>
          <w:p w14:paraId="26443293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15504A6" w14:textId="0469DCC7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17FDF">
              <w:rPr>
                <w:rFonts w:ascii="Source Sans Pro" w:hAnsi="Source Sans Pro" w:cs="Arial"/>
                <w:sz w:val="16"/>
                <w:szCs w:val="16"/>
              </w:rPr>
              <w:t>124.000</w:t>
            </w:r>
          </w:p>
        </w:tc>
        <w:tc>
          <w:tcPr>
            <w:tcW w:w="502" w:type="pct"/>
            <w:vAlign w:val="center"/>
          </w:tcPr>
          <w:p w14:paraId="55A02693" w14:textId="353EF524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17FDF">
              <w:rPr>
                <w:rFonts w:ascii="Source Sans Pro" w:hAnsi="Source Sans Pro" w:cs="Arial"/>
                <w:sz w:val="16"/>
                <w:szCs w:val="16"/>
              </w:rPr>
              <w:t>103.000</w:t>
            </w:r>
          </w:p>
        </w:tc>
        <w:tc>
          <w:tcPr>
            <w:tcW w:w="502" w:type="pct"/>
            <w:vAlign w:val="center"/>
          </w:tcPr>
          <w:p w14:paraId="7BF4C02C" w14:textId="0051D084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117FDF">
              <w:rPr>
                <w:rFonts w:ascii="Source Sans Pro" w:hAnsi="Source Sans Pro" w:cs="Arial"/>
                <w:sz w:val="16"/>
                <w:szCs w:val="16"/>
              </w:rPr>
              <w:t>42.200</w:t>
            </w:r>
          </w:p>
        </w:tc>
        <w:tc>
          <w:tcPr>
            <w:tcW w:w="502" w:type="pct"/>
            <w:vAlign w:val="center"/>
          </w:tcPr>
          <w:p w14:paraId="777D51F7" w14:textId="01A1BB93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65.000</w:t>
            </w:r>
          </w:p>
        </w:tc>
        <w:tc>
          <w:tcPr>
            <w:tcW w:w="502" w:type="pct"/>
            <w:vAlign w:val="center"/>
          </w:tcPr>
          <w:p w14:paraId="1DBE65D9" w14:textId="460BA1C0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17FDF">
              <w:rPr>
                <w:rFonts w:ascii="Source Sans Pro" w:hAnsi="Source Sans Pro" w:cs="Arial"/>
                <w:sz w:val="16"/>
                <w:szCs w:val="16"/>
                <w:u w:val="single"/>
              </w:rPr>
              <w:t>202.700</w:t>
            </w:r>
          </w:p>
        </w:tc>
        <w:tc>
          <w:tcPr>
            <w:tcW w:w="502" w:type="pct"/>
            <w:vAlign w:val="center"/>
          </w:tcPr>
          <w:p w14:paraId="2C55E5B6" w14:textId="73F6AC29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40.000</w:t>
            </w:r>
          </w:p>
        </w:tc>
        <w:tc>
          <w:tcPr>
            <w:tcW w:w="502" w:type="pct"/>
            <w:vAlign w:val="center"/>
          </w:tcPr>
          <w:p w14:paraId="765A5393" w14:textId="490EA7F2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136.500</w:t>
            </w:r>
          </w:p>
        </w:tc>
        <w:tc>
          <w:tcPr>
            <w:tcW w:w="502" w:type="pct"/>
            <w:vAlign w:val="center"/>
          </w:tcPr>
          <w:p w14:paraId="02453427" w14:textId="5A869C7D" w:rsidR="00915F18" w:rsidRPr="00117FDF" w:rsidRDefault="00117FDF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713.400</w:t>
            </w:r>
          </w:p>
        </w:tc>
      </w:tr>
      <w:tr w:rsidR="00915F18" w:rsidRPr="004A2D54" w14:paraId="755ADB56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E910F5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Veränderung</w:t>
            </w:r>
          </w:p>
          <w:p w14:paraId="7E06EC8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proofErr w:type="spellStart"/>
            <w:r w:rsidRPr="004A2D54">
              <w:rPr>
                <w:rFonts w:ascii="Source Sans Pro" w:hAnsi="Source Sans Pro" w:cs="Arial"/>
                <w:sz w:val="16"/>
                <w:szCs w:val="16"/>
              </w:rPr>
              <w:t>ggü</w:t>
            </w:r>
            <w:proofErr w:type="spellEnd"/>
            <w:r w:rsidRPr="004A2D54">
              <w:rPr>
                <w:rFonts w:ascii="Source Sans Pro" w:hAnsi="Source Sans Pro" w:cs="Arial"/>
                <w:sz w:val="16"/>
                <w:szCs w:val="16"/>
              </w:rPr>
              <w:t>. Vorjahr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6AACC20B" w14:textId="6BE82C44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+46</w:t>
            </w:r>
          </w:p>
        </w:tc>
        <w:tc>
          <w:tcPr>
            <w:tcW w:w="502" w:type="pct"/>
            <w:vAlign w:val="center"/>
          </w:tcPr>
          <w:p w14:paraId="009D1976" w14:textId="6BC0B5C5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-30</w:t>
            </w:r>
          </w:p>
        </w:tc>
        <w:tc>
          <w:tcPr>
            <w:tcW w:w="502" w:type="pct"/>
            <w:vAlign w:val="center"/>
          </w:tcPr>
          <w:p w14:paraId="25E661D7" w14:textId="15BE9FB8" w:rsidR="00915F18" w:rsidRPr="00117FDF" w:rsidRDefault="004D3556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-22</w:t>
            </w:r>
          </w:p>
        </w:tc>
        <w:tc>
          <w:tcPr>
            <w:tcW w:w="502" w:type="pct"/>
            <w:vAlign w:val="center"/>
          </w:tcPr>
          <w:p w14:paraId="124441C3" w14:textId="356F8A02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+103</w:t>
            </w:r>
          </w:p>
        </w:tc>
        <w:tc>
          <w:tcPr>
            <w:tcW w:w="502" w:type="pct"/>
            <w:vAlign w:val="center"/>
          </w:tcPr>
          <w:p w14:paraId="5F9B8DD9" w14:textId="06DA2F3F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117FDF">
              <w:rPr>
                <w:rFonts w:ascii="Source Sans Pro" w:hAnsi="Source Sans Pro" w:cs="Arial"/>
                <w:sz w:val="16"/>
                <w:szCs w:val="16"/>
                <w:u w:val="single"/>
              </w:rPr>
              <w:t>+112</w:t>
            </w:r>
          </w:p>
        </w:tc>
        <w:tc>
          <w:tcPr>
            <w:tcW w:w="502" w:type="pct"/>
            <w:vAlign w:val="center"/>
          </w:tcPr>
          <w:p w14:paraId="6D9DA245" w14:textId="4ED5EF2C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-33</w:t>
            </w:r>
          </w:p>
        </w:tc>
        <w:tc>
          <w:tcPr>
            <w:tcW w:w="502" w:type="pct"/>
            <w:vAlign w:val="center"/>
          </w:tcPr>
          <w:p w14:paraId="536730E5" w14:textId="7EAA2A96" w:rsidR="00915F18" w:rsidRPr="00117FDF" w:rsidRDefault="00117FDF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-2</w:t>
            </w:r>
          </w:p>
        </w:tc>
        <w:tc>
          <w:tcPr>
            <w:tcW w:w="502" w:type="pct"/>
            <w:vAlign w:val="center"/>
          </w:tcPr>
          <w:p w14:paraId="38CB9689" w14:textId="2CA1B590" w:rsidR="00915F18" w:rsidRPr="00117FDF" w:rsidRDefault="00117FDF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+16</w:t>
            </w:r>
          </w:p>
        </w:tc>
      </w:tr>
      <w:tr w:rsidR="00915F18" w:rsidRPr="004A2D54" w14:paraId="64587270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399D5CB7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Spitzenmiete</w:t>
            </w:r>
          </w:p>
          <w:p w14:paraId="64FAB6AA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013E7DF7" w14:textId="017F714B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35,50</w:t>
            </w:r>
          </w:p>
        </w:tc>
        <w:tc>
          <w:tcPr>
            <w:tcW w:w="502" w:type="pct"/>
            <w:vAlign w:val="center"/>
          </w:tcPr>
          <w:p w14:paraId="557316EA" w14:textId="25A9B874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44,30</w:t>
            </w:r>
          </w:p>
        </w:tc>
        <w:tc>
          <w:tcPr>
            <w:tcW w:w="502" w:type="pct"/>
            <w:vAlign w:val="center"/>
          </w:tcPr>
          <w:p w14:paraId="3B42F2F7" w14:textId="4D020CB1" w:rsidR="00915F18" w:rsidRPr="00117FDF" w:rsidRDefault="004D3556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40,00</w:t>
            </w:r>
          </w:p>
        </w:tc>
        <w:tc>
          <w:tcPr>
            <w:tcW w:w="502" w:type="pct"/>
            <w:vAlign w:val="center"/>
          </w:tcPr>
          <w:p w14:paraId="126FB883" w14:textId="5C80F48D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35,00</w:t>
            </w:r>
          </w:p>
        </w:tc>
        <w:tc>
          <w:tcPr>
            <w:tcW w:w="502" w:type="pct"/>
            <w:vAlign w:val="center"/>
          </w:tcPr>
          <w:p w14:paraId="630637B4" w14:textId="219A24DC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50,00</w:t>
            </w:r>
          </w:p>
        </w:tc>
        <w:tc>
          <w:tcPr>
            <w:tcW w:w="502" w:type="pct"/>
            <w:vAlign w:val="center"/>
          </w:tcPr>
          <w:p w14:paraId="0093E47D" w14:textId="3B3AB7E2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37,00</w:t>
            </w:r>
          </w:p>
        </w:tc>
        <w:tc>
          <w:tcPr>
            <w:tcW w:w="502" w:type="pct"/>
            <w:vAlign w:val="center"/>
          </w:tcPr>
          <w:p w14:paraId="44B138B2" w14:textId="54A2660E" w:rsidR="00915F18" w:rsidRPr="00C616AE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616AE">
              <w:rPr>
                <w:rFonts w:ascii="Source Sans Pro" w:hAnsi="Source Sans Pro" w:cs="Arial"/>
                <w:sz w:val="16"/>
                <w:szCs w:val="16"/>
                <w:u w:val="single"/>
              </w:rPr>
              <w:t>53,30</w:t>
            </w:r>
          </w:p>
        </w:tc>
        <w:tc>
          <w:tcPr>
            <w:tcW w:w="502" w:type="pct"/>
            <w:vAlign w:val="center"/>
          </w:tcPr>
          <w:p w14:paraId="5DD8E1BA" w14:textId="7531FD67" w:rsidR="00915F18" w:rsidRPr="00117FDF" w:rsidRDefault="00C616AE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45D9C2A2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302B12AC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Durchschnittsmiete</w:t>
            </w:r>
          </w:p>
          <w:p w14:paraId="7F781E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€/m²/Monat</w:t>
            </w:r>
          </w:p>
        </w:tc>
        <w:tc>
          <w:tcPr>
            <w:tcW w:w="502" w:type="pct"/>
            <w:vAlign w:val="center"/>
          </w:tcPr>
          <w:p w14:paraId="3E27F8E8" w14:textId="5D0C7E5A" w:rsidR="00C616AE" w:rsidRPr="00117FDF" w:rsidRDefault="00C616AE" w:rsidP="00C616AE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21,20</w:t>
            </w:r>
          </w:p>
        </w:tc>
        <w:tc>
          <w:tcPr>
            <w:tcW w:w="502" w:type="pct"/>
            <w:vAlign w:val="center"/>
          </w:tcPr>
          <w:p w14:paraId="1E84A2F1" w14:textId="471F98E4" w:rsidR="00915F18" w:rsidRPr="00C616AE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C616AE">
              <w:rPr>
                <w:rFonts w:ascii="Source Sans Pro" w:hAnsi="Source Sans Pro" w:cs="Arial"/>
                <w:sz w:val="16"/>
                <w:szCs w:val="16"/>
                <w:u w:val="single"/>
              </w:rPr>
              <w:t>28,95</w:t>
            </w:r>
          </w:p>
        </w:tc>
        <w:tc>
          <w:tcPr>
            <w:tcW w:w="502" w:type="pct"/>
            <w:vAlign w:val="center"/>
          </w:tcPr>
          <w:p w14:paraId="616BB60A" w14:textId="6135BCB7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18,70</w:t>
            </w:r>
          </w:p>
        </w:tc>
        <w:tc>
          <w:tcPr>
            <w:tcW w:w="502" w:type="pct"/>
            <w:vAlign w:val="center"/>
          </w:tcPr>
          <w:p w14:paraId="7C338A33" w14:textId="095A59C2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22,30</w:t>
            </w:r>
          </w:p>
        </w:tc>
        <w:tc>
          <w:tcPr>
            <w:tcW w:w="502" w:type="pct"/>
            <w:vAlign w:val="center"/>
          </w:tcPr>
          <w:p w14:paraId="6049CE4C" w14:textId="0780FA87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28,80</w:t>
            </w:r>
          </w:p>
        </w:tc>
        <w:tc>
          <w:tcPr>
            <w:tcW w:w="502" w:type="pct"/>
            <w:vAlign w:val="center"/>
          </w:tcPr>
          <w:p w14:paraId="0A7C188C" w14:textId="6077A114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21,40</w:t>
            </w:r>
          </w:p>
        </w:tc>
        <w:tc>
          <w:tcPr>
            <w:tcW w:w="502" w:type="pct"/>
            <w:vAlign w:val="center"/>
          </w:tcPr>
          <w:p w14:paraId="55C66BA7" w14:textId="73D2F774" w:rsidR="00915F18" w:rsidRPr="00117FDF" w:rsidRDefault="00C616AE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25,70</w:t>
            </w:r>
          </w:p>
        </w:tc>
        <w:tc>
          <w:tcPr>
            <w:tcW w:w="502" w:type="pct"/>
            <w:vAlign w:val="center"/>
          </w:tcPr>
          <w:p w14:paraId="381CD9BC" w14:textId="19D33BDA" w:rsidR="00915F18" w:rsidRPr="00117FDF" w:rsidRDefault="00C616AE" w:rsidP="004E5677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-</w:t>
            </w:r>
          </w:p>
        </w:tc>
      </w:tr>
      <w:tr w:rsidR="00915F18" w:rsidRPr="004A2D54" w14:paraId="56DD2988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4E0CA9AD" w14:textId="77777777" w:rsidR="00915F18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Büroflächenbestand</w:t>
            </w:r>
          </w:p>
          <w:p w14:paraId="56D6301B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sz w:val="16"/>
                <w:szCs w:val="16"/>
              </w:rPr>
              <w:t>in Mio. m²</w:t>
            </w:r>
          </w:p>
        </w:tc>
        <w:tc>
          <w:tcPr>
            <w:tcW w:w="502" w:type="pct"/>
            <w:vAlign w:val="center"/>
          </w:tcPr>
          <w:p w14:paraId="720068FA" w14:textId="1A01EA59" w:rsidR="00915F18" w:rsidRPr="00117FDF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14,39</w:t>
            </w:r>
          </w:p>
        </w:tc>
        <w:tc>
          <w:tcPr>
            <w:tcW w:w="502" w:type="pct"/>
            <w:vAlign w:val="center"/>
          </w:tcPr>
          <w:p w14:paraId="14C8319D" w14:textId="13FEB15B" w:rsidR="00915F18" w:rsidRPr="00117FDF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22,20</w:t>
            </w:r>
          </w:p>
        </w:tc>
        <w:tc>
          <w:tcPr>
            <w:tcW w:w="502" w:type="pct"/>
            <w:vAlign w:val="center"/>
          </w:tcPr>
          <w:p w14:paraId="5F241200" w14:textId="47204873" w:rsidR="00915F18" w:rsidRPr="00117FDF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7,61</w:t>
            </w:r>
          </w:p>
        </w:tc>
        <w:tc>
          <w:tcPr>
            <w:tcW w:w="502" w:type="pct"/>
            <w:vAlign w:val="center"/>
          </w:tcPr>
          <w:p w14:paraId="05D36C29" w14:textId="52F49A0B" w:rsidR="00915F18" w:rsidRPr="00117FDF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8,28</w:t>
            </w:r>
          </w:p>
        </w:tc>
        <w:tc>
          <w:tcPr>
            <w:tcW w:w="502" w:type="pct"/>
            <w:vAlign w:val="center"/>
          </w:tcPr>
          <w:p w14:paraId="1AE9126D" w14:textId="596D7588" w:rsidR="00915F18" w:rsidRPr="00117FDF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11,72</w:t>
            </w:r>
          </w:p>
        </w:tc>
        <w:tc>
          <w:tcPr>
            <w:tcW w:w="502" w:type="pct"/>
            <w:vAlign w:val="center"/>
          </w:tcPr>
          <w:p w14:paraId="7A74958B" w14:textId="592B4146" w:rsidR="00915F18" w:rsidRPr="00117FDF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8,52</w:t>
            </w:r>
          </w:p>
        </w:tc>
        <w:tc>
          <w:tcPr>
            <w:tcW w:w="502" w:type="pct"/>
            <w:vAlign w:val="center"/>
          </w:tcPr>
          <w:p w14:paraId="6599ED4E" w14:textId="475BC37B" w:rsidR="00915F18" w:rsidRPr="008314A1" w:rsidRDefault="006B27CB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8314A1">
              <w:rPr>
                <w:rFonts w:ascii="Source Sans Pro" w:hAnsi="Source Sans Pro" w:cs="Arial"/>
                <w:sz w:val="16"/>
                <w:szCs w:val="16"/>
                <w:u w:val="single"/>
              </w:rPr>
              <w:t>23,60</w:t>
            </w:r>
          </w:p>
        </w:tc>
        <w:tc>
          <w:tcPr>
            <w:tcW w:w="502" w:type="pct"/>
            <w:vAlign w:val="center"/>
          </w:tcPr>
          <w:p w14:paraId="5D31B442" w14:textId="38918EFA" w:rsidR="00915F18" w:rsidRPr="00CE7B88" w:rsidRDefault="006B27CB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CE7B88">
              <w:rPr>
                <w:rFonts w:ascii="Source Sans Pro" w:hAnsi="Source Sans Pro" w:cs="Arial"/>
                <w:b/>
                <w:sz w:val="16"/>
                <w:szCs w:val="16"/>
              </w:rPr>
              <w:t>96,31</w:t>
            </w:r>
          </w:p>
        </w:tc>
      </w:tr>
      <w:tr w:rsidR="00915F18" w:rsidRPr="004A2D54" w14:paraId="20451C59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7D8F3346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m²</w:t>
            </w:r>
          </w:p>
        </w:tc>
        <w:tc>
          <w:tcPr>
            <w:tcW w:w="502" w:type="pct"/>
            <w:vAlign w:val="center"/>
          </w:tcPr>
          <w:p w14:paraId="79AF01B5" w14:textId="2EB85BFE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812.000</w:t>
            </w:r>
          </w:p>
        </w:tc>
        <w:tc>
          <w:tcPr>
            <w:tcW w:w="502" w:type="pct"/>
            <w:vAlign w:val="center"/>
          </w:tcPr>
          <w:p w14:paraId="49E17191" w14:textId="36AF7587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1.754.000</w:t>
            </w:r>
          </w:p>
        </w:tc>
        <w:tc>
          <w:tcPr>
            <w:tcW w:w="502" w:type="pct"/>
            <w:vAlign w:val="center"/>
          </w:tcPr>
          <w:p w14:paraId="68CEA868" w14:textId="4706045F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875.700</w:t>
            </w:r>
          </w:p>
        </w:tc>
        <w:tc>
          <w:tcPr>
            <w:tcW w:w="502" w:type="pct"/>
            <w:vAlign w:val="center"/>
          </w:tcPr>
          <w:p w14:paraId="5B1F8ABA" w14:textId="3A5DA7F2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415.000</w:t>
            </w:r>
          </w:p>
        </w:tc>
        <w:tc>
          <w:tcPr>
            <w:tcW w:w="502" w:type="pct"/>
            <w:vAlign w:val="center"/>
          </w:tcPr>
          <w:p w14:paraId="6419DF74" w14:textId="13C1B13B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1.480.100</w:t>
            </w:r>
          </w:p>
        </w:tc>
        <w:tc>
          <w:tcPr>
            <w:tcW w:w="502" w:type="pct"/>
            <w:vAlign w:val="center"/>
          </w:tcPr>
          <w:p w14:paraId="4F9E55D5" w14:textId="607ED227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504.000</w:t>
            </w:r>
          </w:p>
        </w:tc>
        <w:tc>
          <w:tcPr>
            <w:tcW w:w="502" w:type="pct"/>
            <w:vAlign w:val="center"/>
          </w:tcPr>
          <w:p w14:paraId="084FAD6A" w14:textId="69D6B82E" w:rsidR="00915F18" w:rsidRPr="008314A1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8314A1">
              <w:rPr>
                <w:rFonts w:ascii="Source Sans Pro" w:hAnsi="Source Sans Pro" w:cs="Arial"/>
                <w:sz w:val="16"/>
                <w:szCs w:val="16"/>
                <w:u w:val="single"/>
              </w:rPr>
              <w:t>1.958.800</w:t>
            </w:r>
          </w:p>
        </w:tc>
        <w:tc>
          <w:tcPr>
            <w:tcW w:w="502" w:type="pct"/>
            <w:vAlign w:val="center"/>
          </w:tcPr>
          <w:p w14:paraId="73BC7799" w14:textId="46DF3B09" w:rsidR="00915F18" w:rsidRPr="00CE7B88" w:rsidRDefault="00CE7B8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CE7B88">
              <w:rPr>
                <w:rFonts w:ascii="Source Sans Pro" w:hAnsi="Source Sans Pro" w:cs="Arial"/>
                <w:b/>
                <w:sz w:val="16"/>
                <w:szCs w:val="16"/>
              </w:rPr>
              <w:t>7.799.600</w:t>
            </w:r>
          </w:p>
        </w:tc>
      </w:tr>
      <w:tr w:rsidR="00915F18" w:rsidRPr="004A2D54" w14:paraId="5D9FE5BB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165D4E3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Leerstandsrate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inkl. Untermietflächen in %</w:t>
            </w:r>
          </w:p>
        </w:tc>
        <w:tc>
          <w:tcPr>
            <w:tcW w:w="502" w:type="pct"/>
            <w:vAlign w:val="center"/>
          </w:tcPr>
          <w:p w14:paraId="148F2DB7" w14:textId="3C3DED7D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5,6</w:t>
            </w:r>
          </w:p>
        </w:tc>
        <w:tc>
          <w:tcPr>
            <w:tcW w:w="502" w:type="pct"/>
            <w:vAlign w:val="center"/>
          </w:tcPr>
          <w:p w14:paraId="53D977C2" w14:textId="4DF1E429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7,9</w:t>
            </w:r>
          </w:p>
        </w:tc>
        <w:tc>
          <w:tcPr>
            <w:tcW w:w="502" w:type="pct"/>
            <w:vAlign w:val="center"/>
          </w:tcPr>
          <w:p w14:paraId="58D422BE" w14:textId="7914291F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11,5</w:t>
            </w:r>
          </w:p>
        </w:tc>
        <w:tc>
          <w:tcPr>
            <w:tcW w:w="502" w:type="pct"/>
            <w:vAlign w:val="center"/>
          </w:tcPr>
          <w:p w14:paraId="5D45C7FC" w14:textId="68AA60ED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5,0</w:t>
            </w:r>
          </w:p>
        </w:tc>
        <w:tc>
          <w:tcPr>
            <w:tcW w:w="502" w:type="pct"/>
            <w:vAlign w:val="center"/>
          </w:tcPr>
          <w:p w14:paraId="5915FD24" w14:textId="30387E4E" w:rsidR="00915F18" w:rsidRPr="008314A1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8314A1">
              <w:rPr>
                <w:rFonts w:ascii="Source Sans Pro" w:hAnsi="Source Sans Pro" w:cs="Arial"/>
                <w:sz w:val="16"/>
                <w:szCs w:val="16"/>
                <w:u w:val="single"/>
              </w:rPr>
              <w:t>12,6</w:t>
            </w:r>
          </w:p>
        </w:tc>
        <w:tc>
          <w:tcPr>
            <w:tcW w:w="502" w:type="pct"/>
            <w:vAlign w:val="center"/>
          </w:tcPr>
          <w:p w14:paraId="3B9D2BD0" w14:textId="1327B6FA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5,9</w:t>
            </w:r>
          </w:p>
        </w:tc>
        <w:tc>
          <w:tcPr>
            <w:tcW w:w="502" w:type="pct"/>
            <w:vAlign w:val="center"/>
          </w:tcPr>
          <w:p w14:paraId="17A6AD52" w14:textId="17E060D7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8,3</w:t>
            </w:r>
          </w:p>
        </w:tc>
        <w:tc>
          <w:tcPr>
            <w:tcW w:w="502" w:type="pct"/>
            <w:vAlign w:val="center"/>
          </w:tcPr>
          <w:p w14:paraId="7053E5B3" w14:textId="221D7E3C" w:rsidR="00915F18" w:rsidRPr="00CE7B88" w:rsidRDefault="00CE7B88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8,1</w:t>
            </w:r>
          </w:p>
        </w:tc>
      </w:tr>
      <w:tr w:rsidR="00915F18" w:rsidRPr="004A2D54" w14:paraId="017BC5AD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5A3D31BD" w14:textId="7777777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Fertigstellungen</w:t>
            </w:r>
          </w:p>
          <w:p w14:paraId="78AA14B2" w14:textId="710763A7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202</w:t>
            </w:r>
            <w:r w:rsidR="00CE7B8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CE7B8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m²</w:t>
            </w:r>
          </w:p>
        </w:tc>
        <w:tc>
          <w:tcPr>
            <w:tcW w:w="502" w:type="pct"/>
            <w:vAlign w:val="center"/>
          </w:tcPr>
          <w:p w14:paraId="2FE8E63A" w14:textId="665DC16D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366.000</w:t>
            </w:r>
          </w:p>
        </w:tc>
        <w:tc>
          <w:tcPr>
            <w:tcW w:w="502" w:type="pct"/>
            <w:vAlign w:val="center"/>
          </w:tcPr>
          <w:p w14:paraId="14D518C3" w14:textId="235E7AE6" w:rsidR="00915F18" w:rsidRPr="008314A1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8314A1">
              <w:rPr>
                <w:rFonts w:ascii="Source Sans Pro" w:hAnsi="Source Sans Pro" w:cs="Arial"/>
                <w:sz w:val="16"/>
                <w:szCs w:val="16"/>
                <w:u w:val="single"/>
              </w:rPr>
              <w:t>927.</w:t>
            </w:r>
            <w:r w:rsidR="0065191D">
              <w:rPr>
                <w:rFonts w:ascii="Source Sans Pro" w:hAnsi="Source Sans Pro" w:cs="Arial"/>
                <w:sz w:val="16"/>
                <w:szCs w:val="16"/>
                <w:u w:val="single"/>
              </w:rPr>
              <w:t>3</w:t>
            </w:r>
            <w:r w:rsidRPr="008314A1">
              <w:rPr>
                <w:rFonts w:ascii="Source Sans Pro" w:hAnsi="Source Sans Pro" w:cs="Arial"/>
                <w:sz w:val="16"/>
                <w:szCs w:val="16"/>
                <w:u w:val="single"/>
              </w:rPr>
              <w:t>00</w:t>
            </w:r>
          </w:p>
        </w:tc>
        <w:tc>
          <w:tcPr>
            <w:tcW w:w="502" w:type="pct"/>
            <w:vAlign w:val="center"/>
          </w:tcPr>
          <w:p w14:paraId="4E23B493" w14:textId="62ADBAA4" w:rsidR="00915F18" w:rsidRPr="00117FDF" w:rsidRDefault="0048102A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 w:rsidRPr="0048102A">
              <w:rPr>
                <w:rFonts w:ascii="Source Sans Pro" w:hAnsi="Source Sans Pro" w:cs="Arial"/>
                <w:sz w:val="16"/>
                <w:szCs w:val="16"/>
              </w:rPr>
              <w:t>249.700</w:t>
            </w:r>
          </w:p>
        </w:tc>
        <w:tc>
          <w:tcPr>
            <w:tcW w:w="502" w:type="pct"/>
            <w:vAlign w:val="center"/>
          </w:tcPr>
          <w:p w14:paraId="4AD34D09" w14:textId="3961C953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150.000</w:t>
            </w:r>
          </w:p>
        </w:tc>
        <w:tc>
          <w:tcPr>
            <w:tcW w:w="502" w:type="pct"/>
            <w:vAlign w:val="center"/>
          </w:tcPr>
          <w:p w14:paraId="273F1FBF" w14:textId="608B577D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225.100</w:t>
            </w:r>
          </w:p>
        </w:tc>
        <w:tc>
          <w:tcPr>
            <w:tcW w:w="502" w:type="pct"/>
            <w:vAlign w:val="center"/>
          </w:tcPr>
          <w:p w14:paraId="3BB1B52F" w14:textId="7A719A0A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175.400</w:t>
            </w:r>
          </w:p>
        </w:tc>
        <w:tc>
          <w:tcPr>
            <w:tcW w:w="502" w:type="pct"/>
            <w:vAlign w:val="center"/>
          </w:tcPr>
          <w:p w14:paraId="2B809AE6" w14:textId="5814D16C" w:rsidR="00915F18" w:rsidRPr="00117FDF" w:rsidRDefault="00CE7B88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490.000</w:t>
            </w:r>
          </w:p>
        </w:tc>
        <w:tc>
          <w:tcPr>
            <w:tcW w:w="502" w:type="pct"/>
            <w:vAlign w:val="center"/>
          </w:tcPr>
          <w:p w14:paraId="7FC346B0" w14:textId="3DDE0556" w:rsidR="00915F18" w:rsidRPr="00CE7B88" w:rsidRDefault="004D3556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2.583.000</w:t>
            </w:r>
          </w:p>
        </w:tc>
      </w:tr>
      <w:tr w:rsidR="00915F18" w:rsidRPr="004A2D54" w14:paraId="6AD0DB2A" w14:textId="77777777" w:rsidTr="004E5677">
        <w:trPr>
          <w:trHeight w:val="283"/>
        </w:trPr>
        <w:tc>
          <w:tcPr>
            <w:tcW w:w="985" w:type="pct"/>
            <w:vAlign w:val="center"/>
          </w:tcPr>
          <w:p w14:paraId="045B3B85" w14:textId="4B55DC81" w:rsidR="00915F18" w:rsidRPr="004A2D54" w:rsidRDefault="00915F18" w:rsidP="004E5677">
            <w:pPr>
              <w:widowControl w:val="0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Vorvermietungsquote 202</w:t>
            </w:r>
            <w:r w:rsidR="00CE7B88">
              <w:rPr>
                <w:rFonts w:ascii="Source Sans Pro" w:hAnsi="Source Sans Pro" w:cs="Arial"/>
                <w:b/>
                <w:sz w:val="16"/>
                <w:szCs w:val="16"/>
              </w:rPr>
              <w:t>5</w:t>
            </w: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 </w:t>
            </w: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+ 202</w:t>
            </w:r>
            <w:r w:rsidR="00CE7B88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6</w:t>
            </w:r>
            <w:r w:rsidRPr="004A2D54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in %</w:t>
            </w:r>
          </w:p>
        </w:tc>
        <w:tc>
          <w:tcPr>
            <w:tcW w:w="502" w:type="pct"/>
            <w:vAlign w:val="center"/>
          </w:tcPr>
          <w:p w14:paraId="3B06FD3D" w14:textId="4E64338B" w:rsidR="00915F18" w:rsidRPr="00117FDF" w:rsidRDefault="008314A1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67</w:t>
            </w:r>
          </w:p>
        </w:tc>
        <w:tc>
          <w:tcPr>
            <w:tcW w:w="502" w:type="pct"/>
            <w:vAlign w:val="center"/>
          </w:tcPr>
          <w:p w14:paraId="162DDAAC" w14:textId="09D8F1C7" w:rsidR="00915F18" w:rsidRPr="00117FDF" w:rsidRDefault="008314A1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25</w:t>
            </w:r>
          </w:p>
        </w:tc>
        <w:tc>
          <w:tcPr>
            <w:tcW w:w="502" w:type="pct"/>
            <w:vAlign w:val="center"/>
          </w:tcPr>
          <w:p w14:paraId="782AB3F9" w14:textId="097F9354" w:rsidR="00915F18" w:rsidRPr="00117FDF" w:rsidRDefault="004D3556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34</w:t>
            </w:r>
          </w:p>
        </w:tc>
        <w:tc>
          <w:tcPr>
            <w:tcW w:w="502" w:type="pct"/>
            <w:vAlign w:val="center"/>
          </w:tcPr>
          <w:p w14:paraId="19476034" w14:textId="2F9F7B09" w:rsidR="00915F18" w:rsidRPr="0064018A" w:rsidRDefault="008314A1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  <w:u w:val="single"/>
              </w:rPr>
            </w:pPr>
            <w:r w:rsidRPr="0064018A">
              <w:rPr>
                <w:rFonts w:ascii="Source Sans Pro" w:hAnsi="Source Sans Pro" w:cs="Arial"/>
                <w:sz w:val="16"/>
                <w:szCs w:val="16"/>
                <w:u w:val="single"/>
              </w:rPr>
              <w:t>87</w:t>
            </w:r>
          </w:p>
        </w:tc>
        <w:tc>
          <w:tcPr>
            <w:tcW w:w="502" w:type="pct"/>
            <w:vAlign w:val="center"/>
          </w:tcPr>
          <w:p w14:paraId="62427165" w14:textId="71060706" w:rsidR="00915F18" w:rsidRPr="00117FDF" w:rsidRDefault="008314A1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43</w:t>
            </w:r>
          </w:p>
        </w:tc>
        <w:tc>
          <w:tcPr>
            <w:tcW w:w="502" w:type="pct"/>
            <w:vAlign w:val="center"/>
          </w:tcPr>
          <w:p w14:paraId="2A052CF9" w14:textId="66FC47E6" w:rsidR="00915F18" w:rsidRPr="00117FDF" w:rsidRDefault="008314A1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48</w:t>
            </w:r>
          </w:p>
        </w:tc>
        <w:tc>
          <w:tcPr>
            <w:tcW w:w="502" w:type="pct"/>
            <w:vAlign w:val="center"/>
          </w:tcPr>
          <w:p w14:paraId="239B1AE9" w14:textId="19C51E5A" w:rsidR="00915F18" w:rsidRPr="00117FDF" w:rsidRDefault="008314A1" w:rsidP="004E5677">
            <w:pPr>
              <w:jc w:val="center"/>
              <w:rPr>
                <w:rFonts w:ascii="Source Sans Pro" w:hAnsi="Source Sans Pro" w:cs="Arial"/>
                <w:sz w:val="16"/>
                <w:szCs w:val="16"/>
              </w:rPr>
            </w:pPr>
            <w:r>
              <w:rPr>
                <w:rFonts w:ascii="Source Sans Pro" w:hAnsi="Source Sans Pro" w:cs="Arial"/>
                <w:sz w:val="16"/>
                <w:szCs w:val="16"/>
              </w:rPr>
              <w:t>63</w:t>
            </w:r>
          </w:p>
        </w:tc>
        <w:tc>
          <w:tcPr>
            <w:tcW w:w="502" w:type="pct"/>
            <w:vAlign w:val="center"/>
          </w:tcPr>
          <w:p w14:paraId="106416F1" w14:textId="7E43C43F" w:rsidR="00915F18" w:rsidRPr="00CE7B88" w:rsidRDefault="004D3556" w:rsidP="004E5677">
            <w:pPr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sz w:val="16"/>
                <w:szCs w:val="16"/>
              </w:rPr>
              <w:t>46</w:t>
            </w:r>
          </w:p>
        </w:tc>
      </w:tr>
    </w:tbl>
    <w:p w14:paraId="6974BC43" w14:textId="77777777" w:rsidR="00915F18" w:rsidRPr="004A2D54" w:rsidRDefault="00915F18" w:rsidP="00915F18">
      <w:pPr>
        <w:widowControl w:val="0"/>
        <w:rPr>
          <w:rFonts w:ascii="Source Sans Pro" w:hAnsi="Source Sans Pro" w:cs="Arial"/>
          <w:sz w:val="16"/>
          <w:szCs w:val="16"/>
        </w:rPr>
      </w:pPr>
      <w:r w:rsidRPr="004A2D54">
        <w:rPr>
          <w:rFonts w:ascii="Source Sans Pro" w:hAnsi="Source Sans Pro" w:cs="Arial"/>
          <w:sz w:val="16"/>
          <w:szCs w:val="16"/>
        </w:rPr>
        <w:t xml:space="preserve"> Quelle: German Property Partners (GPP)</w:t>
      </w:r>
    </w:p>
    <w:p w14:paraId="3E6746A8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16416E31" w14:textId="77777777" w:rsidR="00915F18" w:rsidRDefault="00915F18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404ED771" w14:textId="77777777" w:rsidR="00710BCA" w:rsidRDefault="00710BCA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7E801A68" w14:textId="77777777" w:rsidR="00710BCA" w:rsidRDefault="00710BCA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7F539676" w14:textId="77777777" w:rsidR="00710BCA" w:rsidRDefault="00710BCA" w:rsidP="00915F18">
      <w:pPr>
        <w:pStyle w:val="EinfAbs"/>
        <w:tabs>
          <w:tab w:val="left" w:pos="200"/>
        </w:tabs>
        <w:jc w:val="both"/>
        <w:rPr>
          <w:rFonts w:ascii="Source Sans Pro" w:hAnsi="Source Sans Pro" w:cs="Source Sans Pro"/>
          <w:sz w:val="22"/>
          <w:szCs w:val="22"/>
        </w:rPr>
      </w:pPr>
    </w:p>
    <w:p w14:paraId="1B967CFA" w14:textId="77777777" w:rsidR="00710BCA" w:rsidRPr="00EA42C5" w:rsidRDefault="00710BCA" w:rsidP="00915F18">
      <w:pPr>
        <w:pStyle w:val="EinfAbs"/>
        <w:tabs>
          <w:tab w:val="left" w:pos="200"/>
        </w:tabs>
        <w:jc w:val="both"/>
      </w:pPr>
    </w:p>
    <w:p w14:paraId="700A8FF0" w14:textId="31B83B48" w:rsidR="004A2D54" w:rsidRPr="004A2D54" w:rsidRDefault="00C64096" w:rsidP="004A2D54">
      <w:pPr>
        <w:jc w:val="both"/>
        <w:rPr>
          <w:rFonts w:ascii="Source Sans Pro" w:hAnsi="Source Sans Pro" w:cs="Arial"/>
          <w:sz w:val="20"/>
        </w:rPr>
      </w:pPr>
      <w:r>
        <w:rPr>
          <w:rFonts w:ascii="Source Sans Pro" w:hAnsi="Source Sans Pro" w:cs="Arial"/>
          <w:b/>
          <w:sz w:val="20"/>
        </w:rPr>
        <w:lastRenderedPageBreak/>
        <w:t xml:space="preserve">Top bekannte </w:t>
      </w:r>
      <w:r w:rsidR="001E5CBD">
        <w:rPr>
          <w:rFonts w:ascii="Source Sans Pro" w:hAnsi="Source Sans Pro" w:cs="Arial"/>
          <w:b/>
          <w:sz w:val="20"/>
        </w:rPr>
        <w:t xml:space="preserve">Abschlüsse über </w:t>
      </w:r>
      <w:r w:rsidR="00052B49">
        <w:rPr>
          <w:rFonts w:ascii="Source Sans Pro" w:hAnsi="Source Sans Pro" w:cs="Arial"/>
          <w:b/>
          <w:sz w:val="20"/>
        </w:rPr>
        <w:t>5</w:t>
      </w:r>
      <w:r w:rsidR="004A2D54" w:rsidRPr="004A2D54">
        <w:rPr>
          <w:rFonts w:ascii="Source Sans Pro" w:hAnsi="Source Sans Pro" w:cs="Arial"/>
          <w:b/>
          <w:sz w:val="20"/>
        </w:rPr>
        <w:t>.000 m² | Top-7-Standorte | 1. Quartal 202</w:t>
      </w:r>
      <w:r w:rsidR="001E3FA4">
        <w:rPr>
          <w:rFonts w:ascii="Source Sans Pro" w:hAnsi="Source Sans Pro" w:cs="Arial"/>
          <w:b/>
          <w:sz w:val="20"/>
        </w:rPr>
        <w:t>5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05"/>
        <w:gridCol w:w="3967"/>
        <w:gridCol w:w="3587"/>
        <w:gridCol w:w="1023"/>
      </w:tblGrid>
      <w:tr w:rsidR="004A2D54" w:rsidRPr="004A2D54" w14:paraId="423F19E1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E63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Stadt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D751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Projekt/Objekt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1F63" w14:textId="79D73832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>Mieter/Eigennutzer</w:t>
            </w:r>
            <w:r w:rsidR="004E52C1">
              <w:rPr>
                <w:rFonts w:ascii="Source Sans Pro" w:hAnsi="Source Sans Pro" w:cs="Arial"/>
                <w:b/>
                <w:sz w:val="16"/>
                <w:szCs w:val="16"/>
              </w:rPr>
              <w:t xml:space="preserve"> (EN)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CE18" w14:textId="77777777" w:rsidR="004A2D54" w:rsidRPr="004A2D54" w:rsidRDefault="004A2D54" w:rsidP="00AA5925">
            <w:pPr>
              <w:widowControl w:val="0"/>
              <w:jc w:val="center"/>
              <w:rPr>
                <w:rFonts w:ascii="Source Sans Pro" w:hAnsi="Source Sans Pro" w:cs="Arial"/>
                <w:b/>
                <w:sz w:val="16"/>
                <w:szCs w:val="16"/>
              </w:rPr>
            </w:pPr>
            <w:r w:rsidRPr="004A2D54">
              <w:rPr>
                <w:rFonts w:ascii="Source Sans Pro" w:hAnsi="Source Sans Pro" w:cs="Arial"/>
                <w:b/>
                <w:sz w:val="16"/>
                <w:szCs w:val="16"/>
              </w:rPr>
              <w:t xml:space="preserve">Mietfläche </w:t>
            </w:r>
            <w:r w:rsidRPr="004A2D54">
              <w:rPr>
                <w:rFonts w:ascii="Source Sans Pro" w:hAnsi="Source Sans Pro" w:cs="Arial"/>
                <w:sz w:val="16"/>
                <w:szCs w:val="16"/>
              </w:rPr>
              <w:t>(ca. m²)</w:t>
            </w:r>
          </w:p>
        </w:tc>
      </w:tr>
      <w:tr w:rsidR="00371F87" w:rsidRPr="004A2D54" w14:paraId="7E1E4C34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0E22" w14:textId="3DCF7922" w:rsidR="00371F87" w:rsidRPr="00052B49" w:rsidRDefault="00A1519E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19CD" w14:textId="5C21F963" w:rsidR="00371F87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="00166EDC" w:rsidRPr="00166EDC">
              <w:rPr>
                <w:rFonts w:ascii="Source Sans Pro" w:hAnsi="Source Sans Pro" w:cs="Arial"/>
                <w:bCs/>
                <w:sz w:val="16"/>
                <w:szCs w:val="16"/>
              </w:rPr>
              <w:t>CBT Central Business Tower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="00166EDC" w:rsidRPr="00166EDC">
              <w:rPr>
                <w:rFonts w:ascii="Source Sans Pro" w:hAnsi="Source Sans Pro" w:cs="Arial"/>
                <w:bCs/>
                <w:sz w:val="16"/>
                <w:szCs w:val="16"/>
              </w:rPr>
              <w:t xml:space="preserve">, </w:t>
            </w:r>
            <w:r w:rsidR="00166EDC"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r w:rsidR="00166EDC" w:rsidRPr="00166EDC">
              <w:rPr>
                <w:rFonts w:ascii="Source Sans Pro" w:hAnsi="Source Sans Pro" w:cs="Arial"/>
                <w:bCs/>
                <w:sz w:val="16"/>
                <w:szCs w:val="16"/>
              </w:rPr>
              <w:t>Neue Mainzer Straße 57-59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315" w14:textId="18CE7102" w:rsidR="00371F87" w:rsidRPr="00052B49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166EDC">
              <w:rPr>
                <w:rFonts w:ascii="Source Sans Pro" w:hAnsi="Source Sans Pro" w:cs="Arial"/>
                <w:bCs/>
                <w:sz w:val="16"/>
                <w:szCs w:val="16"/>
              </w:rPr>
              <w:t>Commerzbank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5CA8" w14:textId="40AC60D7" w:rsidR="00371F87" w:rsidRPr="00052B49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166EDC">
              <w:rPr>
                <w:rFonts w:ascii="Source Sans Pro" w:hAnsi="Source Sans Pro" w:cs="Arial"/>
                <w:bCs/>
                <w:sz w:val="16"/>
                <w:szCs w:val="16"/>
              </w:rPr>
              <w:t>73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166EDC">
              <w:rPr>
                <w:rFonts w:ascii="Source Sans Pro" w:hAnsi="Source Sans Pro" w:cs="Arial"/>
                <w:bCs/>
                <w:sz w:val="16"/>
                <w:szCs w:val="16"/>
              </w:rPr>
              <w:t>000</w:t>
            </w:r>
          </w:p>
        </w:tc>
      </w:tr>
      <w:tr w:rsidR="004A2D54" w:rsidRPr="004A2D54" w14:paraId="1A9052A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9832" w14:textId="5EF94897" w:rsidR="004A2D54" w:rsidRPr="00052B49" w:rsidRDefault="00166EDC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MUC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6645" w14:textId="60E57D49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proofErr w:type="spellStart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Officehome</w:t>
            </w:r>
            <w:proofErr w:type="spellEnd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 Beat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,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Anzinger Straße 23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3013" w14:textId="6120A1A8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Siemens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F58F" w14:textId="4CCE42BC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33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000</w:t>
            </w:r>
          </w:p>
        </w:tc>
      </w:tr>
      <w:tr w:rsidR="001421F7" w:rsidRPr="004A2D54" w14:paraId="6D372F4A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2E5C" w14:textId="3ADD25B1" w:rsidR="001421F7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469A" w14:textId="3336E92B" w:rsidR="001421F7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Hafenpark-Quartier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,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br/>
            </w:r>
            <w:proofErr w:type="spellStart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Honsellstraße</w:t>
            </w:r>
            <w:proofErr w:type="spellEnd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 21-25, Hanauer Landstraße 102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7137" w14:textId="1CCA4AD7" w:rsidR="001421F7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ING-DiBa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1AC7" w14:textId="72A64517" w:rsidR="001421F7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32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000</w:t>
            </w:r>
          </w:p>
        </w:tc>
      </w:tr>
      <w:tr w:rsidR="009C7CAD" w:rsidRPr="004A2D54" w14:paraId="0BA6F12E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1D5" w14:textId="3189656D" w:rsidR="009C7CAD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EE34" w14:textId="1C8C7AB0" w:rsidR="009C7CAD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proofErr w:type="spellStart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Vitalisstraße</w:t>
            </w:r>
            <w:proofErr w:type="spellEnd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 310-316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3B65" w14:textId="2D5A50C5" w:rsidR="009C7CAD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Jobcenter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139" w14:textId="4C6DD00A" w:rsidR="009C7CAD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16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000</w:t>
            </w:r>
          </w:p>
        </w:tc>
      </w:tr>
      <w:tr w:rsidR="008E25DF" w:rsidRPr="004A2D54" w14:paraId="305A4E35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1274" w14:textId="2423059B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CGN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9E32" w14:textId="3A820E3C" w:rsidR="008E25DF" w:rsidRPr="008E25DF" w:rsidRDefault="007C0C33" w:rsidP="007C0C33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“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DÜXX</w:t>
            </w:r>
            <w:r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”, </w:t>
            </w:r>
            <w:proofErr w:type="spellStart"/>
            <w:r w:rsidRPr="007C0C33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Siegburger</w:t>
            </w:r>
            <w:proofErr w:type="spellEnd"/>
            <w:r w:rsidRPr="007C0C33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7C0C33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>Straße</w:t>
            </w:r>
            <w:proofErr w:type="spellEnd"/>
            <w:r w:rsidRPr="007C0C33">
              <w:rPr>
                <w:rFonts w:ascii="Source Sans Pro" w:hAnsi="Source Sans Pro" w:cs="Arial"/>
                <w:bCs/>
                <w:sz w:val="16"/>
                <w:szCs w:val="16"/>
                <w:lang w:val="en-GB"/>
              </w:rPr>
              <w:t xml:space="preserve"> 139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A487" w14:textId="73C26F5A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Jobcenter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C102" w14:textId="257DD017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14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000</w:t>
            </w:r>
          </w:p>
        </w:tc>
      </w:tr>
      <w:tr w:rsidR="004A2D54" w:rsidRPr="004A2D54" w14:paraId="026A2FAB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ADFC" w14:textId="18FFC8C3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6F0B" w14:textId="49A814E7" w:rsidR="004A2D54" w:rsidRPr="00052B49" w:rsidRDefault="0048102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8102A">
              <w:rPr>
                <w:rFonts w:ascii="Source Sans Pro" w:hAnsi="Source Sans Pro" w:cs="Arial"/>
                <w:bCs/>
                <w:sz w:val="16"/>
                <w:szCs w:val="16"/>
              </w:rPr>
              <w:t xml:space="preserve">„Ajour Impuls-Kontor“, </w:t>
            </w:r>
            <w:r w:rsidR="007C0C33" w:rsidRPr="007C0C33">
              <w:rPr>
                <w:rFonts w:ascii="Source Sans Pro" w:hAnsi="Source Sans Pro" w:cs="Arial"/>
                <w:bCs/>
                <w:sz w:val="16"/>
                <w:szCs w:val="16"/>
              </w:rPr>
              <w:t>Mönckebergstraße 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3D250" w14:textId="4F54B999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Hamburg Commercial Bank (HCOB)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80E52" w14:textId="180F0641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13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300</w:t>
            </w:r>
          </w:p>
        </w:tc>
      </w:tr>
      <w:tr w:rsidR="004A2D54" w:rsidRPr="004A2D54" w14:paraId="49C3D06F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3585C" w14:textId="60998821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A5D5" w14:textId="2F1A19BB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Central </w:t>
            </w:r>
            <w:proofErr w:type="spellStart"/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Parx</w:t>
            </w:r>
            <w:proofErr w:type="spellEnd"/>
            <w:r>
              <w:rPr>
                <w:rFonts w:ascii="Source Sans Pro" w:hAnsi="Source Sans Pro" w:cs="Arial"/>
                <w:bCs/>
                <w:sz w:val="16"/>
                <w:szCs w:val="16"/>
              </w:rPr>
              <w:t>“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, Bockenheimer Landstraße 10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38FC8" w14:textId="59BCFBC3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White &amp; Case LLP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B65D" w14:textId="54F5E0B8" w:rsidR="004A2D54" w:rsidRP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10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100</w:t>
            </w:r>
          </w:p>
        </w:tc>
      </w:tr>
      <w:tr w:rsidR="0041420A" w:rsidRPr="004A2D54" w14:paraId="6AE0403F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B3EB" w14:textId="5E23700C" w:rsidR="0041420A" w:rsidRDefault="0041420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FFM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2851" w14:textId="63AD4D73" w:rsidR="0041420A" w:rsidRPr="007C0C33" w:rsidRDefault="0041420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Konrad-Adenauer-Straße 20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A57C" w14:textId="54DE9F60" w:rsidR="0041420A" w:rsidRPr="007C0C33" w:rsidRDefault="0041420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20A">
              <w:rPr>
                <w:rFonts w:ascii="Source Sans Pro" w:hAnsi="Source Sans Pro" w:cs="Arial"/>
                <w:bCs/>
                <w:sz w:val="16"/>
                <w:szCs w:val="16"/>
              </w:rPr>
              <w:t>Justizquartier LBIH (mehrere Gerichte, Staatsanwaltschaften und Justizbehörden)</w:t>
            </w:r>
            <w:r w:rsidRPr="00C92B70">
              <w:rPr>
                <w:rFonts w:ascii="Source Sans Pro" w:hAnsi="Source Sans Pro" w:cs="Arial"/>
                <w:b/>
                <w:sz w:val="16"/>
                <w:szCs w:val="16"/>
              </w:rPr>
              <w:t xml:space="preserve"> 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5BC4" w14:textId="4685D2F8" w:rsidR="0041420A" w:rsidRPr="007C0C33" w:rsidRDefault="0041420A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41420A">
              <w:rPr>
                <w:rFonts w:ascii="Source Sans Pro" w:hAnsi="Source Sans Pro" w:cs="Arial"/>
                <w:bCs/>
                <w:sz w:val="16"/>
                <w:szCs w:val="16"/>
              </w:rPr>
              <w:t>8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41420A">
              <w:rPr>
                <w:rFonts w:ascii="Source Sans Pro" w:hAnsi="Source Sans Pro" w:cs="Arial"/>
                <w:bCs/>
                <w:sz w:val="16"/>
                <w:szCs w:val="16"/>
              </w:rPr>
              <w:t>600</w:t>
            </w:r>
          </w:p>
        </w:tc>
      </w:tr>
      <w:tr w:rsidR="00052B49" w:rsidRPr="004A2D54" w14:paraId="3D289B7B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CDFF" w14:textId="246BB2B3" w:rsid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HAM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FA739" w14:textId="08CC90B6" w:rsid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Curslacker Neuer Deich 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0BA6" w14:textId="16B95FBE" w:rsid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Körber Technologies </w:t>
            </w:r>
            <w:r w:rsidRPr="007C0C33">
              <w:rPr>
                <w:rFonts w:ascii="Source Sans Pro" w:hAnsi="Source Sans Pro" w:cs="Arial"/>
                <w:b/>
                <w:sz w:val="16"/>
                <w:szCs w:val="16"/>
              </w:rPr>
              <w:t>EN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C642" w14:textId="6548606B" w:rsidR="00052B49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7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900</w:t>
            </w:r>
          </w:p>
        </w:tc>
      </w:tr>
      <w:tr w:rsidR="008E25DF" w:rsidRPr="004A2D54" w14:paraId="0EFC2DDC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4FF0" w14:textId="1A3D64A3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DUS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921D" w14:textId="553CD24C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„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rwi4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“,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 Völklinger Str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aße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 4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39E8" w14:textId="609AC322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GALERIA 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24D1" w14:textId="7CA5BE7C" w:rsidR="008E25DF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6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="0065191D">
              <w:rPr>
                <w:rFonts w:ascii="Source Sans Pro" w:hAnsi="Source Sans Pro" w:cs="Arial"/>
                <w:bCs/>
                <w:sz w:val="16"/>
                <w:szCs w:val="16"/>
              </w:rPr>
              <w:t>800</w:t>
            </w:r>
          </w:p>
        </w:tc>
      </w:tr>
      <w:tr w:rsidR="007C0C33" w:rsidRPr="004A2D54" w14:paraId="26F49AC3" w14:textId="77777777" w:rsidTr="00B57BCE">
        <w:trPr>
          <w:trHeight w:val="227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DEAB" w14:textId="2FC62E67" w:rsidR="007C0C33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Cs/>
                <w:sz w:val="16"/>
                <w:szCs w:val="16"/>
              </w:rPr>
              <w:t>STU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3E6" w14:textId="69CC82B0" w:rsidR="007C0C33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Burgenlandstr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aße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 xml:space="preserve"> 31-35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26DC" w14:textId="2DD7BD5C" w:rsidR="007C0C33" w:rsidRPr="007C0C33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Land Baden-Württemberg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AAA1" w14:textId="425B50E3" w:rsidR="007C0C33" w:rsidRPr="007C0C33" w:rsidRDefault="007C0C33" w:rsidP="004E52C1">
            <w:pPr>
              <w:widowControl w:val="0"/>
              <w:jc w:val="center"/>
              <w:rPr>
                <w:rFonts w:ascii="Source Sans Pro" w:hAnsi="Source Sans Pro" w:cs="Arial"/>
                <w:bCs/>
                <w:sz w:val="16"/>
                <w:szCs w:val="16"/>
              </w:rPr>
            </w:pP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6</w:t>
            </w:r>
            <w:r>
              <w:rPr>
                <w:rFonts w:ascii="Source Sans Pro" w:hAnsi="Source Sans Pro" w:cs="Arial"/>
                <w:bCs/>
                <w:sz w:val="16"/>
                <w:szCs w:val="16"/>
              </w:rPr>
              <w:t>.</w:t>
            </w:r>
            <w:r w:rsidRPr="007C0C33">
              <w:rPr>
                <w:rFonts w:ascii="Source Sans Pro" w:hAnsi="Source Sans Pro" w:cs="Arial"/>
                <w:bCs/>
                <w:sz w:val="16"/>
                <w:szCs w:val="16"/>
              </w:rPr>
              <w:t>2</w:t>
            </w:r>
            <w:r w:rsidR="0065191D">
              <w:rPr>
                <w:rFonts w:ascii="Source Sans Pro" w:hAnsi="Source Sans Pro" w:cs="Arial"/>
                <w:bCs/>
                <w:sz w:val="16"/>
                <w:szCs w:val="16"/>
              </w:rPr>
              <w:t>00</w:t>
            </w:r>
          </w:p>
        </w:tc>
      </w:tr>
    </w:tbl>
    <w:p w14:paraId="444FE02E" w14:textId="1EF8693E" w:rsidR="004A2D54" w:rsidRPr="004A2D54" w:rsidRDefault="00052B49" w:rsidP="004A2D54">
      <w:pPr>
        <w:widowControl w:val="0"/>
        <w:rPr>
          <w:rFonts w:ascii="Source Sans Pro" w:hAnsi="Source Sans Pro" w:cs="Arial"/>
          <w:sz w:val="16"/>
          <w:szCs w:val="16"/>
          <w:lang w:val="en-GB"/>
        </w:rPr>
      </w:pPr>
      <w:r>
        <w:rPr>
          <w:rFonts w:ascii="Source Sans Pro" w:hAnsi="Source Sans Pro" w:cs="Arial"/>
          <w:sz w:val="16"/>
          <w:szCs w:val="16"/>
          <w:lang w:val="en-GB"/>
        </w:rPr>
        <w:t>Q</w:t>
      </w:r>
      <w:r w:rsidR="004A2D54" w:rsidRPr="0051046D">
        <w:rPr>
          <w:rFonts w:ascii="Source Sans Pro" w:hAnsi="Source Sans Pro" w:cs="Arial"/>
          <w:sz w:val="16"/>
          <w:szCs w:val="16"/>
          <w:lang w:val="en-GB"/>
        </w:rPr>
        <w:t>uelle:</w:t>
      </w:r>
      <w:r w:rsidR="004A2D54" w:rsidRPr="004A2D54">
        <w:rPr>
          <w:rFonts w:ascii="Source Sans Pro" w:hAnsi="Source Sans Pro" w:cs="Arial"/>
          <w:sz w:val="16"/>
          <w:szCs w:val="16"/>
          <w:lang w:val="en-GB"/>
        </w:rPr>
        <w:t xml:space="preserve"> German Property Partners (GPP)</w:t>
      </w:r>
    </w:p>
    <w:p w14:paraId="475827B1" w14:textId="78BF3D2F" w:rsidR="00A67512" w:rsidRDefault="00A67512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5B9B2836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75A1F579" w14:textId="77777777" w:rsidR="00054FE9" w:rsidRDefault="00054FE9">
      <w:pPr>
        <w:overflowPunct/>
        <w:autoSpaceDE/>
        <w:autoSpaceDN/>
        <w:adjustRightInd/>
        <w:textAlignment w:val="auto"/>
        <w:rPr>
          <w:rFonts w:ascii="Source Sans Pro" w:hAnsi="Source Sans Pro" w:cs="Arial"/>
          <w:sz w:val="16"/>
          <w:szCs w:val="16"/>
          <w:lang w:val="en-GB"/>
        </w:rPr>
      </w:pPr>
    </w:p>
    <w:p w14:paraId="50B0AF24" w14:textId="30705B4C" w:rsidR="00DA733A" w:rsidRPr="006456EA" w:rsidRDefault="00DA733A" w:rsidP="005C7C90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"/>
          <w:b/>
          <w:bCs/>
          <w:caps/>
          <w:color w:val="0087A8"/>
          <w:sz w:val="18"/>
          <w:szCs w:val="18"/>
        </w:rPr>
      </w:pPr>
      <w:bookmarkStart w:id="0" w:name="_Hlk194423614"/>
      <w:r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</w:p>
    <w:p w14:paraId="47B60849" w14:textId="6296A12D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9" w:history="1">
        <w:r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Anteon Immobilien, GREIF &amp; CONTZEN Immobilien, blackolive und E &amp; G 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Immobilien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0060EBBA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Das Netzwerk verfügt in den Top-7-Städten Hamburg, Berlin, Düsseldorf</w:t>
      </w:r>
      <w:r w:rsidR="00923846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|Essen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7802E12" w14:textId="400FC756" w:rsidR="00790528" w:rsidRPr="00E1280F" w:rsidRDefault="00790528" w:rsidP="00790528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Aktuell sind mehr als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380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Immobilienspezialisten für das Netzwerk tätig. 202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4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350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00 m² Gewerbefläche und betreute ein Transaktionsvolumen in Höhe von rund </w:t>
      </w:r>
      <w:r w:rsidR="001E3FA4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890 MIO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 €.</w:t>
      </w:r>
    </w:p>
    <w:p w14:paraId="03D0C7E2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color w:val="0087A8"/>
          <w:sz w:val="18"/>
          <w:szCs w:val="18"/>
        </w:rPr>
      </w:pPr>
    </w:p>
    <w:p w14:paraId="7B90D4EE" w14:textId="77777777" w:rsidR="00DA733A" w:rsidRPr="006456E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6456EA">
        <w:rPr>
          <w:rFonts w:ascii="Source Sans Pro SemiBold" w:hAnsi="Source Sans Pro SemiBold" w:cs="Source Sans Pro SemiBold"/>
          <w:b/>
          <w:bCs/>
          <w:color w:val="0087A8"/>
          <w:sz w:val="18"/>
          <w:szCs w:val="18"/>
        </w:rPr>
        <w:t>www.germanpropertypartners.de</w:t>
      </w:r>
    </w:p>
    <w:bookmarkEnd w:id="0"/>
    <w:p w14:paraId="7E45B8A0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3C8D03A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59E935E2" w14:textId="77777777" w:rsidR="00DA733A" w:rsidRPr="00DA733A" w:rsidRDefault="00DA733A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" w:hAnsi="Source Sans Pro" w:cs="Source Sans Pro"/>
          <w:sz w:val="18"/>
          <w:szCs w:val="18"/>
        </w:rPr>
      </w:pPr>
    </w:p>
    <w:p w14:paraId="62C4FFC2" w14:textId="1B639EDA" w:rsidR="00DA733A" w:rsidRPr="00917410" w:rsidRDefault="004000A8" w:rsidP="006609C2">
      <w:pPr>
        <w:pStyle w:val="EinfAbs"/>
        <w:tabs>
          <w:tab w:val="left" w:pos="200"/>
        </w:tabs>
        <w:spacing w:line="180" w:lineRule="exact"/>
        <w:jc w:val="both"/>
        <w:rPr>
          <w:rFonts w:ascii="Source Sans Pro" w:hAnsi="Source Sans Pro" w:cs="Source Sans Pro"/>
          <w:sz w:val="14"/>
          <w:szCs w:val="14"/>
        </w:rPr>
      </w:pPr>
      <w:r w:rsidRPr="004000A8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p w14:paraId="468FAFF6" w14:textId="77777777" w:rsidR="005C25D5" w:rsidRPr="007D5A52" w:rsidRDefault="005C25D5" w:rsidP="007D5A52">
      <w:pPr>
        <w:snapToGrid w:val="0"/>
        <w:spacing w:line="280" w:lineRule="exact"/>
        <w:jc w:val="both"/>
      </w:pPr>
    </w:p>
    <w:sectPr w:rsidR="005C25D5" w:rsidRPr="007D5A52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6DBE0" w14:textId="77777777" w:rsidR="00E27DEF" w:rsidRDefault="00E27DEF">
      <w:r>
        <w:separator/>
      </w:r>
    </w:p>
  </w:endnote>
  <w:endnote w:type="continuationSeparator" w:id="0">
    <w:p w14:paraId="63E8188B" w14:textId="77777777" w:rsidR="00E27DEF" w:rsidRDefault="00E2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FC666" w14:textId="0B1390D1" w:rsidR="001B786B" w:rsidRDefault="001B786B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6F154A" w:rsidRDefault="006F154A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6F154A" w:rsidRPr="006456EA" w:rsidRDefault="006F154A" w:rsidP="00790528">
    <w:pPr>
      <w:pStyle w:val="Fuzeile"/>
      <w:spacing w:line="220" w:lineRule="exact"/>
      <w:jc w:val="center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3737C2DB" w:rsidR="005644BE" w:rsidRPr="006456EA" w:rsidRDefault="005644BE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E3FA4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E3FA4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7A48ABA5" w:rsidR="005644BE" w:rsidRPr="006456EA" w:rsidRDefault="005644BE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9B008F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9B008F">
      <w:rPr>
        <w:rFonts w:ascii="Source Sans Pro" w:hAnsi="Source Sans Pro" w:cs="Source Sans Pro"/>
        <w:color w:val="0087A8"/>
        <w:sz w:val="18"/>
        <w:szCs w:val="18"/>
      </w:rPr>
      <w:t>49 40 350802</w:t>
    </w:r>
    <w:r w:rsidR="00282ED8">
      <w:rPr>
        <w:rFonts w:ascii="Source Sans Pro" w:hAnsi="Source Sans Pro" w:cs="Source Sans Pro"/>
        <w:color w:val="0087A8"/>
        <w:sz w:val="18"/>
        <w:szCs w:val="18"/>
      </w:rPr>
      <w:t>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9160B0">
      <w:rPr>
        <w:rFonts w:ascii="Source Sans Pro" w:hAnsi="Source Sans Pro" w:cs="Source Sans Pro"/>
        <w:color w:val="0087A8"/>
        <w:sz w:val="18"/>
        <w:szCs w:val="18"/>
      </w:rPr>
      <w:t>88</w:t>
    </w:r>
  </w:p>
  <w:p w14:paraId="6F9C1B3C" w14:textId="387DC480" w:rsidR="00C41C74" w:rsidRPr="005644BE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B0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5644BE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 w:rsidR="00077E8A">
      <w:rPr>
        <w:rStyle w:val="Seitenzahl"/>
      </w:rPr>
      <w:tab/>
    </w:r>
    <w:r w:rsidR="00077E8A"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AF12" w14:textId="78D04753" w:rsidR="00C41C74" w:rsidRPr="001B786B" w:rsidRDefault="00C41C74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6485CC7E" w:rsidR="00C41C74" w:rsidRPr="006456EA" w:rsidRDefault="00C41C74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E3FA4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="00B862DB" w:rsidRPr="006456EA">
      <w:rPr>
        <w:rStyle w:val="Seitenzahl"/>
        <w:rFonts w:ascii="Source Sans Pro" w:hAnsi="Source Sans Pro" w:cs="Arial"/>
        <w:color w:val="0087A8"/>
        <w:sz w:val="18"/>
        <w:szCs w:val="18"/>
      </w:rPr>
      <w:t>I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E3FA4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7D0C77DD" w:rsidR="001E1829" w:rsidRPr="006456EA" w:rsidRDefault="001E1829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="00C846F6"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proofErr w:type="gramStart"/>
    <w:r w:rsidR="00C35841" w:rsidRPr="006456EA">
      <w:rPr>
        <w:rFonts w:ascii="Source Sans Pro" w:hAnsi="Source Sans Pro" w:cs="Source Sans Pro"/>
        <w:color w:val="0087A8"/>
        <w:sz w:val="18"/>
        <w:szCs w:val="18"/>
      </w:rPr>
      <w:t>T  +</w:t>
    </w:r>
    <w:proofErr w:type="gramEnd"/>
    <w:r w:rsidR="003D5215">
      <w:rPr>
        <w:rFonts w:ascii="Source Sans Pro" w:hAnsi="Source Sans Pro" w:cs="Source Sans Pro"/>
        <w:color w:val="0087A8"/>
        <w:sz w:val="18"/>
        <w:szCs w:val="18"/>
      </w:rPr>
      <w:t>49 40 350802-</w:t>
    </w:r>
    <w:r w:rsidR="00790528">
      <w:rPr>
        <w:rFonts w:ascii="Source Sans Pro" w:hAnsi="Source Sans Pro" w:cs="Source Sans Pro"/>
        <w:color w:val="0087A8"/>
        <w:sz w:val="18"/>
        <w:szCs w:val="18"/>
      </w:rPr>
      <w:t>9</w:t>
    </w:r>
    <w:r w:rsidR="009160B0">
      <w:rPr>
        <w:rFonts w:ascii="Source Sans Pro" w:hAnsi="Source Sans Pro" w:cs="Source Sans Pro"/>
        <w:color w:val="0087A8"/>
        <w:sz w:val="18"/>
        <w:szCs w:val="18"/>
      </w:rPr>
      <w:t>88</w:t>
    </w:r>
  </w:p>
  <w:p w14:paraId="5F7CBAE8" w14:textId="5CDE099B" w:rsidR="001E1829" w:rsidRPr="006456EA" w:rsidRDefault="00965DEB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60B0">
      <w:rPr>
        <w:rFonts w:ascii="Source Sans Pro" w:hAnsi="Source Sans Pro" w:cs="Source Sans Pro"/>
        <w:color w:val="0087A8"/>
        <w:sz w:val="18"/>
        <w:szCs w:val="18"/>
      </w:rPr>
      <w:t>Katharina Koester</w:t>
    </w:r>
    <w:r w:rsidR="00C35841"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D1D2D" w14:textId="77777777" w:rsidR="00E27DEF" w:rsidRDefault="00E27DEF">
      <w:r>
        <w:separator/>
      </w:r>
    </w:p>
  </w:footnote>
  <w:footnote w:type="continuationSeparator" w:id="0">
    <w:p w14:paraId="76B94CF8" w14:textId="77777777" w:rsidR="00E27DEF" w:rsidRDefault="00E2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AE73" w14:textId="5A8CA290" w:rsidR="004D2CD0" w:rsidRDefault="00965DEB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CD0">
      <w:tab/>
    </w:r>
  </w:p>
  <w:p w14:paraId="1736273E" w14:textId="0051BB57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C41C74" w:rsidRDefault="00BB0F8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5C617" w14:textId="0096DDD3" w:rsidR="00C41C74" w:rsidRDefault="007B33CE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471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0E6577" w:rsidRDefault="000E6577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E775AC" w:rsidRPr="00B922EE" w:rsidRDefault="00E775AC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9F28F5">
      <w:tab/>
    </w:r>
  </w:p>
  <w:p w14:paraId="3EAD45CF" w14:textId="5FC2DEDD" w:rsidR="004D2CD0" w:rsidRDefault="004D2CD0" w:rsidP="0005029E">
    <w:r>
      <w:tab/>
    </w:r>
  </w:p>
  <w:p w14:paraId="185BEDCB" w14:textId="4F512084" w:rsidR="004D2CD0" w:rsidRDefault="004D2CD0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4D2CD0" w:rsidRDefault="004D2CD0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C41C74" w:rsidRPr="00DA6836" w:rsidRDefault="00DA6836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C41C74" w:rsidRDefault="00F5697E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6644E"/>
    <w:multiLevelType w:val="multilevel"/>
    <w:tmpl w:val="7B76F9A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37C08"/>
    <w:multiLevelType w:val="hybridMultilevel"/>
    <w:tmpl w:val="0A54984E"/>
    <w:lvl w:ilvl="0" w:tplc="70861D0E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5B81"/>
    <w:multiLevelType w:val="hybridMultilevel"/>
    <w:tmpl w:val="90E4E3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87D8F"/>
    <w:multiLevelType w:val="hybridMultilevel"/>
    <w:tmpl w:val="2B968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C0FA5"/>
    <w:multiLevelType w:val="hybridMultilevel"/>
    <w:tmpl w:val="CFC436D8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42170FB"/>
    <w:multiLevelType w:val="multilevel"/>
    <w:tmpl w:val="275C7E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0482"/>
    <w:multiLevelType w:val="hybridMultilevel"/>
    <w:tmpl w:val="3C54D5FA"/>
    <w:lvl w:ilvl="0" w:tplc="8FD8BAD0">
      <w:start w:val="20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61196">
    <w:abstractNumId w:val="4"/>
  </w:num>
  <w:num w:numId="2" w16cid:durableId="1165512601">
    <w:abstractNumId w:val="2"/>
  </w:num>
  <w:num w:numId="3" w16cid:durableId="408888450">
    <w:abstractNumId w:val="1"/>
  </w:num>
  <w:num w:numId="4" w16cid:durableId="1134761402">
    <w:abstractNumId w:val="6"/>
  </w:num>
  <w:num w:numId="5" w16cid:durableId="2070574369">
    <w:abstractNumId w:val="5"/>
  </w:num>
  <w:num w:numId="6" w16cid:durableId="1653024970">
    <w:abstractNumId w:val="0"/>
  </w:num>
  <w:num w:numId="7" w16cid:durableId="266625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F85"/>
    <w:rsid w:val="00003819"/>
    <w:rsid w:val="00004E93"/>
    <w:rsid w:val="00007A82"/>
    <w:rsid w:val="00012426"/>
    <w:rsid w:val="00013486"/>
    <w:rsid w:val="000136D7"/>
    <w:rsid w:val="00013D73"/>
    <w:rsid w:val="00013FE8"/>
    <w:rsid w:val="0001488A"/>
    <w:rsid w:val="000173C0"/>
    <w:rsid w:val="00020AC9"/>
    <w:rsid w:val="0002187D"/>
    <w:rsid w:val="00022CE1"/>
    <w:rsid w:val="00022F25"/>
    <w:rsid w:val="00024032"/>
    <w:rsid w:val="000243CC"/>
    <w:rsid w:val="00024C47"/>
    <w:rsid w:val="00027EA3"/>
    <w:rsid w:val="00032028"/>
    <w:rsid w:val="00033F7F"/>
    <w:rsid w:val="0003409F"/>
    <w:rsid w:val="00035322"/>
    <w:rsid w:val="00041A34"/>
    <w:rsid w:val="000440EB"/>
    <w:rsid w:val="0005029E"/>
    <w:rsid w:val="000513D0"/>
    <w:rsid w:val="00052B49"/>
    <w:rsid w:val="00053277"/>
    <w:rsid w:val="00054FE9"/>
    <w:rsid w:val="00061BAC"/>
    <w:rsid w:val="000663B5"/>
    <w:rsid w:val="00066A8A"/>
    <w:rsid w:val="0007043A"/>
    <w:rsid w:val="00070F97"/>
    <w:rsid w:val="00071BAF"/>
    <w:rsid w:val="00077E8A"/>
    <w:rsid w:val="00082C59"/>
    <w:rsid w:val="000835E3"/>
    <w:rsid w:val="00091562"/>
    <w:rsid w:val="0009382E"/>
    <w:rsid w:val="000A4F68"/>
    <w:rsid w:val="000A4FBB"/>
    <w:rsid w:val="000A5015"/>
    <w:rsid w:val="000A6A78"/>
    <w:rsid w:val="000B310B"/>
    <w:rsid w:val="000B4143"/>
    <w:rsid w:val="000C18A4"/>
    <w:rsid w:val="000C36A5"/>
    <w:rsid w:val="000C3A22"/>
    <w:rsid w:val="000C3EF6"/>
    <w:rsid w:val="000C5B2A"/>
    <w:rsid w:val="000D4F14"/>
    <w:rsid w:val="000D6F2E"/>
    <w:rsid w:val="000D7FD3"/>
    <w:rsid w:val="000E1357"/>
    <w:rsid w:val="000E194E"/>
    <w:rsid w:val="000E641E"/>
    <w:rsid w:val="000E6577"/>
    <w:rsid w:val="000E7EA5"/>
    <w:rsid w:val="000F031F"/>
    <w:rsid w:val="000F08DC"/>
    <w:rsid w:val="000F57F1"/>
    <w:rsid w:val="000F6013"/>
    <w:rsid w:val="000F79F5"/>
    <w:rsid w:val="00101220"/>
    <w:rsid w:val="00103C4E"/>
    <w:rsid w:val="0010452E"/>
    <w:rsid w:val="00104EC7"/>
    <w:rsid w:val="00110D5C"/>
    <w:rsid w:val="001116D7"/>
    <w:rsid w:val="00113D8C"/>
    <w:rsid w:val="00117FDF"/>
    <w:rsid w:val="00120624"/>
    <w:rsid w:val="0012156C"/>
    <w:rsid w:val="00127A45"/>
    <w:rsid w:val="00133961"/>
    <w:rsid w:val="00137831"/>
    <w:rsid w:val="001416A0"/>
    <w:rsid w:val="001421F7"/>
    <w:rsid w:val="0014498B"/>
    <w:rsid w:val="00146881"/>
    <w:rsid w:val="001504EA"/>
    <w:rsid w:val="001550FE"/>
    <w:rsid w:val="00155828"/>
    <w:rsid w:val="00157F0D"/>
    <w:rsid w:val="001647B3"/>
    <w:rsid w:val="00165A9F"/>
    <w:rsid w:val="001668E1"/>
    <w:rsid w:val="00166ED2"/>
    <w:rsid w:val="00166EDC"/>
    <w:rsid w:val="00173AA4"/>
    <w:rsid w:val="0017641E"/>
    <w:rsid w:val="00184BB0"/>
    <w:rsid w:val="00187963"/>
    <w:rsid w:val="0019039E"/>
    <w:rsid w:val="00195319"/>
    <w:rsid w:val="001963BB"/>
    <w:rsid w:val="001A08CF"/>
    <w:rsid w:val="001A22F5"/>
    <w:rsid w:val="001A33B3"/>
    <w:rsid w:val="001A4E95"/>
    <w:rsid w:val="001A60D1"/>
    <w:rsid w:val="001B786B"/>
    <w:rsid w:val="001C15E0"/>
    <w:rsid w:val="001C518B"/>
    <w:rsid w:val="001C5D5B"/>
    <w:rsid w:val="001C6C29"/>
    <w:rsid w:val="001D3808"/>
    <w:rsid w:val="001E1829"/>
    <w:rsid w:val="001E3FA4"/>
    <w:rsid w:val="001E5503"/>
    <w:rsid w:val="001E5CBD"/>
    <w:rsid w:val="001E6935"/>
    <w:rsid w:val="001E73A9"/>
    <w:rsid w:val="001E77A9"/>
    <w:rsid w:val="001F218D"/>
    <w:rsid w:val="001F35E1"/>
    <w:rsid w:val="00200C83"/>
    <w:rsid w:val="002014F7"/>
    <w:rsid w:val="00202DD3"/>
    <w:rsid w:val="00205386"/>
    <w:rsid w:val="002076E6"/>
    <w:rsid w:val="0021392B"/>
    <w:rsid w:val="0021727D"/>
    <w:rsid w:val="00221CD3"/>
    <w:rsid w:val="00223AD5"/>
    <w:rsid w:val="00226210"/>
    <w:rsid w:val="0022694F"/>
    <w:rsid w:val="002303B6"/>
    <w:rsid w:val="002350C4"/>
    <w:rsid w:val="00235393"/>
    <w:rsid w:val="002371FE"/>
    <w:rsid w:val="002433EB"/>
    <w:rsid w:val="00245D99"/>
    <w:rsid w:val="002468C0"/>
    <w:rsid w:val="00256932"/>
    <w:rsid w:val="00264A0A"/>
    <w:rsid w:val="00270180"/>
    <w:rsid w:val="0028070D"/>
    <w:rsid w:val="00282ED8"/>
    <w:rsid w:val="002A09C2"/>
    <w:rsid w:val="002A41A8"/>
    <w:rsid w:val="002A480D"/>
    <w:rsid w:val="002A59DD"/>
    <w:rsid w:val="002A7D58"/>
    <w:rsid w:val="002B4422"/>
    <w:rsid w:val="002B537B"/>
    <w:rsid w:val="002B5E0E"/>
    <w:rsid w:val="002C03AC"/>
    <w:rsid w:val="002C52C5"/>
    <w:rsid w:val="002C67D7"/>
    <w:rsid w:val="002D5B8F"/>
    <w:rsid w:val="002E0FB5"/>
    <w:rsid w:val="002F461A"/>
    <w:rsid w:val="002F746F"/>
    <w:rsid w:val="00300B29"/>
    <w:rsid w:val="00303901"/>
    <w:rsid w:val="003054EB"/>
    <w:rsid w:val="00315269"/>
    <w:rsid w:val="003152C9"/>
    <w:rsid w:val="00316196"/>
    <w:rsid w:val="00322A1B"/>
    <w:rsid w:val="003250ED"/>
    <w:rsid w:val="003278F6"/>
    <w:rsid w:val="0033523C"/>
    <w:rsid w:val="003366E6"/>
    <w:rsid w:val="00337E28"/>
    <w:rsid w:val="00341D84"/>
    <w:rsid w:val="003424EC"/>
    <w:rsid w:val="00343846"/>
    <w:rsid w:val="0034454C"/>
    <w:rsid w:val="0035249E"/>
    <w:rsid w:val="00355438"/>
    <w:rsid w:val="00355ED1"/>
    <w:rsid w:val="00357E06"/>
    <w:rsid w:val="00363075"/>
    <w:rsid w:val="00364BAF"/>
    <w:rsid w:val="00366AF3"/>
    <w:rsid w:val="00370BFB"/>
    <w:rsid w:val="0037108D"/>
    <w:rsid w:val="00371640"/>
    <w:rsid w:val="00371D83"/>
    <w:rsid w:val="00371F87"/>
    <w:rsid w:val="00374F87"/>
    <w:rsid w:val="00381A5A"/>
    <w:rsid w:val="00381D14"/>
    <w:rsid w:val="00386A1E"/>
    <w:rsid w:val="00387EEF"/>
    <w:rsid w:val="00392C51"/>
    <w:rsid w:val="003948FA"/>
    <w:rsid w:val="003A0CF9"/>
    <w:rsid w:val="003A343C"/>
    <w:rsid w:val="003A44CB"/>
    <w:rsid w:val="003A463F"/>
    <w:rsid w:val="003B496B"/>
    <w:rsid w:val="003D36F0"/>
    <w:rsid w:val="003D37E4"/>
    <w:rsid w:val="003D40B2"/>
    <w:rsid w:val="003D5215"/>
    <w:rsid w:val="003E1048"/>
    <w:rsid w:val="003E772C"/>
    <w:rsid w:val="003F293B"/>
    <w:rsid w:val="003F4EE7"/>
    <w:rsid w:val="003F5E07"/>
    <w:rsid w:val="004000A8"/>
    <w:rsid w:val="0040331F"/>
    <w:rsid w:val="00403C95"/>
    <w:rsid w:val="0041251D"/>
    <w:rsid w:val="0041420A"/>
    <w:rsid w:val="00421D43"/>
    <w:rsid w:val="00423DAC"/>
    <w:rsid w:val="00425DBF"/>
    <w:rsid w:val="004262A9"/>
    <w:rsid w:val="00427B58"/>
    <w:rsid w:val="004329C6"/>
    <w:rsid w:val="004333FF"/>
    <w:rsid w:val="004343B1"/>
    <w:rsid w:val="00434EB9"/>
    <w:rsid w:val="00441174"/>
    <w:rsid w:val="00445495"/>
    <w:rsid w:val="004501A9"/>
    <w:rsid w:val="00453BB0"/>
    <w:rsid w:val="00453F14"/>
    <w:rsid w:val="004563C8"/>
    <w:rsid w:val="00456442"/>
    <w:rsid w:val="00464D30"/>
    <w:rsid w:val="0047027D"/>
    <w:rsid w:val="00474099"/>
    <w:rsid w:val="0048102A"/>
    <w:rsid w:val="00483578"/>
    <w:rsid w:val="00491CBC"/>
    <w:rsid w:val="00494AE2"/>
    <w:rsid w:val="004A2A30"/>
    <w:rsid w:val="004A2D54"/>
    <w:rsid w:val="004A5F84"/>
    <w:rsid w:val="004A6E04"/>
    <w:rsid w:val="004B5CB6"/>
    <w:rsid w:val="004C616B"/>
    <w:rsid w:val="004D21F1"/>
    <w:rsid w:val="004D2CD0"/>
    <w:rsid w:val="004D3556"/>
    <w:rsid w:val="004D5D1F"/>
    <w:rsid w:val="004E52C1"/>
    <w:rsid w:val="004E6B98"/>
    <w:rsid w:val="004F1EDD"/>
    <w:rsid w:val="004F5684"/>
    <w:rsid w:val="004F77D4"/>
    <w:rsid w:val="00500981"/>
    <w:rsid w:val="00500AD6"/>
    <w:rsid w:val="0050304A"/>
    <w:rsid w:val="005045E7"/>
    <w:rsid w:val="0051046D"/>
    <w:rsid w:val="00510C33"/>
    <w:rsid w:val="005122A0"/>
    <w:rsid w:val="00520B8C"/>
    <w:rsid w:val="005306BF"/>
    <w:rsid w:val="005319DF"/>
    <w:rsid w:val="0054038E"/>
    <w:rsid w:val="0054593A"/>
    <w:rsid w:val="00546364"/>
    <w:rsid w:val="005476AA"/>
    <w:rsid w:val="00554C9F"/>
    <w:rsid w:val="005564A2"/>
    <w:rsid w:val="00557B57"/>
    <w:rsid w:val="005644BE"/>
    <w:rsid w:val="0056696C"/>
    <w:rsid w:val="00567755"/>
    <w:rsid w:val="0057524E"/>
    <w:rsid w:val="00575A55"/>
    <w:rsid w:val="00580A44"/>
    <w:rsid w:val="005810F0"/>
    <w:rsid w:val="00583BFE"/>
    <w:rsid w:val="00583CC2"/>
    <w:rsid w:val="00591D42"/>
    <w:rsid w:val="00596092"/>
    <w:rsid w:val="005A5999"/>
    <w:rsid w:val="005A7DA9"/>
    <w:rsid w:val="005B52B7"/>
    <w:rsid w:val="005B74A4"/>
    <w:rsid w:val="005C25D5"/>
    <w:rsid w:val="005C7C90"/>
    <w:rsid w:val="005D0D0E"/>
    <w:rsid w:val="005D1D6F"/>
    <w:rsid w:val="005D21C5"/>
    <w:rsid w:val="005D449F"/>
    <w:rsid w:val="005D73BE"/>
    <w:rsid w:val="005E21DE"/>
    <w:rsid w:val="005E6515"/>
    <w:rsid w:val="005F27EF"/>
    <w:rsid w:val="005F283A"/>
    <w:rsid w:val="005F3B7B"/>
    <w:rsid w:val="006005C8"/>
    <w:rsid w:val="0060257F"/>
    <w:rsid w:val="00605989"/>
    <w:rsid w:val="006110D3"/>
    <w:rsid w:val="00613713"/>
    <w:rsid w:val="00613E6C"/>
    <w:rsid w:val="0062180F"/>
    <w:rsid w:val="006224FB"/>
    <w:rsid w:val="00630505"/>
    <w:rsid w:val="0063115F"/>
    <w:rsid w:val="006363DA"/>
    <w:rsid w:val="0064018A"/>
    <w:rsid w:val="00640E69"/>
    <w:rsid w:val="006432C0"/>
    <w:rsid w:val="006456EA"/>
    <w:rsid w:val="00646995"/>
    <w:rsid w:val="00650F25"/>
    <w:rsid w:val="0065191D"/>
    <w:rsid w:val="00653983"/>
    <w:rsid w:val="00655943"/>
    <w:rsid w:val="006609C2"/>
    <w:rsid w:val="00664262"/>
    <w:rsid w:val="006724DF"/>
    <w:rsid w:val="00675BA1"/>
    <w:rsid w:val="00675E89"/>
    <w:rsid w:val="00684F14"/>
    <w:rsid w:val="006853DC"/>
    <w:rsid w:val="00685E14"/>
    <w:rsid w:val="006923BE"/>
    <w:rsid w:val="00693A4B"/>
    <w:rsid w:val="00695F46"/>
    <w:rsid w:val="006A0549"/>
    <w:rsid w:val="006A3192"/>
    <w:rsid w:val="006A3C35"/>
    <w:rsid w:val="006A49B1"/>
    <w:rsid w:val="006A5878"/>
    <w:rsid w:val="006A6D11"/>
    <w:rsid w:val="006B2259"/>
    <w:rsid w:val="006B2684"/>
    <w:rsid w:val="006B27CB"/>
    <w:rsid w:val="006B5252"/>
    <w:rsid w:val="006C1FF3"/>
    <w:rsid w:val="006C5754"/>
    <w:rsid w:val="006C5831"/>
    <w:rsid w:val="006D058D"/>
    <w:rsid w:val="006D2948"/>
    <w:rsid w:val="006D2B6F"/>
    <w:rsid w:val="006D2DAE"/>
    <w:rsid w:val="006D6526"/>
    <w:rsid w:val="006D7431"/>
    <w:rsid w:val="006D7E9F"/>
    <w:rsid w:val="006E03E0"/>
    <w:rsid w:val="006E3B37"/>
    <w:rsid w:val="006E60AE"/>
    <w:rsid w:val="006E674D"/>
    <w:rsid w:val="006E6770"/>
    <w:rsid w:val="006F12A8"/>
    <w:rsid w:val="006F154A"/>
    <w:rsid w:val="006F3858"/>
    <w:rsid w:val="006F3CBD"/>
    <w:rsid w:val="006F3F00"/>
    <w:rsid w:val="00700A62"/>
    <w:rsid w:val="0070136B"/>
    <w:rsid w:val="0070363C"/>
    <w:rsid w:val="00710BCA"/>
    <w:rsid w:val="00712023"/>
    <w:rsid w:val="007144E9"/>
    <w:rsid w:val="00714A1F"/>
    <w:rsid w:val="00717328"/>
    <w:rsid w:val="0072073D"/>
    <w:rsid w:val="007355B6"/>
    <w:rsid w:val="007366B7"/>
    <w:rsid w:val="00740EB7"/>
    <w:rsid w:val="00742C04"/>
    <w:rsid w:val="0074571D"/>
    <w:rsid w:val="007627C8"/>
    <w:rsid w:val="00764AF5"/>
    <w:rsid w:val="0076666B"/>
    <w:rsid w:val="00766717"/>
    <w:rsid w:val="00771C92"/>
    <w:rsid w:val="007755D7"/>
    <w:rsid w:val="007832C8"/>
    <w:rsid w:val="00790528"/>
    <w:rsid w:val="00793C7D"/>
    <w:rsid w:val="00797DA3"/>
    <w:rsid w:val="007A2D16"/>
    <w:rsid w:val="007A4844"/>
    <w:rsid w:val="007B3142"/>
    <w:rsid w:val="007B33CE"/>
    <w:rsid w:val="007B35E6"/>
    <w:rsid w:val="007B7B81"/>
    <w:rsid w:val="007C0C33"/>
    <w:rsid w:val="007C689F"/>
    <w:rsid w:val="007D1495"/>
    <w:rsid w:val="007D5A52"/>
    <w:rsid w:val="007D75C8"/>
    <w:rsid w:val="007E2C66"/>
    <w:rsid w:val="007E46C3"/>
    <w:rsid w:val="007E6244"/>
    <w:rsid w:val="007F02A1"/>
    <w:rsid w:val="007F1021"/>
    <w:rsid w:val="007F2DBB"/>
    <w:rsid w:val="007F7E7C"/>
    <w:rsid w:val="008010F4"/>
    <w:rsid w:val="00801337"/>
    <w:rsid w:val="008113A7"/>
    <w:rsid w:val="0081554E"/>
    <w:rsid w:val="00821A81"/>
    <w:rsid w:val="008314A1"/>
    <w:rsid w:val="00833779"/>
    <w:rsid w:val="008373FC"/>
    <w:rsid w:val="00846E84"/>
    <w:rsid w:val="00856A7C"/>
    <w:rsid w:val="008739E7"/>
    <w:rsid w:val="00874645"/>
    <w:rsid w:val="00881685"/>
    <w:rsid w:val="00882014"/>
    <w:rsid w:val="008844D9"/>
    <w:rsid w:val="00891C3A"/>
    <w:rsid w:val="008931F2"/>
    <w:rsid w:val="00895BBC"/>
    <w:rsid w:val="008A3A3B"/>
    <w:rsid w:val="008A5E54"/>
    <w:rsid w:val="008A7188"/>
    <w:rsid w:val="008B4EB4"/>
    <w:rsid w:val="008C0111"/>
    <w:rsid w:val="008C0676"/>
    <w:rsid w:val="008C1EBB"/>
    <w:rsid w:val="008D24F1"/>
    <w:rsid w:val="008D6864"/>
    <w:rsid w:val="008D6B2E"/>
    <w:rsid w:val="008E25DF"/>
    <w:rsid w:val="008E3F6F"/>
    <w:rsid w:val="008E5C25"/>
    <w:rsid w:val="008F0275"/>
    <w:rsid w:val="008F1872"/>
    <w:rsid w:val="008F2058"/>
    <w:rsid w:val="00901E97"/>
    <w:rsid w:val="009064CE"/>
    <w:rsid w:val="00912233"/>
    <w:rsid w:val="00915F18"/>
    <w:rsid w:val="009160B0"/>
    <w:rsid w:val="00917111"/>
    <w:rsid w:val="00917410"/>
    <w:rsid w:val="00923846"/>
    <w:rsid w:val="009264D0"/>
    <w:rsid w:val="009312C4"/>
    <w:rsid w:val="009321F1"/>
    <w:rsid w:val="0093360A"/>
    <w:rsid w:val="009358D3"/>
    <w:rsid w:val="00955433"/>
    <w:rsid w:val="00955764"/>
    <w:rsid w:val="00957A6F"/>
    <w:rsid w:val="009649C2"/>
    <w:rsid w:val="00965DEB"/>
    <w:rsid w:val="00971DF5"/>
    <w:rsid w:val="00973056"/>
    <w:rsid w:val="009738DE"/>
    <w:rsid w:val="009750F7"/>
    <w:rsid w:val="009758E9"/>
    <w:rsid w:val="00977A0F"/>
    <w:rsid w:val="00980BEB"/>
    <w:rsid w:val="00980D94"/>
    <w:rsid w:val="009825A7"/>
    <w:rsid w:val="00982F7B"/>
    <w:rsid w:val="009843D4"/>
    <w:rsid w:val="00986E5B"/>
    <w:rsid w:val="0099076D"/>
    <w:rsid w:val="00992657"/>
    <w:rsid w:val="0099690F"/>
    <w:rsid w:val="00996D38"/>
    <w:rsid w:val="00997675"/>
    <w:rsid w:val="009A3211"/>
    <w:rsid w:val="009A53E2"/>
    <w:rsid w:val="009B008F"/>
    <w:rsid w:val="009B0C09"/>
    <w:rsid w:val="009C11F2"/>
    <w:rsid w:val="009C3FDE"/>
    <w:rsid w:val="009C51BD"/>
    <w:rsid w:val="009C62C2"/>
    <w:rsid w:val="009C7CAD"/>
    <w:rsid w:val="009D1C7A"/>
    <w:rsid w:val="009D2111"/>
    <w:rsid w:val="009D2836"/>
    <w:rsid w:val="009D686B"/>
    <w:rsid w:val="009E5926"/>
    <w:rsid w:val="009E6FDF"/>
    <w:rsid w:val="009F28F5"/>
    <w:rsid w:val="009F2DA7"/>
    <w:rsid w:val="00A02210"/>
    <w:rsid w:val="00A0582F"/>
    <w:rsid w:val="00A0717D"/>
    <w:rsid w:val="00A07846"/>
    <w:rsid w:val="00A12AFE"/>
    <w:rsid w:val="00A13548"/>
    <w:rsid w:val="00A1519E"/>
    <w:rsid w:val="00A159F8"/>
    <w:rsid w:val="00A17CA6"/>
    <w:rsid w:val="00A2086A"/>
    <w:rsid w:val="00A20DD4"/>
    <w:rsid w:val="00A2291B"/>
    <w:rsid w:val="00A22C2C"/>
    <w:rsid w:val="00A32496"/>
    <w:rsid w:val="00A346EF"/>
    <w:rsid w:val="00A34B81"/>
    <w:rsid w:val="00A54087"/>
    <w:rsid w:val="00A549F3"/>
    <w:rsid w:val="00A65690"/>
    <w:rsid w:val="00A65FB0"/>
    <w:rsid w:val="00A66A23"/>
    <w:rsid w:val="00A67425"/>
    <w:rsid w:val="00A67512"/>
    <w:rsid w:val="00A743C6"/>
    <w:rsid w:val="00A908C3"/>
    <w:rsid w:val="00A908E3"/>
    <w:rsid w:val="00A90FFC"/>
    <w:rsid w:val="00A9412B"/>
    <w:rsid w:val="00A95739"/>
    <w:rsid w:val="00A96A38"/>
    <w:rsid w:val="00AA0491"/>
    <w:rsid w:val="00AA0AB4"/>
    <w:rsid w:val="00AB0EF0"/>
    <w:rsid w:val="00AB2F7B"/>
    <w:rsid w:val="00AB300C"/>
    <w:rsid w:val="00AB449B"/>
    <w:rsid w:val="00AB69AD"/>
    <w:rsid w:val="00AB6CA0"/>
    <w:rsid w:val="00AB7CFA"/>
    <w:rsid w:val="00AC00F8"/>
    <w:rsid w:val="00AC49D3"/>
    <w:rsid w:val="00AC6B15"/>
    <w:rsid w:val="00AC7376"/>
    <w:rsid w:val="00AD2569"/>
    <w:rsid w:val="00AD3799"/>
    <w:rsid w:val="00AD4124"/>
    <w:rsid w:val="00AE027C"/>
    <w:rsid w:val="00AE0761"/>
    <w:rsid w:val="00AE07A3"/>
    <w:rsid w:val="00AE0E7B"/>
    <w:rsid w:val="00AE2412"/>
    <w:rsid w:val="00AE318F"/>
    <w:rsid w:val="00AE4AB8"/>
    <w:rsid w:val="00AE6F47"/>
    <w:rsid w:val="00AF13F6"/>
    <w:rsid w:val="00AF202A"/>
    <w:rsid w:val="00AF2305"/>
    <w:rsid w:val="00AF237D"/>
    <w:rsid w:val="00AF2F5E"/>
    <w:rsid w:val="00AF6E30"/>
    <w:rsid w:val="00B005BD"/>
    <w:rsid w:val="00B03444"/>
    <w:rsid w:val="00B03542"/>
    <w:rsid w:val="00B04F23"/>
    <w:rsid w:val="00B06E5F"/>
    <w:rsid w:val="00B10FC3"/>
    <w:rsid w:val="00B14E68"/>
    <w:rsid w:val="00B226FB"/>
    <w:rsid w:val="00B23669"/>
    <w:rsid w:val="00B23A2B"/>
    <w:rsid w:val="00B24860"/>
    <w:rsid w:val="00B30599"/>
    <w:rsid w:val="00B340CD"/>
    <w:rsid w:val="00B41CC3"/>
    <w:rsid w:val="00B4714C"/>
    <w:rsid w:val="00B50A63"/>
    <w:rsid w:val="00B52B53"/>
    <w:rsid w:val="00B53AEB"/>
    <w:rsid w:val="00B56AFB"/>
    <w:rsid w:val="00B576A5"/>
    <w:rsid w:val="00B57BCE"/>
    <w:rsid w:val="00B62EDB"/>
    <w:rsid w:val="00B6613A"/>
    <w:rsid w:val="00B7165E"/>
    <w:rsid w:val="00B71718"/>
    <w:rsid w:val="00B717E3"/>
    <w:rsid w:val="00B71BBD"/>
    <w:rsid w:val="00B72F21"/>
    <w:rsid w:val="00B776EA"/>
    <w:rsid w:val="00B83DA7"/>
    <w:rsid w:val="00B84498"/>
    <w:rsid w:val="00B862DB"/>
    <w:rsid w:val="00B922EE"/>
    <w:rsid w:val="00B9596E"/>
    <w:rsid w:val="00B9713B"/>
    <w:rsid w:val="00BA6227"/>
    <w:rsid w:val="00BB0F85"/>
    <w:rsid w:val="00BB21C3"/>
    <w:rsid w:val="00BC0132"/>
    <w:rsid w:val="00BC0598"/>
    <w:rsid w:val="00BC410C"/>
    <w:rsid w:val="00BC555F"/>
    <w:rsid w:val="00BC72A5"/>
    <w:rsid w:val="00BD0426"/>
    <w:rsid w:val="00BD10B3"/>
    <w:rsid w:val="00BD2784"/>
    <w:rsid w:val="00BD4A4F"/>
    <w:rsid w:val="00BE0C9E"/>
    <w:rsid w:val="00BF11C6"/>
    <w:rsid w:val="00BF5F7B"/>
    <w:rsid w:val="00BF69F6"/>
    <w:rsid w:val="00BF702E"/>
    <w:rsid w:val="00C00EA0"/>
    <w:rsid w:val="00C0282D"/>
    <w:rsid w:val="00C074BD"/>
    <w:rsid w:val="00C11004"/>
    <w:rsid w:val="00C111FE"/>
    <w:rsid w:val="00C14603"/>
    <w:rsid w:val="00C1497F"/>
    <w:rsid w:val="00C20B9C"/>
    <w:rsid w:val="00C2509E"/>
    <w:rsid w:val="00C2778C"/>
    <w:rsid w:val="00C27F6A"/>
    <w:rsid w:val="00C35841"/>
    <w:rsid w:val="00C41C74"/>
    <w:rsid w:val="00C43C76"/>
    <w:rsid w:val="00C43F46"/>
    <w:rsid w:val="00C47F8B"/>
    <w:rsid w:val="00C500B4"/>
    <w:rsid w:val="00C51A09"/>
    <w:rsid w:val="00C52723"/>
    <w:rsid w:val="00C616A4"/>
    <w:rsid w:val="00C616AE"/>
    <w:rsid w:val="00C6227A"/>
    <w:rsid w:val="00C64096"/>
    <w:rsid w:val="00C654E1"/>
    <w:rsid w:val="00C832FA"/>
    <w:rsid w:val="00C846F6"/>
    <w:rsid w:val="00C85B10"/>
    <w:rsid w:val="00C90DE4"/>
    <w:rsid w:val="00C92B70"/>
    <w:rsid w:val="00C96048"/>
    <w:rsid w:val="00C96214"/>
    <w:rsid w:val="00C96624"/>
    <w:rsid w:val="00C9797F"/>
    <w:rsid w:val="00CA1FB9"/>
    <w:rsid w:val="00CA3E80"/>
    <w:rsid w:val="00CA73C1"/>
    <w:rsid w:val="00CA79D7"/>
    <w:rsid w:val="00CB3EA4"/>
    <w:rsid w:val="00CB7E2C"/>
    <w:rsid w:val="00CC40B9"/>
    <w:rsid w:val="00CC646D"/>
    <w:rsid w:val="00CC71A3"/>
    <w:rsid w:val="00CC7CBA"/>
    <w:rsid w:val="00CD463B"/>
    <w:rsid w:val="00CD687A"/>
    <w:rsid w:val="00CD77DD"/>
    <w:rsid w:val="00CD7E39"/>
    <w:rsid w:val="00CE2EFB"/>
    <w:rsid w:val="00CE5A10"/>
    <w:rsid w:val="00CE7B88"/>
    <w:rsid w:val="00CF6D99"/>
    <w:rsid w:val="00D002D6"/>
    <w:rsid w:val="00D02522"/>
    <w:rsid w:val="00D02FD8"/>
    <w:rsid w:val="00D10832"/>
    <w:rsid w:val="00D14315"/>
    <w:rsid w:val="00D213E9"/>
    <w:rsid w:val="00D30707"/>
    <w:rsid w:val="00D3104C"/>
    <w:rsid w:val="00D3143B"/>
    <w:rsid w:val="00D41ABC"/>
    <w:rsid w:val="00D478CC"/>
    <w:rsid w:val="00D50FDD"/>
    <w:rsid w:val="00D51669"/>
    <w:rsid w:val="00D602AC"/>
    <w:rsid w:val="00D70824"/>
    <w:rsid w:val="00D70F9E"/>
    <w:rsid w:val="00D760A9"/>
    <w:rsid w:val="00D8401E"/>
    <w:rsid w:val="00D925B8"/>
    <w:rsid w:val="00D92C1C"/>
    <w:rsid w:val="00D92E46"/>
    <w:rsid w:val="00D95197"/>
    <w:rsid w:val="00DA0D62"/>
    <w:rsid w:val="00DA3B66"/>
    <w:rsid w:val="00DA6836"/>
    <w:rsid w:val="00DA733A"/>
    <w:rsid w:val="00DB2417"/>
    <w:rsid w:val="00DC05A3"/>
    <w:rsid w:val="00DC0951"/>
    <w:rsid w:val="00DC497C"/>
    <w:rsid w:val="00DC6A0C"/>
    <w:rsid w:val="00DC74D9"/>
    <w:rsid w:val="00DC7EB8"/>
    <w:rsid w:val="00DD1087"/>
    <w:rsid w:val="00DD2947"/>
    <w:rsid w:val="00DD3BDB"/>
    <w:rsid w:val="00DD446C"/>
    <w:rsid w:val="00DD6040"/>
    <w:rsid w:val="00DE4603"/>
    <w:rsid w:val="00DE7EFC"/>
    <w:rsid w:val="00DF1EEF"/>
    <w:rsid w:val="00DF226F"/>
    <w:rsid w:val="00DF25FA"/>
    <w:rsid w:val="00DF2B8B"/>
    <w:rsid w:val="00E03DB3"/>
    <w:rsid w:val="00E05ECE"/>
    <w:rsid w:val="00E1280F"/>
    <w:rsid w:val="00E131B0"/>
    <w:rsid w:val="00E1580F"/>
    <w:rsid w:val="00E17B2C"/>
    <w:rsid w:val="00E200B3"/>
    <w:rsid w:val="00E20271"/>
    <w:rsid w:val="00E23ABF"/>
    <w:rsid w:val="00E27DEF"/>
    <w:rsid w:val="00E32743"/>
    <w:rsid w:val="00E342C7"/>
    <w:rsid w:val="00E354F6"/>
    <w:rsid w:val="00E404DC"/>
    <w:rsid w:val="00E41A83"/>
    <w:rsid w:val="00E4317C"/>
    <w:rsid w:val="00E51A3A"/>
    <w:rsid w:val="00E606F4"/>
    <w:rsid w:val="00E63703"/>
    <w:rsid w:val="00E66C4A"/>
    <w:rsid w:val="00E704C6"/>
    <w:rsid w:val="00E72EE7"/>
    <w:rsid w:val="00E744B7"/>
    <w:rsid w:val="00E75185"/>
    <w:rsid w:val="00E775AC"/>
    <w:rsid w:val="00E77B98"/>
    <w:rsid w:val="00E77E42"/>
    <w:rsid w:val="00E80907"/>
    <w:rsid w:val="00E81BEB"/>
    <w:rsid w:val="00E8471E"/>
    <w:rsid w:val="00E9085A"/>
    <w:rsid w:val="00E942DA"/>
    <w:rsid w:val="00E94EF3"/>
    <w:rsid w:val="00E959E9"/>
    <w:rsid w:val="00E95E00"/>
    <w:rsid w:val="00E9704C"/>
    <w:rsid w:val="00E97167"/>
    <w:rsid w:val="00EA42C5"/>
    <w:rsid w:val="00EB19E5"/>
    <w:rsid w:val="00EB468A"/>
    <w:rsid w:val="00EC3DC1"/>
    <w:rsid w:val="00EC6CC2"/>
    <w:rsid w:val="00ED0970"/>
    <w:rsid w:val="00ED6DCA"/>
    <w:rsid w:val="00EE1FE5"/>
    <w:rsid w:val="00EF20B1"/>
    <w:rsid w:val="00EF7671"/>
    <w:rsid w:val="00EF7BE7"/>
    <w:rsid w:val="00F00604"/>
    <w:rsid w:val="00F00CF2"/>
    <w:rsid w:val="00F011B6"/>
    <w:rsid w:val="00F05141"/>
    <w:rsid w:val="00F076C1"/>
    <w:rsid w:val="00F07725"/>
    <w:rsid w:val="00F119A6"/>
    <w:rsid w:val="00F167CB"/>
    <w:rsid w:val="00F2164E"/>
    <w:rsid w:val="00F218D7"/>
    <w:rsid w:val="00F240EB"/>
    <w:rsid w:val="00F310D7"/>
    <w:rsid w:val="00F315FE"/>
    <w:rsid w:val="00F31FE6"/>
    <w:rsid w:val="00F43811"/>
    <w:rsid w:val="00F45BB8"/>
    <w:rsid w:val="00F50790"/>
    <w:rsid w:val="00F53E0E"/>
    <w:rsid w:val="00F53F80"/>
    <w:rsid w:val="00F5697E"/>
    <w:rsid w:val="00F63BFA"/>
    <w:rsid w:val="00F64376"/>
    <w:rsid w:val="00F6556A"/>
    <w:rsid w:val="00F65709"/>
    <w:rsid w:val="00F673A2"/>
    <w:rsid w:val="00F70A1C"/>
    <w:rsid w:val="00F72A3E"/>
    <w:rsid w:val="00F741A3"/>
    <w:rsid w:val="00F7577B"/>
    <w:rsid w:val="00F77715"/>
    <w:rsid w:val="00F84A25"/>
    <w:rsid w:val="00F84C57"/>
    <w:rsid w:val="00F937F1"/>
    <w:rsid w:val="00FA3D12"/>
    <w:rsid w:val="00FA4024"/>
    <w:rsid w:val="00FA76AB"/>
    <w:rsid w:val="00FB28C0"/>
    <w:rsid w:val="00FB2A50"/>
    <w:rsid w:val="00FB3B53"/>
    <w:rsid w:val="00FC570A"/>
    <w:rsid w:val="00FC69D9"/>
    <w:rsid w:val="00FD6D0F"/>
    <w:rsid w:val="00FD7412"/>
    <w:rsid w:val="00FD7741"/>
    <w:rsid w:val="00FE2133"/>
    <w:rsid w:val="00FE47BB"/>
    <w:rsid w:val="00FE6C3C"/>
    <w:rsid w:val="00FF01B7"/>
    <w:rsid w:val="00FF1703"/>
    <w:rsid w:val="00FF1EF9"/>
    <w:rsid w:val="00FF3CBC"/>
    <w:rsid w:val="00FF5BFA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348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416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416A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416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416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416A0"/>
    <w:rPr>
      <w:b/>
      <w:bCs/>
    </w:rPr>
  </w:style>
  <w:style w:type="paragraph" w:styleId="berarbeitung">
    <w:name w:val="Revision"/>
    <w:hidden/>
    <w:uiPriority w:val="99"/>
    <w:semiHidden/>
    <w:rsid w:val="00D14315"/>
    <w:rPr>
      <w:sz w:val="24"/>
    </w:rPr>
  </w:style>
  <w:style w:type="paragraph" w:styleId="Listenabsatz">
    <w:name w:val="List Paragraph"/>
    <w:basedOn w:val="Standard"/>
    <w:uiPriority w:val="34"/>
    <w:qFormat/>
    <w:rsid w:val="0011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ermanpropertypartners.de/d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8828F-88C1-440A-94BD-0C0A955B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6013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Corinna Fühner</dc:creator>
  <cp:keywords/>
  <cp:lastModifiedBy>Katharina Koester</cp:lastModifiedBy>
  <cp:revision>2</cp:revision>
  <cp:lastPrinted>2019-05-13T13:17:00Z</cp:lastPrinted>
  <dcterms:created xsi:type="dcterms:W3CDTF">2025-04-01T16:13:00Z</dcterms:created>
  <dcterms:modified xsi:type="dcterms:W3CDTF">2025-04-01T16:13:00Z</dcterms:modified>
</cp:coreProperties>
</file>