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FC456E" w14:paraId="707C356D" w14:textId="77777777" w:rsidTr="00040684">
        <w:trPr>
          <w:trHeight w:val="227"/>
        </w:trPr>
        <w:tc>
          <w:tcPr>
            <w:tcW w:w="5000" w:type="pct"/>
            <w:gridSpan w:val="2"/>
          </w:tcPr>
          <w:p w14:paraId="198A7A22" w14:textId="74E84177" w:rsidR="0031158E" w:rsidRPr="007711FD" w:rsidRDefault="00FC456E" w:rsidP="00A95E94">
            <w:pPr>
              <w:pStyle w:val="Titel"/>
              <w:framePr w:hSpace="0" w:wrap="auto" w:yAlign="inline"/>
              <w:suppressOverlap w:val="0"/>
              <w:rPr>
                <w:highlight w:val="yellow"/>
                <w:lang w:val="de-DE"/>
              </w:rPr>
            </w:pPr>
            <w:r w:rsidRPr="00FC456E">
              <w:rPr>
                <w:lang w:val="de-DE"/>
              </w:rPr>
              <w:t>Virtuelle Innovationstage von dormakaba stießen auf riesiges Interesse</w:t>
            </w:r>
            <w:r w:rsidR="00CA4CC1" w:rsidRPr="00CA4CC1">
              <w:rPr>
                <w:lang w:val="de-DE"/>
              </w:rPr>
              <w:t xml:space="preserve"> </w:t>
            </w:r>
            <w:r w:rsidR="00A95E94" w:rsidRPr="00A95E94">
              <w:rPr>
                <w:lang w:val="de-DE"/>
              </w:rPr>
              <w:t xml:space="preserve"> </w:t>
            </w:r>
          </w:p>
        </w:tc>
      </w:tr>
      <w:tr w:rsidR="0031158E" w:rsidRPr="00FC456E"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0DC7B5E7" w:rsidR="00593430" w:rsidRPr="00593430" w:rsidRDefault="00593430" w:rsidP="00593430">
      <w:pPr>
        <w:rPr>
          <w:lang w:val="de-DE"/>
        </w:rPr>
      </w:pPr>
      <w:r w:rsidRPr="00A95E94">
        <w:rPr>
          <w:lang w:val="de-DE"/>
        </w:rPr>
        <w:t xml:space="preserve">Ennepetal, </w:t>
      </w:r>
      <w:r w:rsidR="00FC456E">
        <w:rPr>
          <w:lang w:val="de-DE"/>
        </w:rPr>
        <w:t>27</w:t>
      </w:r>
      <w:r w:rsidRPr="00A95E94">
        <w:rPr>
          <w:lang w:val="de-DE"/>
        </w:rPr>
        <w:t xml:space="preserve">. </w:t>
      </w:r>
      <w:r w:rsidR="004A31DB">
        <w:rPr>
          <w:lang w:val="de-DE"/>
        </w:rPr>
        <w:t>April</w:t>
      </w:r>
      <w:r w:rsidRPr="00A95E94">
        <w:rPr>
          <w:lang w:val="de-DE"/>
        </w:rPr>
        <w:t xml:space="preserve"> 202</w:t>
      </w:r>
      <w:r w:rsidR="00000E2B">
        <w:rPr>
          <w:lang w:val="de-DE"/>
        </w:rPr>
        <w:t>1</w:t>
      </w:r>
      <w:r w:rsidRPr="00593430">
        <w:rPr>
          <w:lang w:val="de-DE"/>
        </w:rPr>
        <w:t xml:space="preserve"> – </w:t>
      </w:r>
      <w:r w:rsidR="00FC456E" w:rsidRPr="00FC456E">
        <w:rPr>
          <w:lang w:val="de-DE"/>
        </w:rPr>
        <w:t>Die 3-tägigen dormakaba Innovationstage 2021 unter dem Motto „</w:t>
      </w:r>
      <w:proofErr w:type="spellStart"/>
      <w:proofErr w:type="gramStart"/>
      <w:r w:rsidR="00FC456E" w:rsidRPr="00FC456E">
        <w:rPr>
          <w:lang w:val="de-DE"/>
        </w:rPr>
        <w:t>Live.Lebendig.Digital</w:t>
      </w:r>
      <w:proofErr w:type="spellEnd"/>
      <w:proofErr w:type="gramEnd"/>
      <w:r w:rsidR="00FC456E" w:rsidRPr="00FC456E">
        <w:rPr>
          <w:lang w:val="de-DE"/>
        </w:rPr>
        <w:t xml:space="preserve">“ waren ein voller Erfolg. Deutlich über 1.000 Teilnehmer haben sich auf der digitalen Veranstaltungsplattform registriert. Die Besucher konnten an insgesamt 23 Fachvorträgen teilnehmen, sich über die neue vernetzte Türlösung </w:t>
      </w:r>
      <w:proofErr w:type="spellStart"/>
      <w:r w:rsidR="00FC456E" w:rsidRPr="00FC456E">
        <w:rPr>
          <w:lang w:val="de-DE"/>
        </w:rPr>
        <w:t>EntriWorX</w:t>
      </w:r>
      <w:proofErr w:type="spellEnd"/>
      <w:r w:rsidR="00FC456E" w:rsidRPr="00FC456E">
        <w:rPr>
          <w:lang w:val="de-DE"/>
        </w:rPr>
        <w:t xml:space="preserve"> </w:t>
      </w:r>
      <w:proofErr w:type="spellStart"/>
      <w:r w:rsidR="00FC456E" w:rsidRPr="00FC456E">
        <w:rPr>
          <w:lang w:val="de-DE"/>
        </w:rPr>
        <w:t>Ecosystem</w:t>
      </w:r>
      <w:proofErr w:type="spellEnd"/>
      <w:r w:rsidR="00FC456E" w:rsidRPr="00FC456E">
        <w:rPr>
          <w:lang w:val="de-DE"/>
        </w:rPr>
        <w:t xml:space="preserve">, weitere Produktinnovationen und das breite Produktportfolio informieren, mit Experten chatten oder </w:t>
      </w:r>
      <w:proofErr w:type="spellStart"/>
      <w:r w:rsidR="00FC456E" w:rsidRPr="00FC456E">
        <w:rPr>
          <w:lang w:val="de-DE"/>
        </w:rPr>
        <w:t>netzwerken</w:t>
      </w:r>
      <w:proofErr w:type="spellEnd"/>
      <w:r w:rsidR="00FC456E" w:rsidRPr="00FC456E">
        <w:rPr>
          <w:lang w:val="de-DE"/>
        </w:rPr>
        <w:t xml:space="preserve">.  </w:t>
      </w:r>
      <w:r w:rsidR="001549BF" w:rsidRPr="001549BF">
        <w:rPr>
          <w:lang w:val="de-DE"/>
        </w:rPr>
        <w:t xml:space="preserve">  </w:t>
      </w:r>
      <w:r w:rsidR="00E57EF8" w:rsidRPr="00E57EF8">
        <w:rPr>
          <w:lang w:val="de-DE"/>
        </w:rPr>
        <w:t xml:space="preserve"> </w:t>
      </w:r>
    </w:p>
    <w:p w14:paraId="7A71EEA6" w14:textId="77777777" w:rsidR="00593430" w:rsidRPr="00593430" w:rsidRDefault="00593430" w:rsidP="00593430">
      <w:pPr>
        <w:rPr>
          <w:lang w:val="de-DE"/>
        </w:rPr>
      </w:pPr>
    </w:p>
    <w:p w14:paraId="09A77A1B" w14:textId="1EB7A0FE" w:rsidR="00C50132" w:rsidRDefault="00FC456E" w:rsidP="00593430">
      <w:pPr>
        <w:rPr>
          <w:lang w:val="de-DE"/>
        </w:rPr>
      </w:pPr>
      <w:r w:rsidRPr="00FC456E">
        <w:rPr>
          <w:lang w:val="de-DE"/>
        </w:rPr>
        <w:t xml:space="preserve">Schon die Live Auftaktveranstaltung war gut besucht. Nach der ausführlichen Vorstellung der neuen Türlösung erklärte COO AS DACH Alwin Berninger: „Unser neues </w:t>
      </w:r>
      <w:proofErr w:type="spellStart"/>
      <w:r w:rsidRPr="00FC456E">
        <w:rPr>
          <w:lang w:val="de-DE"/>
        </w:rPr>
        <w:t>EntriWorX</w:t>
      </w:r>
      <w:proofErr w:type="spellEnd"/>
      <w:r w:rsidRPr="00FC456E">
        <w:rPr>
          <w:lang w:val="de-DE"/>
        </w:rPr>
        <w:t xml:space="preserve"> </w:t>
      </w:r>
      <w:proofErr w:type="spellStart"/>
      <w:r w:rsidRPr="00FC456E">
        <w:rPr>
          <w:lang w:val="de-DE"/>
        </w:rPr>
        <w:t>Ecosystem</w:t>
      </w:r>
      <w:proofErr w:type="spellEnd"/>
      <w:r w:rsidRPr="00FC456E">
        <w:rPr>
          <w:lang w:val="de-DE"/>
        </w:rPr>
        <w:t xml:space="preserve">, bestehend aus Planungstools, Produkten und Services, wird Unternehmen vom Investor bis zum Betreiber dabei helfen, ihre Produktivität bei der Planung, Installation und dem Betrieb von Zutrittslösungen zu steigern.“ Geschäftsführer Michael Hensel zeigte auf, wie </w:t>
      </w:r>
      <w:proofErr w:type="spellStart"/>
      <w:r w:rsidRPr="00FC456E">
        <w:rPr>
          <w:lang w:val="de-DE"/>
        </w:rPr>
        <w:t>EntriWorX</w:t>
      </w:r>
      <w:proofErr w:type="spellEnd"/>
      <w:r w:rsidRPr="00FC456E">
        <w:rPr>
          <w:lang w:val="de-DE"/>
        </w:rPr>
        <w:t xml:space="preserve"> die Zusammenarbeit aller Gewerke und Prozesse über den gesamten Gebäude-Lebenszyklus optimiert, in dem er die Vorteile aus der jeweiligen Sicht von Architekten, Planern, Verarbeitern und Betreibern beschrieb. „Mit </w:t>
      </w:r>
      <w:proofErr w:type="spellStart"/>
      <w:r w:rsidRPr="00FC456E">
        <w:rPr>
          <w:lang w:val="de-DE"/>
        </w:rPr>
        <w:t>EntriWorX</w:t>
      </w:r>
      <w:proofErr w:type="spellEnd"/>
      <w:r w:rsidRPr="00FC456E">
        <w:rPr>
          <w:lang w:val="de-DE"/>
        </w:rPr>
        <w:t xml:space="preserve"> digitalisieren wir die Türen, so dass ein digitaler Kreislauf entsteht, in dem jeder auf die Daten des Vorgängers zugreifen kann“, betonte er. “Das verbessert die Prozesse erheblich und steigert die Produktivität deutlich.“ Die teilnehmenden Partner, Interessenten und Kunden konnten bei einer Umfrage die neue Türlösung bewerten. Das Ergebnis war sehr positiv. So sahen die Teilnehmer in allen angesprochenen Bereichen Vorteile. </w:t>
      </w:r>
      <w:r w:rsidR="001549BF" w:rsidRPr="001549BF">
        <w:rPr>
          <w:lang w:val="de-DE"/>
        </w:rPr>
        <w:t xml:space="preserve"> </w:t>
      </w:r>
    </w:p>
    <w:p w14:paraId="2D59E0B5" w14:textId="77777777" w:rsidR="00C50132" w:rsidRDefault="00C50132" w:rsidP="00593430">
      <w:pPr>
        <w:rPr>
          <w:lang w:val="de-DE"/>
        </w:rPr>
      </w:pPr>
    </w:p>
    <w:p w14:paraId="44F23C4B" w14:textId="72075D75" w:rsidR="00265EAD" w:rsidRDefault="00FC456E" w:rsidP="00593430">
      <w:pPr>
        <w:rPr>
          <w:lang w:val="de-DE"/>
        </w:rPr>
      </w:pPr>
      <w:r w:rsidRPr="00FC456E">
        <w:rPr>
          <w:lang w:val="de-DE"/>
        </w:rPr>
        <w:t xml:space="preserve">Bei den digitalen Innovationstagen waren besonders die vielfältigen Fachvorträge nachgefragt. In ihnen wurden Neuheiten vor allem im Bereich der Türtechnik vorgestellt, sie griffen aber auch interessante Themen aus den Bereichen Automatiktüren und Zutrittskontrollsysteme auf. Am Ende hatten knapp 3000 Teilnehmer die spannenden Live-Vorträge besucht.   </w:t>
      </w:r>
    </w:p>
    <w:p w14:paraId="42501952" w14:textId="77777777" w:rsidR="00265EAD" w:rsidRDefault="00265EAD" w:rsidP="00593430">
      <w:pPr>
        <w:rPr>
          <w:lang w:val="de-DE"/>
        </w:rPr>
      </w:pPr>
    </w:p>
    <w:p w14:paraId="7A9EBCA7" w14:textId="77777777" w:rsidR="00FC456E" w:rsidRDefault="00FC456E" w:rsidP="00593430">
      <w:pPr>
        <w:rPr>
          <w:lang w:val="de-DE"/>
        </w:rPr>
      </w:pPr>
      <w:r w:rsidRPr="00FC456E">
        <w:rPr>
          <w:lang w:val="de-DE"/>
        </w:rPr>
        <w:t>Nach drei sehr intensiven Tagen und viel positiver Resonanz der Besucher betonte Geschäftsführer Michael Hensel: „Wir sind mit dem Verlauf unserer ersten digitalen dormakaba Hausmesse sehr zufrieden. Mit diesem Event und unserer neuen smarten Türlösung haben wir mal wieder ein Ausrufezeichen in unserer Branche gesetzt und zeigen unsere Innovationsfähigkeit.“</w:t>
      </w:r>
    </w:p>
    <w:p w14:paraId="554229EF" w14:textId="77777777" w:rsidR="00FC456E" w:rsidRDefault="00FC456E" w:rsidP="00593430">
      <w:pPr>
        <w:rPr>
          <w:lang w:val="de-DE"/>
        </w:rPr>
      </w:pPr>
    </w:p>
    <w:p w14:paraId="48EDA074" w14:textId="77777777" w:rsidR="00FC456E" w:rsidRPr="00FC456E" w:rsidRDefault="00FC456E" w:rsidP="00FC456E">
      <w:pPr>
        <w:rPr>
          <w:lang w:val="de-DE"/>
        </w:rPr>
      </w:pPr>
      <w:r w:rsidRPr="00FC456E">
        <w:rPr>
          <w:lang w:val="de-DE"/>
        </w:rPr>
        <w:t>Mehr Informationen unter:</w:t>
      </w:r>
    </w:p>
    <w:p w14:paraId="5F31692A" w14:textId="77777777" w:rsidR="00FC456E" w:rsidRPr="00FC456E" w:rsidRDefault="00FC456E" w:rsidP="00FC456E">
      <w:pPr>
        <w:rPr>
          <w:lang w:val="de-DE"/>
        </w:rPr>
      </w:pPr>
      <w:r w:rsidRPr="00FC456E">
        <w:rPr>
          <w:lang w:val="de-DE"/>
        </w:rPr>
        <w:t>https://dormakaba.expo-ip.com</w:t>
      </w:r>
    </w:p>
    <w:p w14:paraId="7FDD3E3A" w14:textId="059C6719" w:rsidR="00593430" w:rsidRPr="00593430" w:rsidRDefault="00FC456E" w:rsidP="00FC456E">
      <w:pPr>
        <w:rPr>
          <w:lang w:val="de-DE"/>
        </w:rPr>
      </w:pPr>
      <w:r w:rsidRPr="00FC456E">
        <w:rPr>
          <w:lang w:val="de-DE"/>
        </w:rPr>
        <w:t>Die Inhalte und die Vorträge in der Mediathek stehen bis zum 21.05. zur Verfügung.</w:t>
      </w:r>
      <w:r w:rsidR="003841DE" w:rsidRPr="003841DE">
        <w:rPr>
          <w:lang w:val="de-DE"/>
        </w:rPr>
        <w:t xml:space="preserve"> </w:t>
      </w:r>
    </w:p>
    <w:p w14:paraId="60C42406" w14:textId="2DB2D0B4" w:rsidR="00593430" w:rsidRDefault="00A95E94" w:rsidP="00593430">
      <w:pPr>
        <w:rPr>
          <w:u w:val="single"/>
          <w:lang w:val="de-DE"/>
        </w:rPr>
      </w:pPr>
      <w:r w:rsidRPr="00A95E94">
        <w:rPr>
          <w:u w:val="single"/>
          <w:lang w:val="de-DE"/>
        </w:rPr>
        <w:lastRenderedPageBreak/>
        <w:t>Bildunterschrift</w:t>
      </w:r>
      <w:r w:rsidR="003254B1">
        <w:rPr>
          <w:u w:val="single"/>
          <w:lang w:val="de-DE"/>
        </w:rPr>
        <w:t>:</w:t>
      </w:r>
      <w:r w:rsidRPr="00A95E94">
        <w:rPr>
          <w:u w:val="single"/>
          <w:lang w:val="de-DE"/>
        </w:rPr>
        <w:t xml:space="preserve"> </w:t>
      </w:r>
    </w:p>
    <w:p w14:paraId="739E8FDF" w14:textId="440581E8" w:rsidR="00265EAD" w:rsidRPr="00593430" w:rsidRDefault="00FC456E" w:rsidP="00265EAD">
      <w:pPr>
        <w:rPr>
          <w:lang w:val="de-DE"/>
        </w:rPr>
      </w:pPr>
      <w:r>
        <w:rPr>
          <w:lang w:val="de-DE"/>
        </w:rPr>
        <w:t xml:space="preserve">Virtuelle Innovationstage von dormakaba </w:t>
      </w:r>
      <w:r w:rsidR="00265EAD" w:rsidRPr="00E57EF8">
        <w:rPr>
          <w:lang w:val="de-DE"/>
        </w:rPr>
        <w:t xml:space="preserve"> </w:t>
      </w:r>
    </w:p>
    <w:p w14:paraId="3FFD41F6" w14:textId="3763E242" w:rsidR="00BA3A4C" w:rsidRPr="00BA3A4C" w:rsidRDefault="00BA3A4C" w:rsidP="00593430">
      <w:pPr>
        <w:rPr>
          <w:lang w:val="de-DE"/>
        </w:rPr>
      </w:pPr>
    </w:p>
    <w:p w14:paraId="12774212" w14:textId="26374A65" w:rsidR="00474665" w:rsidRPr="00BA3A4C" w:rsidRDefault="00F277AA" w:rsidP="00593430">
      <w:pPr>
        <w:rPr>
          <w:lang w:val="de-DE"/>
        </w:rPr>
      </w:pPr>
      <w:r w:rsidRPr="00BA3A4C">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07AECAEB" w14:textId="22B85622"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1B0F48B6" w14:textId="3DD6063F" w:rsidR="0075272C" w:rsidRDefault="004508CE" w:rsidP="0075272C">
      <w:pPr>
        <w:rPr>
          <w:lang w:val="de-DE"/>
        </w:rPr>
      </w:pPr>
      <w:r w:rsidRPr="004508CE">
        <w:rPr>
          <w:lang w:val="de-DE"/>
        </w:rPr>
        <w:t>Wir sind eines der Top 3 Unternehmen in unserer Branche und weltweit führend bei intelligenten und sicheren Zugangslösungen. Wir bieten alles, was Sie für den sicheren Zugang zu Gebäuden und Räumen benötigen, alles aus einer Hand</w:t>
      </w:r>
      <w:r>
        <w:rPr>
          <w:lang w:val="de-DE"/>
        </w:rPr>
        <w:t xml:space="preserve">. </w:t>
      </w:r>
      <w:r w:rsidR="00245C85">
        <w:rPr>
          <w:lang w:val="de-DE"/>
        </w:rPr>
        <w:t>Z</w:t>
      </w:r>
      <w:r w:rsidR="0075272C" w:rsidRPr="0075272C">
        <w:rPr>
          <w:lang w:val="de-DE"/>
        </w:rPr>
        <w:t xml:space="preserve">usammen mit zahlreichen Kooperationspartnern </w:t>
      </w:r>
      <w:r w:rsidR="00245C85">
        <w:rPr>
          <w:lang w:val="de-DE"/>
        </w:rPr>
        <w:t xml:space="preserve">sind wir </w:t>
      </w:r>
      <w:r w:rsidR="0075272C" w:rsidRPr="0075272C">
        <w:rPr>
          <w:lang w:val="de-DE"/>
        </w:rPr>
        <w:t>in über 130 Ländern weltweit vertreten.</w:t>
      </w:r>
    </w:p>
    <w:p w14:paraId="34652B09" w14:textId="15129866"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w:t>
      </w:r>
      <w:r w:rsidR="007F34A6">
        <w:rPr>
          <w:lang w:val="de-DE"/>
        </w:rPr>
        <w:t>5</w:t>
      </w:r>
      <w:r w:rsidRPr="0075272C">
        <w:rPr>
          <w:lang w:val="de-DE"/>
        </w:rPr>
        <w:t xml:space="preserve">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48B1AF4" w14:textId="77777777" w:rsidR="00000E2B"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 enthält bestimmte, in die Zukunft gerichtete Aussagen,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die allgemeine Wirtschaftslage</w:t>
      </w:r>
    </w:p>
    <w:p w14:paraId="33525CAD" w14:textId="3A5FBC7C" w:rsidR="0032694F" w:rsidRPr="0032694F" w:rsidRDefault="00000E2B" w:rsidP="0032694F">
      <w:pPr>
        <w:pStyle w:val="Disclaimerlist"/>
        <w:numPr>
          <w:ilvl w:val="0"/>
          <w:numId w:val="0"/>
        </w:numPr>
        <w:ind w:left="142" w:hanging="142"/>
        <w:rPr>
          <w:rFonts w:ascii="Arial" w:hAnsi="Arial" w:cs="Arial"/>
          <w:sz w:val="15"/>
          <w:szCs w:val="15"/>
          <w:lang w:val="de-DE"/>
        </w:rPr>
      </w:pPr>
      <w:r>
        <w:rPr>
          <w:rFonts w:ascii="Wingdings" w:hAnsi="Wingdings"/>
          <w:sz w:val="15"/>
          <w:szCs w:val="15"/>
        </w:rPr>
        <w:t xml:space="preserve"> </w:t>
      </w:r>
      <w:r>
        <w:rPr>
          <w:rFonts w:ascii="Wingdings" w:hAnsi="Wingdings"/>
          <w:sz w:val="15"/>
          <w:szCs w:val="15"/>
        </w:rPr>
        <w:t xml:space="preserve"> </w:t>
      </w:r>
      <w:r w:rsidRPr="00000E2B">
        <w:rPr>
          <w:rFonts w:ascii="Arial" w:hAnsi="Arial" w:cs="Arial"/>
          <w:sz w:val="15"/>
          <w:szCs w:val="15"/>
          <w:lang w:val="de-DE"/>
        </w:rPr>
        <w:t>di</w:t>
      </w:r>
      <w:r>
        <w:rPr>
          <w:rFonts w:ascii="Arial" w:hAnsi="Arial" w:cs="Arial"/>
          <w:sz w:val="15"/>
          <w:szCs w:val="15"/>
          <w:lang w:val="de-DE"/>
        </w:rPr>
        <w:t>e</w:t>
      </w:r>
      <w:r w:rsidRPr="00000E2B">
        <w:rPr>
          <w:rFonts w:ascii="Arial" w:hAnsi="Arial" w:cs="Arial"/>
          <w:sz w:val="15"/>
          <w:szCs w:val="15"/>
          <w:lang w:val="de-DE"/>
        </w:rPr>
        <w:t xml:space="preserve"> Auswirkungen der Covid-19-Pandemie,</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der Wettbewerb mit anderen Unternehmen,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Auswirkungen und Risiken neuer Technologien,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laufenden Kapitalbedürfnisse der Gesellschaft,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Finanzierungskosten,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Verzögerungen bei der Integration des Zusammenschlusses oder von Akquisitionen, </w:t>
      </w:r>
      <w:r w:rsidR="00FE31BA" w:rsidRPr="00FE31BA">
        <w:rPr>
          <w:lang w:val="de-DE"/>
        </w:rPr>
        <w:br/>
      </w:r>
      <w:r w:rsidR="00A936CB">
        <w:rPr>
          <w:rFonts w:ascii="Wingdings" w:hAnsi="Wingdings"/>
          <w:sz w:val="15"/>
          <w:szCs w:val="15"/>
        </w:rPr>
        <w:t></w:t>
      </w:r>
      <w:r w:rsidR="00A936CB">
        <w:rPr>
          <w:rFonts w:ascii="Wingdings" w:hAnsi="Wingdings"/>
          <w:sz w:val="15"/>
          <w:szCs w:val="15"/>
        </w:rPr>
        <w:t></w:t>
      </w:r>
      <w:r w:rsidR="00FE31BA" w:rsidRPr="00FE31BA">
        <w:rPr>
          <w:rFonts w:ascii="Arial" w:hAnsi="Arial" w:cs="Arial"/>
          <w:sz w:val="15"/>
          <w:szCs w:val="15"/>
          <w:lang w:val="de-DE"/>
        </w:rPr>
        <w:t xml:space="preserve">die Änderungen des Betriebsaufwands,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Währungsschwankungen und Schwankungen bei Rohstoffpreisen,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Gewinnung und das Halten qualifizierter Mitarbeitender,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politische Risiken in Ländern, in denen das Unternehmen tätig ist,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Änderungen des anwendbaren Rechts,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die Realisierung von Synergien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und sonstige in dieser Kommunikation genannte Faktoren.</w:t>
      </w:r>
      <w:r w:rsidR="00FE31BA" w:rsidRPr="00FE31BA">
        <w:rPr>
          <w:lang w:val="de-DE"/>
        </w:rPr>
        <w:t xml:space="preserve"> </w:t>
      </w:r>
      <w:r w:rsidR="00FE31BA" w:rsidRPr="00FE31BA">
        <w:rPr>
          <w:lang w:val="de-DE"/>
        </w:rPr>
        <w:br/>
      </w:r>
      <w:r w:rsidR="00FE31BA"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00FE31BA" w:rsidRPr="00FE31BA">
        <w:rPr>
          <w:rFonts w:ascii="Arial" w:hAnsi="Arial" w:cs="Arial"/>
          <w:sz w:val="15"/>
          <w:szCs w:val="15"/>
          <w:lang w:val="de-DE"/>
        </w:rPr>
        <w:t xml:space="preserve">liegenden Annahmen oder Erwartungen als falsch herausstellen, können die Ergebnisse </w:t>
      </w:r>
      <w:proofErr w:type="spellStart"/>
      <w:r w:rsidR="00FE31BA" w:rsidRPr="00FE31BA">
        <w:rPr>
          <w:rFonts w:ascii="Arial" w:hAnsi="Arial" w:cs="Arial"/>
          <w:sz w:val="15"/>
          <w:szCs w:val="15"/>
          <w:lang w:val="de-DE"/>
        </w:rPr>
        <w:t>massgeblich</w:t>
      </w:r>
      <w:proofErr w:type="spellEnd"/>
      <w:r w:rsidR="00FE31BA"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in irgendeinem Rechtssystem. dormakaba®,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00FE31BA" w:rsidRPr="00FE31BA">
        <w:rPr>
          <w:rFonts w:ascii="Arial" w:hAnsi="Arial" w:cs="Arial"/>
          <w:sz w:val="15"/>
          <w:szCs w:val="15"/>
          <w:lang w:val="de-DE"/>
        </w:rPr>
        <w:t xml:space="preserve">Kaba®, DORMA®, </w:t>
      </w:r>
      <w:proofErr w:type="spellStart"/>
      <w:r w:rsidR="00FE31BA" w:rsidRPr="00FE31BA">
        <w:rPr>
          <w:rFonts w:ascii="Arial" w:hAnsi="Arial" w:cs="Arial"/>
          <w:sz w:val="15"/>
          <w:szCs w:val="15"/>
          <w:lang w:val="de-DE"/>
        </w:rPr>
        <w:t>Com</w:t>
      </w:r>
      <w:proofErr w:type="spellEnd"/>
      <w:r w:rsidR="00FE31BA" w:rsidRPr="00FE31BA">
        <w:rPr>
          <w:rFonts w:ascii="Arial" w:hAnsi="Arial" w:cs="Arial"/>
          <w:sz w:val="15"/>
          <w:szCs w:val="15"/>
          <w:lang w:val="de-DE"/>
        </w:rPr>
        <w:t xml:space="preserve">-ID®, </w:t>
      </w:r>
      <w:proofErr w:type="spellStart"/>
      <w:r w:rsidR="00FE31BA" w:rsidRPr="00FE31BA">
        <w:rPr>
          <w:rFonts w:ascii="Arial" w:hAnsi="Arial" w:cs="Arial"/>
          <w:sz w:val="15"/>
          <w:szCs w:val="15"/>
          <w:lang w:val="de-DE"/>
        </w:rPr>
        <w:t>Ilco</w:t>
      </w:r>
      <w:proofErr w:type="spellEnd"/>
      <w:r w:rsidR="00FE31BA" w:rsidRPr="00FE31BA">
        <w:rPr>
          <w:rFonts w:ascii="Arial" w:hAnsi="Arial" w:cs="Arial"/>
          <w:sz w:val="15"/>
          <w:szCs w:val="15"/>
          <w:lang w:val="de-DE"/>
        </w:rPr>
        <w:t xml:space="preserve">®, La Gard®, LEGIC®, SAFLOK®, </w:t>
      </w:r>
      <w:proofErr w:type="spellStart"/>
      <w:r w:rsidR="00FE31BA" w:rsidRPr="00FE31BA">
        <w:rPr>
          <w:rFonts w:ascii="Arial" w:hAnsi="Arial" w:cs="Arial"/>
          <w:sz w:val="15"/>
          <w:szCs w:val="15"/>
          <w:lang w:val="de-DE"/>
        </w:rPr>
        <w:t>Silca</w:t>
      </w:r>
      <w:proofErr w:type="spellEnd"/>
      <w:r w:rsidR="00FE31BA"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6539" w14:textId="77777777" w:rsidR="005840D8" w:rsidRDefault="005840D8" w:rsidP="00E207FD">
      <w:pPr>
        <w:spacing w:line="240" w:lineRule="auto"/>
      </w:pPr>
      <w:r>
        <w:separator/>
      </w:r>
    </w:p>
  </w:endnote>
  <w:endnote w:type="continuationSeparator" w:id="0">
    <w:p w14:paraId="752F519F" w14:textId="77777777" w:rsidR="005840D8" w:rsidRDefault="005840D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D785" w14:textId="77777777" w:rsidR="005840D8" w:rsidRDefault="005840D8" w:rsidP="00E207FD">
      <w:pPr>
        <w:spacing w:line="240" w:lineRule="auto"/>
      </w:pPr>
      <w:r>
        <w:separator/>
      </w:r>
    </w:p>
  </w:footnote>
  <w:footnote w:type="continuationSeparator" w:id="0">
    <w:p w14:paraId="61868564" w14:textId="77777777" w:rsidR="005840D8" w:rsidRDefault="005840D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AECF" w14:textId="77777777" w:rsidR="00265EAD" w:rsidRPr="00265EAD"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265EAD" w14:paraId="5D9AB0DE" w14:textId="77777777" w:rsidTr="00FB5C11">
      <w:tc>
        <w:tcPr>
          <w:tcW w:w="3544" w:type="dxa"/>
        </w:tcPr>
        <w:p w14:paraId="6790688A" w14:textId="2F4D9E46" w:rsidR="00265EAD" w:rsidRDefault="00265EAD">
          <w:pPr>
            <w:pStyle w:val="Kopfzeile"/>
          </w:pPr>
        </w:p>
      </w:tc>
      <w:tc>
        <w:tcPr>
          <w:tcW w:w="1276" w:type="dxa"/>
        </w:tcPr>
        <w:p w14:paraId="2A076C85" w14:textId="77777777" w:rsidR="00265EAD" w:rsidRDefault="00265EAD" w:rsidP="00773DE1">
          <w:pPr>
            <w:pStyle w:val="Kopfzeile"/>
            <w:jc w:val="right"/>
          </w:pPr>
        </w:p>
      </w:tc>
      <w:tc>
        <w:tcPr>
          <w:tcW w:w="1171" w:type="dxa"/>
        </w:tcPr>
        <w:p w14:paraId="79DB03DA" w14:textId="77777777" w:rsidR="00265EAD" w:rsidRDefault="00265EAD" w:rsidP="00773DE1">
          <w:pPr>
            <w:pStyle w:val="Kopfzeile"/>
            <w:jc w:val="right"/>
          </w:pPr>
        </w:p>
      </w:tc>
      <w:sdt>
        <w:sdtPr>
          <w:alias w:val="Logo"/>
          <w:tag w:val="Logo"/>
          <w:id w:val="-441836188"/>
          <w:lock w:val="sdtLocked"/>
          <w:docPartList>
            <w:docPartGallery w:val="Custom AutoText"/>
            <w:docPartCategory w:val="Logo"/>
          </w:docPartList>
        </w:sdtPr>
        <w:sdtEndPr/>
        <w:sdtContent>
          <w:tc>
            <w:tcPr>
              <w:tcW w:w="3302" w:type="dxa"/>
            </w:tcPr>
            <w:p w14:paraId="622FC4B8" w14:textId="77777777" w:rsidR="00265EAD" w:rsidRDefault="00265EAD" w:rsidP="00C05C5B">
              <w:pPr>
                <w:pStyle w:val="Kopfzeile"/>
                <w:jc w:val="right"/>
              </w:pPr>
              <w:r>
                <w:rPr>
                  <w:noProof/>
                  <w:lang w:val="de-DE" w:eastAsia="de-DE"/>
                </w:rPr>
                <w:drawing>
                  <wp:inline distT="0" distB="0" distL="0" distR="0" wp14:anchorId="55D841A9" wp14:editId="645BC2D0">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1B6B1737" w14:textId="77777777" w:rsidR="00444E52" w:rsidRPr="009A410B" w:rsidRDefault="00444E52" w:rsidP="00444E52">
    <w:pPr>
      <w:pStyle w:val="Headertextsmall"/>
      <w:rPr>
        <w:lang w:val="de-DE"/>
      </w:rPr>
    </w:pPr>
    <w:r>
      <w:rPr>
        <w:lang w:val="de-DE"/>
      </w:rPr>
      <w:t xml:space="preserve">Virtuelle Innovationstage von dormakaba  </w:t>
    </w:r>
    <w:r w:rsidRPr="00E57EF8">
      <w:rPr>
        <w:lang w:val="de-DE"/>
      </w:rPr>
      <w:t xml:space="preserve"> </w:t>
    </w:r>
  </w:p>
  <w:p w14:paraId="7EE11E0B" w14:textId="1876CCD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7C5A2780" w:rsidR="001360F2" w:rsidRPr="009A410B" w:rsidRDefault="0093765C" w:rsidP="0032694F">
    <w:pPr>
      <w:pStyle w:val="Headertextsmall"/>
      <w:rPr>
        <w:lang w:val="de-DE"/>
      </w:rPr>
    </w:pPr>
    <w:r>
      <w:rPr>
        <w:lang w:val="de-DE"/>
      </w:rPr>
      <w:t xml:space="preserve">Virtuelle Innovationstage von dormakaba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45178"/>
    <w:rsid w:val="001549BF"/>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34E1C"/>
    <w:rsid w:val="00236A34"/>
    <w:rsid w:val="00236FBA"/>
    <w:rsid w:val="00245C85"/>
    <w:rsid w:val="0025653A"/>
    <w:rsid w:val="00256986"/>
    <w:rsid w:val="00261312"/>
    <w:rsid w:val="00265514"/>
    <w:rsid w:val="00265EAD"/>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44E52"/>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1FAB"/>
    <w:rsid w:val="00583B60"/>
    <w:rsid w:val="00584017"/>
    <w:rsid w:val="005840D8"/>
    <w:rsid w:val="0058429A"/>
    <w:rsid w:val="00587560"/>
    <w:rsid w:val="00593430"/>
    <w:rsid w:val="005A4970"/>
    <w:rsid w:val="005A56EF"/>
    <w:rsid w:val="005B7BD1"/>
    <w:rsid w:val="005C6157"/>
    <w:rsid w:val="005E2D19"/>
    <w:rsid w:val="005F6ADB"/>
    <w:rsid w:val="005F752A"/>
    <w:rsid w:val="006042C3"/>
    <w:rsid w:val="00605E80"/>
    <w:rsid w:val="006104DC"/>
    <w:rsid w:val="006242F3"/>
    <w:rsid w:val="00644A41"/>
    <w:rsid w:val="006505A0"/>
    <w:rsid w:val="00662323"/>
    <w:rsid w:val="00663EC1"/>
    <w:rsid w:val="0067070E"/>
    <w:rsid w:val="00677B81"/>
    <w:rsid w:val="0068214D"/>
    <w:rsid w:val="00684DD5"/>
    <w:rsid w:val="00697182"/>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780F"/>
    <w:rsid w:val="007D78EA"/>
    <w:rsid w:val="007E5F77"/>
    <w:rsid w:val="007F34A6"/>
    <w:rsid w:val="0080305B"/>
    <w:rsid w:val="008058C1"/>
    <w:rsid w:val="008075E9"/>
    <w:rsid w:val="00807A38"/>
    <w:rsid w:val="00812385"/>
    <w:rsid w:val="00816733"/>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3765C"/>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801D6"/>
    <w:rsid w:val="00BA0E4F"/>
    <w:rsid w:val="00BA3A4C"/>
    <w:rsid w:val="00BA4D47"/>
    <w:rsid w:val="00BB06F3"/>
    <w:rsid w:val="00BB10DA"/>
    <w:rsid w:val="00BC147F"/>
    <w:rsid w:val="00BD5FFA"/>
    <w:rsid w:val="00BF023E"/>
    <w:rsid w:val="00BF165E"/>
    <w:rsid w:val="00C05C5B"/>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C456E"/>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5EAD"/>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884</Words>
  <Characters>5575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2021-04-27T07:14:00Z</dcterms:created>
  <dcterms:modified xsi:type="dcterms:W3CDTF">2021-04-27T07:14:00Z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