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728" w14:textId="489E17B2" w:rsidR="00CA79D7" w:rsidRPr="006456EA" w:rsidRDefault="003844CD" w:rsidP="00CA79D7">
      <w:pPr>
        <w:pStyle w:val="EinfAbs"/>
        <w:tabs>
          <w:tab w:val="left" w:pos="200"/>
        </w:tabs>
        <w:rPr>
          <w:rFonts w:ascii="Source Sans Pro" w:hAnsi="Source Sans Pro" w:cs="Source Sans Pro"/>
          <w:caps/>
          <w:color w:val="0086A8"/>
          <w:sz w:val="22"/>
          <w:szCs w:val="22"/>
        </w:rPr>
      </w:pPr>
      <w:r>
        <w:rPr>
          <w:rFonts w:ascii="Source Sans Pro" w:hAnsi="Source Sans Pro" w:cs="Source Sans Pro"/>
          <w:color w:val="0086A8"/>
          <w:sz w:val="22"/>
          <w:szCs w:val="22"/>
        </w:rPr>
        <w:t xml:space="preserve">TOP-7-INDUSTRIE- UND LOGISTIKMÄRKTE </w:t>
      </w:r>
      <w:r w:rsidRPr="006456EA">
        <w:rPr>
          <w:rFonts w:ascii="Source Sans Pro" w:hAnsi="Source Sans Pro" w:cs="Source Sans Pro"/>
          <w:color w:val="0086A8"/>
          <w:sz w:val="22"/>
          <w:szCs w:val="22"/>
        </w:rPr>
        <w:t xml:space="preserve"> </w:t>
      </w:r>
    </w:p>
    <w:p w14:paraId="54694774" w14:textId="22EEE3C7" w:rsidR="00B9185E" w:rsidRDefault="00EE5032" w:rsidP="00864461">
      <w:pPr>
        <w:overflowPunct/>
        <w:autoSpaceDE/>
        <w:autoSpaceDN/>
        <w:adjustRightInd/>
        <w:jc w:val="both"/>
        <w:textAlignment w:val="top"/>
        <w:rPr>
          <w:rFonts w:ascii="Source Sans Pro" w:hAnsi="Source Sans Pro" w:cs="Source Sans Pro"/>
          <w:noProof/>
          <w:sz w:val="34"/>
          <w:szCs w:val="34"/>
        </w:rPr>
      </w:pPr>
      <w:r w:rsidRPr="00EE5032">
        <w:rPr>
          <w:rFonts w:ascii="Source Sans Pro" w:hAnsi="Source Sans Pro" w:cs="Source Sans Pro"/>
          <w:noProof/>
          <w:sz w:val="34"/>
          <w:szCs w:val="34"/>
        </w:rPr>
        <w:t>Vermietungsmarkt legt zu, Transaktionsvolumen rückläufig</w:t>
      </w:r>
    </w:p>
    <w:p w14:paraId="00983667" w14:textId="6A6BC59D" w:rsidR="008768ED" w:rsidRPr="008768ED" w:rsidRDefault="008768ED" w:rsidP="00864461">
      <w:pPr>
        <w:overflowPunct/>
        <w:autoSpaceDE/>
        <w:autoSpaceDN/>
        <w:adjustRightInd/>
        <w:jc w:val="both"/>
        <w:textAlignment w:val="top"/>
        <w:rPr>
          <w:rFonts w:ascii="Source Sans Pro" w:hAnsi="Source Sans Pro" w:cs="Source Sans Pro"/>
          <w:noProof/>
          <w:sz w:val="34"/>
          <w:szCs w:val="34"/>
        </w:rPr>
      </w:pPr>
      <w:r>
        <w:rPr>
          <w:noProof/>
        </w:rPr>
        <w:drawing>
          <wp:inline distT="0" distB="0" distL="0" distR="0" wp14:anchorId="59C0A833" wp14:editId="41A520BC">
            <wp:extent cx="3219450" cy="3219450"/>
            <wp:effectExtent l="0" t="0" r="0" b="0"/>
            <wp:docPr id="524760408" name="Grafik 1" descr="Ein Bild, das Text, Screenshot, Schrift, Aufdru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60408" name="Grafik 1" descr="Ein Bild, das Text, Screenshot, Schrift, Aufdruck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inline>
        </w:drawing>
      </w:r>
    </w:p>
    <w:p w14:paraId="08E1DBE4" w14:textId="77777777" w:rsidR="00EE5032" w:rsidRDefault="00EE5032" w:rsidP="00917335">
      <w:pPr>
        <w:pStyle w:val="EinfAbs"/>
        <w:tabs>
          <w:tab w:val="left" w:pos="200"/>
        </w:tabs>
        <w:snapToGrid w:val="0"/>
        <w:spacing w:line="280" w:lineRule="exact"/>
        <w:jc w:val="both"/>
        <w:rPr>
          <w:rFonts w:ascii="Source Sans Pro" w:hAnsi="Source Sans Pro" w:cs="Source Sans Pro"/>
          <w:color w:val="0087A8"/>
          <w:sz w:val="22"/>
          <w:szCs w:val="22"/>
        </w:rPr>
      </w:pPr>
    </w:p>
    <w:p w14:paraId="4858AAB8" w14:textId="6D99FC3B" w:rsidR="00917335" w:rsidRDefault="00983219" w:rsidP="00917335">
      <w:pPr>
        <w:pStyle w:val="EinfAbs"/>
        <w:tabs>
          <w:tab w:val="left" w:pos="200"/>
        </w:tabs>
        <w:snapToGrid w:val="0"/>
        <w:spacing w:line="280" w:lineRule="exact"/>
        <w:jc w:val="both"/>
        <w:rPr>
          <w:rFonts w:ascii="Source Sans Pro" w:hAnsi="Source Sans Pro" w:cs="Arial"/>
          <w:sz w:val="22"/>
        </w:rPr>
      </w:pPr>
      <w:r w:rsidRPr="0032364B">
        <w:rPr>
          <w:rFonts w:ascii="Source Sans Pro" w:hAnsi="Source Sans Pro" w:cs="Source Sans Pro"/>
          <w:color w:val="0087A8"/>
          <w:sz w:val="22"/>
          <w:szCs w:val="22"/>
        </w:rPr>
        <w:t>18</w:t>
      </w:r>
      <w:r w:rsidR="006C7D7B" w:rsidRPr="0032364B">
        <w:rPr>
          <w:rFonts w:ascii="Source Sans Pro" w:hAnsi="Source Sans Pro" w:cs="Source Sans Pro"/>
          <w:color w:val="0087A8"/>
          <w:sz w:val="22"/>
          <w:szCs w:val="22"/>
        </w:rPr>
        <w:t>.</w:t>
      </w:r>
      <w:r w:rsidR="006C7D7B" w:rsidRPr="006456EA">
        <w:rPr>
          <w:rFonts w:ascii="Source Sans Pro" w:hAnsi="Source Sans Pro" w:cs="Source Sans Pro"/>
          <w:color w:val="0087A8"/>
          <w:sz w:val="22"/>
          <w:szCs w:val="22"/>
        </w:rPr>
        <w:t xml:space="preserve"> </w:t>
      </w:r>
      <w:r w:rsidR="006C7D7B">
        <w:rPr>
          <w:rFonts w:ascii="Source Sans Pro" w:hAnsi="Source Sans Pro" w:cs="Source Sans Pro"/>
          <w:color w:val="0087A8"/>
          <w:sz w:val="22"/>
          <w:szCs w:val="22"/>
        </w:rPr>
        <w:t>Februar</w:t>
      </w:r>
      <w:r w:rsidR="006C7D7B" w:rsidRPr="006456EA">
        <w:rPr>
          <w:rFonts w:ascii="Source Sans Pro" w:hAnsi="Source Sans Pro" w:cs="Source Sans Pro"/>
          <w:color w:val="0087A8"/>
          <w:sz w:val="22"/>
          <w:szCs w:val="22"/>
        </w:rPr>
        <w:t xml:space="preserve"> 202</w:t>
      </w:r>
      <w:r w:rsidR="00AD30C3">
        <w:rPr>
          <w:rFonts w:ascii="Source Sans Pro" w:hAnsi="Source Sans Pro" w:cs="Source Sans Pro"/>
          <w:color w:val="0087A8"/>
          <w:sz w:val="22"/>
          <w:szCs w:val="22"/>
        </w:rPr>
        <w:t>6</w:t>
      </w:r>
      <w:r w:rsidR="006C7D7B" w:rsidRPr="006456EA">
        <w:rPr>
          <w:rFonts w:ascii="Source Sans Pro" w:hAnsi="Source Sans Pro" w:cs="Source Sans Pro"/>
          <w:color w:val="0087A8"/>
          <w:sz w:val="22"/>
          <w:szCs w:val="22"/>
        </w:rPr>
        <w:t>, Hamburg.</w:t>
      </w:r>
      <w:r w:rsidR="00911150">
        <w:rPr>
          <w:rFonts w:ascii="Source Sans Pro" w:hAnsi="Source Sans Pro" w:cs="Source Sans Pro"/>
          <w:color w:val="0086A8"/>
          <w:sz w:val="22"/>
          <w:szCs w:val="22"/>
        </w:rPr>
        <w:t xml:space="preserve"> </w:t>
      </w:r>
      <w:r w:rsidR="00EA6160" w:rsidRPr="00EA6160">
        <w:rPr>
          <w:rFonts w:ascii="Source Sans Pro" w:hAnsi="Source Sans Pro" w:cs="Arial"/>
          <w:sz w:val="22"/>
        </w:rPr>
        <w:t>Der Markt für Industrie- und Logistikimmobilien an den deutschen Top-7-Standorten entwickelte sich 2025 zweigeteilt</w:t>
      </w:r>
      <w:r w:rsidR="00EA6160">
        <w:rPr>
          <w:rFonts w:ascii="Source Sans Pro" w:hAnsi="Source Sans Pro" w:cs="Arial"/>
          <w:sz w:val="22"/>
        </w:rPr>
        <w:t>:</w:t>
      </w:r>
      <w:r w:rsidR="00EA6160" w:rsidRPr="00EA6160">
        <w:rPr>
          <w:rFonts w:ascii="Source Sans Pro" w:hAnsi="Source Sans Pro" w:cs="Arial"/>
          <w:sz w:val="22"/>
        </w:rPr>
        <w:t xml:space="preserve"> Während der Vermietungsmarkt leicht zulegen konnte und der Flächenumsatz um 6,75 % auf rund 2,11 Mio. m² stieg, ging das Transaktionsvolumen im Investmentmarkt um rund 14 % auf 1,81 Mrd. € zurück. Ausschlaggebend hierfür war vor allem ein begrenztes Produktangebot, während das grundsätzliche Investoreninteresse hoch blieb.</w:t>
      </w:r>
    </w:p>
    <w:p w14:paraId="105104C0" w14:textId="77777777" w:rsidR="00EA6160" w:rsidRPr="00917335" w:rsidRDefault="00EA6160" w:rsidP="00917335">
      <w:pPr>
        <w:pStyle w:val="EinfAbs"/>
        <w:tabs>
          <w:tab w:val="left" w:pos="200"/>
        </w:tabs>
        <w:snapToGrid w:val="0"/>
        <w:spacing w:line="280" w:lineRule="exact"/>
        <w:jc w:val="both"/>
        <w:rPr>
          <w:rFonts w:ascii="Source Sans Pro" w:hAnsi="Source Sans Pro" w:cs="Arial"/>
          <w:sz w:val="22"/>
        </w:rPr>
      </w:pPr>
    </w:p>
    <w:p w14:paraId="7CA25D8D" w14:textId="1F09AE36" w:rsidR="006C7D7B" w:rsidRDefault="00917335" w:rsidP="00917335">
      <w:pPr>
        <w:pStyle w:val="EinfAbs"/>
        <w:tabs>
          <w:tab w:val="left" w:pos="200"/>
        </w:tabs>
        <w:snapToGrid w:val="0"/>
        <w:spacing w:line="280" w:lineRule="exact"/>
        <w:jc w:val="both"/>
        <w:rPr>
          <w:rFonts w:ascii="Source Sans Pro" w:hAnsi="Source Sans Pro" w:cs="Arial"/>
          <w:sz w:val="22"/>
        </w:rPr>
      </w:pPr>
      <w:r w:rsidRPr="00917335">
        <w:rPr>
          <w:rFonts w:ascii="Source Sans Pro" w:hAnsi="Source Sans Pro" w:cs="Arial"/>
          <w:i/>
          <w:iCs/>
          <w:sz w:val="22"/>
        </w:rPr>
        <w:t xml:space="preserve">„Die Logistikmärkte zeigen sich trotz konjunktureller Unsicherheiten insgesamt widerstandsfähig. Während sich </w:t>
      </w:r>
      <w:r w:rsidR="00E528E6">
        <w:rPr>
          <w:rFonts w:ascii="Source Sans Pro" w:hAnsi="Source Sans Pro" w:cs="Arial"/>
          <w:i/>
          <w:iCs/>
          <w:sz w:val="22"/>
        </w:rPr>
        <w:t>fünf der sieben Vermietungsmärkte</w:t>
      </w:r>
      <w:r w:rsidRPr="00917335">
        <w:rPr>
          <w:rFonts w:ascii="Source Sans Pro" w:hAnsi="Source Sans Pro" w:cs="Arial"/>
          <w:i/>
          <w:iCs/>
          <w:sz w:val="22"/>
        </w:rPr>
        <w:t xml:space="preserve"> leicht erholen konnte</w:t>
      </w:r>
      <w:r w:rsidR="00E528E6">
        <w:rPr>
          <w:rFonts w:ascii="Source Sans Pro" w:hAnsi="Source Sans Pro" w:cs="Arial"/>
          <w:i/>
          <w:iCs/>
          <w:sz w:val="22"/>
        </w:rPr>
        <w:t>n</w:t>
      </w:r>
      <w:r w:rsidRPr="00917335">
        <w:rPr>
          <w:rFonts w:ascii="Source Sans Pro" w:hAnsi="Source Sans Pro" w:cs="Arial"/>
          <w:i/>
          <w:iCs/>
          <w:sz w:val="22"/>
        </w:rPr>
        <w:t>, blieb das Investmentgeschehen stark angebotsgetrieben“</w:t>
      </w:r>
      <w:r w:rsidRPr="00917335">
        <w:rPr>
          <w:rFonts w:ascii="Source Sans Pro" w:hAnsi="Source Sans Pro" w:cs="Arial"/>
          <w:sz w:val="22"/>
        </w:rPr>
        <w:t xml:space="preserve">, ordnet </w:t>
      </w:r>
      <w:r w:rsidRPr="00F46EEF">
        <w:rPr>
          <w:rFonts w:ascii="Source Sans Pro" w:hAnsi="Source Sans Pro" w:cs="Arial"/>
          <w:b/>
          <w:bCs/>
          <w:sz w:val="22"/>
        </w:rPr>
        <w:t>Markus Müller</w:t>
      </w:r>
      <w:r w:rsidRPr="00917335">
        <w:rPr>
          <w:rFonts w:ascii="Source Sans Pro" w:hAnsi="Source Sans Pro" w:cs="Arial"/>
          <w:sz w:val="22"/>
        </w:rPr>
        <w:t xml:space="preserve">, Sprecher des Gewerbeimmobiliennetzwerks German Property Partners (GPP), ein. Zum Netzwerk gehören Grossmann &amp; Berger Immobilien, </w:t>
      </w:r>
      <w:proofErr w:type="spellStart"/>
      <w:r w:rsidRPr="00917335">
        <w:rPr>
          <w:rFonts w:ascii="Source Sans Pro" w:hAnsi="Source Sans Pro" w:cs="Arial"/>
          <w:sz w:val="22"/>
        </w:rPr>
        <w:t>Anteon</w:t>
      </w:r>
      <w:proofErr w:type="spellEnd"/>
      <w:r w:rsidRPr="00917335">
        <w:rPr>
          <w:rFonts w:ascii="Source Sans Pro" w:hAnsi="Source Sans Pro" w:cs="Arial"/>
          <w:sz w:val="22"/>
        </w:rPr>
        <w:t xml:space="preserve"> Immobilien, GREIF &amp; CONTZEN Immobilien, </w:t>
      </w:r>
      <w:proofErr w:type="spellStart"/>
      <w:r w:rsidRPr="00917335">
        <w:rPr>
          <w:rFonts w:ascii="Source Sans Pro" w:hAnsi="Source Sans Pro" w:cs="Arial"/>
          <w:sz w:val="22"/>
        </w:rPr>
        <w:t>blackolive</w:t>
      </w:r>
      <w:proofErr w:type="spellEnd"/>
      <w:r w:rsidRPr="00917335">
        <w:rPr>
          <w:rFonts w:ascii="Source Sans Pro" w:hAnsi="Source Sans Pro" w:cs="Arial"/>
          <w:sz w:val="22"/>
        </w:rPr>
        <w:t xml:space="preserve"> und E &amp; G Immobilien.</w:t>
      </w:r>
    </w:p>
    <w:p w14:paraId="0BF0B8F8" w14:textId="77777777" w:rsidR="00917335" w:rsidRDefault="00917335" w:rsidP="00917335">
      <w:pPr>
        <w:pStyle w:val="EinfAbs"/>
        <w:tabs>
          <w:tab w:val="left" w:pos="200"/>
        </w:tabs>
        <w:snapToGrid w:val="0"/>
        <w:spacing w:line="280" w:lineRule="exact"/>
        <w:jc w:val="both"/>
        <w:rPr>
          <w:rFonts w:ascii="Source Sans Pro" w:hAnsi="Source Sans Pro" w:cs="Arial"/>
          <w:sz w:val="22"/>
        </w:rPr>
      </w:pPr>
    </w:p>
    <w:p w14:paraId="50FBE64F" w14:textId="42F1E3C1" w:rsidR="003333A7" w:rsidRPr="00C50091" w:rsidRDefault="00917335" w:rsidP="00C50091">
      <w:pPr>
        <w:pStyle w:val="EinfAbs"/>
        <w:tabs>
          <w:tab w:val="left" w:pos="200"/>
        </w:tabs>
        <w:snapToGrid w:val="0"/>
        <w:spacing w:line="280" w:lineRule="exact"/>
        <w:jc w:val="both"/>
        <w:rPr>
          <w:rFonts w:ascii="Source Sans Pro" w:hAnsi="Source Sans Pro" w:cs="Source Sans Pro"/>
          <w:caps/>
          <w:color w:val="0086A8"/>
          <w:sz w:val="22"/>
          <w:szCs w:val="22"/>
        </w:rPr>
      </w:pPr>
      <w:r w:rsidRPr="00917335">
        <w:rPr>
          <w:rFonts w:ascii="Source Sans Pro" w:hAnsi="Source Sans Pro" w:cs="Source Sans Pro"/>
          <w:color w:val="0086A8"/>
          <w:sz w:val="22"/>
          <w:szCs w:val="22"/>
        </w:rPr>
        <w:t>VERMIETUNGSMARKT: LEICHTER ANSTIEG DES FLÄCHENUMSATZES</w:t>
      </w:r>
      <w:r w:rsidR="00681CAC">
        <w:rPr>
          <w:rFonts w:ascii="Source Sans Pro" w:hAnsi="Source Sans Pro" w:cs="Source Sans Pro"/>
          <w:color w:val="0086A8"/>
          <w:sz w:val="22"/>
          <w:szCs w:val="22"/>
        </w:rPr>
        <w:t xml:space="preserve"> </w:t>
      </w:r>
    </w:p>
    <w:p w14:paraId="589E134C" w14:textId="6218283B" w:rsidR="00917335" w:rsidRDefault="00BB2479" w:rsidP="00917335">
      <w:pPr>
        <w:pStyle w:val="EinfAbs"/>
        <w:tabs>
          <w:tab w:val="left" w:pos="200"/>
        </w:tabs>
        <w:snapToGrid w:val="0"/>
        <w:spacing w:line="280" w:lineRule="exact"/>
        <w:jc w:val="both"/>
        <w:rPr>
          <w:rFonts w:ascii="Source Sans Pro" w:hAnsi="Source Sans Pro" w:cs="Arial"/>
          <w:sz w:val="22"/>
        </w:rPr>
      </w:pPr>
      <w:r w:rsidRPr="00BB2479">
        <w:rPr>
          <w:rFonts w:ascii="Source Sans Pro" w:hAnsi="Source Sans Pro" w:cs="Arial"/>
          <w:sz w:val="22"/>
        </w:rPr>
        <w:t xml:space="preserve">Ungeachtet der schwachen Konjunktur verzeichneten die Top-7-Logistikregionen 2025 insgesamt einen leicht steigenden Flächenumsatz. Rückgänge in einzelnen Märkten konnten durch Zuwächse in anderen Regionen überkompensiert werden. Besonders Berlin erzielte einen kräftigen Anstieg um </w:t>
      </w:r>
      <w:r w:rsidR="00E528E6">
        <w:rPr>
          <w:rFonts w:ascii="Source Sans Pro" w:hAnsi="Source Sans Pro" w:cs="Arial"/>
          <w:sz w:val="22"/>
        </w:rPr>
        <w:t xml:space="preserve">       </w:t>
      </w:r>
      <w:r w:rsidRPr="00BB2479">
        <w:rPr>
          <w:rFonts w:ascii="Source Sans Pro" w:hAnsi="Source Sans Pro" w:cs="Arial"/>
          <w:sz w:val="22"/>
        </w:rPr>
        <w:t xml:space="preserve">42 % auf 404.000 m². Auch Hamburg legte deutlich zu und erreichte mit einem Plus von 26 % einen Flächenumsatz von 315.000 m². In den Märkten München, Düsseldorf und Frankfurt nahm der Flächenumsatz jeweils leicht </w:t>
      </w:r>
      <w:r>
        <w:rPr>
          <w:rFonts w:ascii="Source Sans Pro" w:hAnsi="Source Sans Pro" w:cs="Arial"/>
          <w:sz w:val="22"/>
        </w:rPr>
        <w:t>(</w:t>
      </w:r>
      <w:r w:rsidRPr="00BB2479">
        <w:rPr>
          <w:rFonts w:ascii="Source Sans Pro" w:hAnsi="Source Sans Pro" w:cs="Arial"/>
          <w:sz w:val="22"/>
        </w:rPr>
        <w:t>um 2 % bis 4 %</w:t>
      </w:r>
      <w:r>
        <w:rPr>
          <w:rFonts w:ascii="Source Sans Pro" w:hAnsi="Source Sans Pro" w:cs="Arial"/>
          <w:sz w:val="22"/>
        </w:rPr>
        <w:t>)</w:t>
      </w:r>
      <w:r w:rsidRPr="00BB2479">
        <w:rPr>
          <w:rFonts w:ascii="Source Sans Pro" w:hAnsi="Source Sans Pro" w:cs="Arial"/>
          <w:sz w:val="22"/>
        </w:rPr>
        <w:t xml:space="preserve"> zu. Demgegenüber ging der Flächenumsatz in Köln um 14 % auf 325.000 m² sowie in Stuttgart um 15 % auf 106.200 m² zurück. Insgesamt wirkte die anhaltende wirtschaftliche Unsicherheit weiterhin dämpfend auf die Flächennachfrage.</w:t>
      </w:r>
      <w:r>
        <w:rPr>
          <w:rFonts w:ascii="Source Sans Pro" w:hAnsi="Source Sans Pro" w:cs="Arial"/>
          <w:sz w:val="22"/>
        </w:rPr>
        <w:br/>
      </w:r>
      <w:r>
        <w:rPr>
          <w:rFonts w:ascii="Source Sans Pro" w:hAnsi="Source Sans Pro" w:cs="Arial"/>
          <w:sz w:val="22"/>
        </w:rPr>
        <w:br/>
      </w:r>
    </w:p>
    <w:p w14:paraId="4F17040B" w14:textId="77777777" w:rsidR="001F740C" w:rsidRPr="00917335" w:rsidRDefault="001F740C" w:rsidP="00917335">
      <w:pPr>
        <w:pStyle w:val="EinfAbs"/>
        <w:tabs>
          <w:tab w:val="left" w:pos="200"/>
        </w:tabs>
        <w:snapToGrid w:val="0"/>
        <w:spacing w:line="280" w:lineRule="exact"/>
        <w:jc w:val="both"/>
        <w:rPr>
          <w:rFonts w:ascii="Source Sans Pro" w:hAnsi="Source Sans Pro" w:cs="Arial"/>
          <w:sz w:val="22"/>
        </w:rPr>
      </w:pPr>
    </w:p>
    <w:p w14:paraId="5878B92B" w14:textId="4208E8B0" w:rsidR="00917335" w:rsidRDefault="00917335" w:rsidP="00237082">
      <w:pPr>
        <w:pStyle w:val="EinfAbs"/>
        <w:tabs>
          <w:tab w:val="left" w:pos="200"/>
        </w:tabs>
        <w:snapToGrid w:val="0"/>
        <w:spacing w:line="280" w:lineRule="exact"/>
        <w:jc w:val="both"/>
        <w:rPr>
          <w:rFonts w:ascii="Source Sans Pro" w:hAnsi="Source Sans Pro" w:cs="Arial"/>
          <w:sz w:val="22"/>
        </w:rPr>
      </w:pPr>
      <w:r w:rsidRPr="00917335">
        <w:rPr>
          <w:rFonts w:ascii="Source Sans Pro" w:hAnsi="Source Sans Pro" w:cs="Arial"/>
          <w:sz w:val="22"/>
        </w:rPr>
        <w:t xml:space="preserve">Auffällig war die starke Nachfrage seitens Handelsunternehmen, die ihre Flächenabnahmen ausweiteten und in Berlin, Düsseldorf, Köln und München Marktanteile zwischen 41 % und 55 % erreichten. </w:t>
      </w:r>
      <w:r w:rsidR="002815C9">
        <w:rPr>
          <w:rFonts w:ascii="Source Sans Pro" w:hAnsi="Source Sans Pro" w:cs="Arial"/>
          <w:sz w:val="22"/>
        </w:rPr>
        <w:t>Die Entwicklung der Spitzenmieten hat nach den deutlichen Anstiegen der Jahre 2022 und 2023 ab 2024 an Dynamik verloren</w:t>
      </w:r>
      <w:r w:rsidR="00597FFD" w:rsidRPr="00597FFD">
        <w:rPr>
          <w:rFonts w:ascii="Source Sans Pro" w:hAnsi="Source Sans Pro" w:cs="Arial"/>
          <w:sz w:val="22"/>
        </w:rPr>
        <w:t xml:space="preserve">. </w:t>
      </w:r>
      <w:r w:rsidR="002815C9">
        <w:rPr>
          <w:rFonts w:ascii="Source Sans Pro" w:hAnsi="Source Sans Pro" w:cs="Arial"/>
          <w:sz w:val="22"/>
        </w:rPr>
        <w:t>2025 stagnierte i</w:t>
      </w:r>
      <w:r w:rsidR="00597FFD" w:rsidRPr="00597FFD">
        <w:rPr>
          <w:rFonts w:ascii="Source Sans Pro" w:hAnsi="Source Sans Pro" w:cs="Arial"/>
          <w:sz w:val="22"/>
        </w:rPr>
        <w:t>n den meisten Top-7-Regionen das Mietniveau oder legte nur noch moderat zu. Lediglich in Düsseldorf stieg die Spitzenmiete nochmals spürbar an (um etwa 16 % auf 9,20 €/m²/Monat).</w:t>
      </w:r>
    </w:p>
    <w:p w14:paraId="5D0AF3FF" w14:textId="77777777" w:rsidR="00597FFD" w:rsidRDefault="00597FFD" w:rsidP="00237082">
      <w:pPr>
        <w:pStyle w:val="EinfAbs"/>
        <w:tabs>
          <w:tab w:val="left" w:pos="200"/>
        </w:tabs>
        <w:snapToGrid w:val="0"/>
        <w:spacing w:line="280" w:lineRule="exact"/>
        <w:jc w:val="both"/>
        <w:rPr>
          <w:rFonts w:ascii="Source Sans Pro" w:hAnsi="Source Sans Pro" w:cs="Arial"/>
          <w:sz w:val="22"/>
        </w:rPr>
      </w:pPr>
    </w:p>
    <w:p w14:paraId="75274C8D" w14:textId="3E9B3A14" w:rsidR="00917335" w:rsidRDefault="00AA510F" w:rsidP="000F6770">
      <w:pPr>
        <w:shd w:val="clear" w:color="auto" w:fill="FFFFFF"/>
        <w:overflowPunct/>
        <w:autoSpaceDE/>
        <w:autoSpaceDN/>
        <w:adjustRightInd/>
        <w:textAlignment w:val="top"/>
        <w:rPr>
          <w:rFonts w:ascii="Source Sans Pro" w:hAnsi="Source Sans Pro" w:cs="Source Sans Pro"/>
          <w:i/>
          <w:iCs/>
          <w:color w:val="0086A8"/>
          <w:sz w:val="22"/>
          <w:szCs w:val="22"/>
        </w:rPr>
      </w:pPr>
      <w:r>
        <w:rPr>
          <w:rFonts w:ascii="Source Sans Pro" w:hAnsi="Source Sans Pro" w:cs="Source Sans Pro"/>
          <w:color w:val="0086A8"/>
          <w:sz w:val="22"/>
          <w:szCs w:val="22"/>
        </w:rPr>
        <w:t>TRANSAKTIONSVOLUMEN RÜCKLÄUFIG – ANGEBOT</w:t>
      </w:r>
      <w:r w:rsidR="00A25950">
        <w:rPr>
          <w:rFonts w:ascii="Source Sans Pro" w:hAnsi="Source Sans Pro" w:cs="Source Sans Pro"/>
          <w:color w:val="0086A8"/>
          <w:sz w:val="22"/>
          <w:szCs w:val="22"/>
        </w:rPr>
        <w:t xml:space="preserve"> LIMITIERT DAS MARKTGESCHEHEN</w:t>
      </w:r>
      <w:r>
        <w:rPr>
          <w:rFonts w:ascii="Source Sans Pro" w:hAnsi="Source Sans Pro" w:cs="Source Sans Pro"/>
          <w:color w:val="0086A8"/>
          <w:sz w:val="22"/>
          <w:szCs w:val="22"/>
        </w:rPr>
        <w:t xml:space="preserve"> </w:t>
      </w:r>
      <w:r w:rsidR="00917335" w:rsidRPr="00917335">
        <w:rPr>
          <w:rFonts w:ascii="Source Sans Pro" w:hAnsi="Source Sans Pro" w:cs="Source Sans Pro"/>
          <w:i/>
          <w:iCs/>
          <w:color w:val="0086A8"/>
          <w:sz w:val="22"/>
          <w:szCs w:val="22"/>
        </w:rPr>
        <w:t xml:space="preserve"> </w:t>
      </w:r>
    </w:p>
    <w:p w14:paraId="7A9C0C1C" w14:textId="749553D6" w:rsidR="00A25950" w:rsidRPr="00A25950" w:rsidRDefault="00A25950" w:rsidP="007B78CD">
      <w:pPr>
        <w:shd w:val="clear" w:color="auto" w:fill="FFFFFF"/>
        <w:overflowPunct/>
        <w:autoSpaceDE/>
        <w:autoSpaceDN/>
        <w:adjustRightInd/>
        <w:jc w:val="both"/>
        <w:textAlignment w:val="auto"/>
        <w:rPr>
          <w:rFonts w:ascii="Source Sans Pro" w:hAnsi="Source Sans Pro" w:cs="Arial"/>
          <w:sz w:val="22"/>
        </w:rPr>
      </w:pPr>
      <w:r w:rsidRPr="00A25950">
        <w:rPr>
          <w:rFonts w:ascii="Source Sans Pro" w:hAnsi="Source Sans Pro" w:cs="Arial"/>
          <w:sz w:val="22"/>
        </w:rPr>
        <w:t>Obwohl sich zentrale Marktparameter wie Spitzenrenditen und Hypothekenzinsen 2025 weitgehend stabilisierten und das Investoreninteresse an Industrie- und Logistikimmobilien hoch blieb, sank das Transaktionsvolumen in den Top-7-Märkten um knapp 14 %. Ausschlaggebend hierfür war weniger eine nachlassende Nachfrage als vielmehr ein begrenztes Angebot an geeigneten Objekten</w:t>
      </w:r>
      <w:r w:rsidR="00385F87">
        <w:rPr>
          <w:rFonts w:ascii="Source Sans Pro" w:hAnsi="Source Sans Pro" w:cs="Arial"/>
          <w:sz w:val="22"/>
        </w:rPr>
        <w:t>.</w:t>
      </w:r>
    </w:p>
    <w:p w14:paraId="4F8992F2" w14:textId="77777777" w:rsidR="00A25950" w:rsidRPr="00A25950" w:rsidRDefault="00A25950" w:rsidP="00A25950">
      <w:pPr>
        <w:shd w:val="clear" w:color="auto" w:fill="FFFFFF"/>
        <w:overflowPunct/>
        <w:autoSpaceDE/>
        <w:autoSpaceDN/>
        <w:adjustRightInd/>
        <w:textAlignment w:val="auto"/>
        <w:rPr>
          <w:rFonts w:ascii="Source Sans Pro" w:hAnsi="Source Sans Pro" w:cs="Arial"/>
          <w:sz w:val="22"/>
        </w:rPr>
      </w:pPr>
    </w:p>
    <w:p w14:paraId="6BD722A8" w14:textId="77777777" w:rsidR="00A25950" w:rsidRPr="00A25950" w:rsidRDefault="00A25950" w:rsidP="007B78CD">
      <w:pPr>
        <w:shd w:val="clear" w:color="auto" w:fill="FFFFFF"/>
        <w:overflowPunct/>
        <w:autoSpaceDE/>
        <w:autoSpaceDN/>
        <w:adjustRightInd/>
        <w:jc w:val="both"/>
        <w:textAlignment w:val="auto"/>
        <w:rPr>
          <w:rFonts w:ascii="Source Sans Pro" w:hAnsi="Source Sans Pro" w:cs="Arial"/>
          <w:sz w:val="22"/>
        </w:rPr>
      </w:pPr>
      <w:r w:rsidRPr="00A25950">
        <w:rPr>
          <w:rFonts w:ascii="Source Sans Pro" w:hAnsi="Source Sans Pro" w:cs="Arial"/>
          <w:sz w:val="22"/>
        </w:rPr>
        <w:t>Gleichzeitig zeigte sich eine stark uneinheitliche Entwicklung zwischen den einzelnen Standorten. Die größten Rückgänge verzeichneten Hamburg mit einem Minus von 55 % auf 280 Mio. € sowie Köln mit –56 % auf 140 Mio. €; auch Düsseldorf lag mit –25 % auf 225 Mio. € deutlich unter dem Vorjahresniveau. Demgegenüber wurden in mehreren Märkten teils deutliche Zuwächse registriert. Besonders Stuttgart verzeichnete mit +128 % auf 164 Mio. € den stärksten Anstieg. Auch Frankfurt (+58 % auf 477 Mio. €), München (+15 % auf 217 Mio. €) und Berlin (+5 % auf 311 Mio. €) lagen über dem jeweiligen Vorjahreswert. Insgesamt ergab sich daraus dennoch ein Rückgang des Transaktionsvolumens in den Top-7-Märkten.</w:t>
      </w:r>
    </w:p>
    <w:p w14:paraId="37597195" w14:textId="77777777" w:rsidR="00A25950" w:rsidRDefault="00A25950" w:rsidP="007B78CD">
      <w:pPr>
        <w:shd w:val="clear" w:color="auto" w:fill="FFFFFF"/>
        <w:overflowPunct/>
        <w:autoSpaceDE/>
        <w:autoSpaceDN/>
        <w:adjustRightInd/>
        <w:jc w:val="both"/>
        <w:textAlignment w:val="auto"/>
        <w:rPr>
          <w:rFonts w:ascii="Source Sans Pro" w:hAnsi="Source Sans Pro" w:cs="Arial"/>
          <w:sz w:val="22"/>
        </w:rPr>
      </w:pPr>
    </w:p>
    <w:p w14:paraId="76DCA093" w14:textId="75A9D7B5" w:rsidR="00A25950" w:rsidRPr="00A25950" w:rsidRDefault="00A25950" w:rsidP="00A25950">
      <w:pPr>
        <w:shd w:val="clear" w:color="auto" w:fill="FFFFFF"/>
        <w:overflowPunct/>
        <w:autoSpaceDE/>
        <w:autoSpaceDN/>
        <w:adjustRightInd/>
        <w:textAlignment w:val="auto"/>
        <w:rPr>
          <w:rFonts w:ascii="Source Sans Pro" w:hAnsi="Source Sans Pro" w:cs="Arial"/>
          <w:sz w:val="22"/>
        </w:rPr>
      </w:pPr>
      <w:r>
        <w:rPr>
          <w:rFonts w:ascii="Source Sans Pro" w:hAnsi="Source Sans Pro" w:cs="Source Sans Pro"/>
          <w:color w:val="0086A8"/>
          <w:sz w:val="22"/>
          <w:szCs w:val="22"/>
        </w:rPr>
        <w:t>RENDITEN WEITGEHEND STABIL</w:t>
      </w:r>
    </w:p>
    <w:p w14:paraId="1C4877BD" w14:textId="2EA5056C" w:rsidR="000803C3" w:rsidRPr="00917335" w:rsidRDefault="00A25950" w:rsidP="007B78CD">
      <w:pPr>
        <w:shd w:val="clear" w:color="auto" w:fill="FFFFFF"/>
        <w:overflowPunct/>
        <w:autoSpaceDE/>
        <w:autoSpaceDN/>
        <w:adjustRightInd/>
        <w:jc w:val="both"/>
        <w:textAlignment w:val="auto"/>
        <w:rPr>
          <w:rFonts w:ascii="Source Sans Pro" w:hAnsi="Source Sans Pro" w:cs="Arial"/>
          <w:color w:val="242424"/>
          <w:sz w:val="22"/>
          <w:szCs w:val="22"/>
        </w:rPr>
      </w:pPr>
      <w:r w:rsidRPr="00A25950">
        <w:rPr>
          <w:rFonts w:ascii="Source Sans Pro" w:hAnsi="Source Sans Pro" w:cs="Arial"/>
          <w:sz w:val="22"/>
        </w:rPr>
        <w:t xml:space="preserve">Die Logistik-Spitzenrenditen blieben im Durchschnitt der Top-7-Märkte weitgehend stabil bei rund 4,50 %. </w:t>
      </w:r>
      <w:r w:rsidR="007A4038">
        <w:rPr>
          <w:rFonts w:ascii="Source Sans Pro" w:hAnsi="Source Sans Pro" w:cs="Arial"/>
          <w:sz w:val="22"/>
        </w:rPr>
        <w:t>Die</w:t>
      </w:r>
      <w:r w:rsidRPr="00A25950">
        <w:rPr>
          <w:rFonts w:ascii="Source Sans Pro" w:hAnsi="Source Sans Pro" w:cs="Arial"/>
          <w:sz w:val="22"/>
        </w:rPr>
        <w:t xml:space="preserve"> Finanzierungsbedingungen</w:t>
      </w:r>
      <w:r w:rsidR="007A4038">
        <w:rPr>
          <w:rFonts w:ascii="Source Sans Pro" w:hAnsi="Source Sans Pro" w:cs="Arial"/>
          <w:sz w:val="22"/>
        </w:rPr>
        <w:t xml:space="preserve"> sind weiterhin restriktiv und es zeichnen sich keine sinkenden Hypothekenzinsen ab. </w:t>
      </w:r>
      <w:r w:rsidRPr="00A25950">
        <w:rPr>
          <w:rFonts w:ascii="Source Sans Pro" w:hAnsi="Source Sans Pro" w:cs="Arial"/>
          <w:sz w:val="22"/>
        </w:rPr>
        <w:t xml:space="preserve"> </w:t>
      </w:r>
      <w:r w:rsidR="007A4038">
        <w:rPr>
          <w:rFonts w:ascii="Source Sans Pro" w:hAnsi="Source Sans Pro" w:cs="Arial"/>
          <w:sz w:val="22"/>
        </w:rPr>
        <w:t>Vor diesem Hintergrund ist in den kommenden Monaten nicht mit deutlichen Änderungen der Spitzenrenditen zu rechnen</w:t>
      </w:r>
      <w:r w:rsidRPr="00A25950">
        <w:rPr>
          <w:rFonts w:ascii="Source Sans Pro" w:hAnsi="Source Sans Pro" w:cs="Arial"/>
          <w:sz w:val="22"/>
        </w:rPr>
        <w:t>. Auf den Märkten für Gewerbebauland in den Regionen Frankfurt, München und teilweise auch Köln kam es infolge des knappen Angebots zu Preissteigerungen, während spekulative Projektentwicklungen weiterhin selten blieben.</w:t>
      </w:r>
    </w:p>
    <w:p w14:paraId="466E091B" w14:textId="77777777" w:rsidR="00A25950" w:rsidRDefault="00A25950" w:rsidP="00237082">
      <w:pPr>
        <w:overflowPunct/>
        <w:autoSpaceDE/>
        <w:autoSpaceDN/>
        <w:adjustRightInd/>
        <w:jc w:val="both"/>
        <w:textAlignment w:val="auto"/>
        <w:rPr>
          <w:rFonts w:ascii="Source Sans Pro" w:hAnsi="Source Sans Pro" w:cs="Source Sans Pro"/>
          <w:color w:val="0086A8"/>
          <w:sz w:val="22"/>
          <w:szCs w:val="22"/>
        </w:rPr>
      </w:pPr>
    </w:p>
    <w:p w14:paraId="731B580A" w14:textId="2EE065C6" w:rsidR="008C1E0B" w:rsidRDefault="00191E8C" w:rsidP="00237082">
      <w:pPr>
        <w:overflowPunct/>
        <w:autoSpaceDE/>
        <w:autoSpaceDN/>
        <w:adjustRightInd/>
        <w:jc w:val="both"/>
        <w:textAlignment w:val="auto"/>
        <w:rPr>
          <w:rFonts w:ascii="Source Sans Pro" w:hAnsi="Source Sans Pro" w:cs="Source Sans Pro"/>
          <w:color w:val="0086A8"/>
          <w:sz w:val="22"/>
          <w:szCs w:val="22"/>
        </w:rPr>
      </w:pPr>
      <w:r w:rsidRPr="004748C0">
        <w:rPr>
          <w:rFonts w:ascii="Source Sans Pro" w:hAnsi="Source Sans Pro" w:cs="Source Sans Pro"/>
          <w:color w:val="0086A8"/>
          <w:sz w:val="22"/>
          <w:szCs w:val="22"/>
        </w:rPr>
        <w:t xml:space="preserve">PROGNOSE: </w:t>
      </w:r>
      <w:r w:rsidR="00A25950">
        <w:rPr>
          <w:rFonts w:ascii="Source Sans Pro" w:hAnsi="Source Sans Pro" w:cs="Source Sans Pro"/>
          <w:color w:val="0086A8"/>
          <w:sz w:val="22"/>
          <w:szCs w:val="22"/>
        </w:rPr>
        <w:t>BELEBUNG IM JAHRESVERLAUF MÖGLICH</w:t>
      </w:r>
    </w:p>
    <w:p w14:paraId="2A71F179" w14:textId="1FC434DF" w:rsidR="00C603B0" w:rsidRPr="00C603B0" w:rsidRDefault="00C603B0" w:rsidP="00C603B0">
      <w:pPr>
        <w:overflowPunct/>
        <w:autoSpaceDE/>
        <w:autoSpaceDN/>
        <w:adjustRightInd/>
        <w:jc w:val="both"/>
        <w:textAlignment w:val="auto"/>
        <w:rPr>
          <w:rFonts w:ascii="Source Sans Pro" w:hAnsi="Source Sans Pro" w:cs="Source Sans Pro"/>
          <w:sz w:val="22"/>
          <w:szCs w:val="22"/>
        </w:rPr>
      </w:pPr>
      <w:r w:rsidRPr="00C603B0">
        <w:rPr>
          <w:rFonts w:ascii="Source Sans Pro" w:hAnsi="Source Sans Pro" w:cs="Source Sans Pro"/>
          <w:sz w:val="22"/>
          <w:szCs w:val="22"/>
        </w:rPr>
        <w:t>Für 2026 besteht die Erwartung, dass sich die Flächennachfrage im Vermietungsmarkt im Jahresverlauf mit einsetzenden konjunkturellen Impulsen allmählich verbessern könnte. In Märkten mit weiterhin begrenztem Neubauangebot, wie Frankfurt und Köln, könnte</w:t>
      </w:r>
      <w:r w:rsidR="007A4038">
        <w:rPr>
          <w:rFonts w:ascii="Source Sans Pro" w:hAnsi="Source Sans Pro" w:cs="Source Sans Pro"/>
          <w:sz w:val="22"/>
          <w:szCs w:val="22"/>
        </w:rPr>
        <w:t>n</w:t>
      </w:r>
      <w:r w:rsidRPr="00C603B0">
        <w:rPr>
          <w:rFonts w:ascii="Source Sans Pro" w:hAnsi="Source Sans Pro" w:cs="Source Sans Pro"/>
          <w:sz w:val="22"/>
          <w:szCs w:val="22"/>
        </w:rPr>
        <w:t xml:space="preserve"> </w:t>
      </w:r>
      <w:r w:rsidR="007A4038">
        <w:rPr>
          <w:rFonts w:ascii="Source Sans Pro" w:hAnsi="Source Sans Pro" w:cs="Source Sans Pro"/>
          <w:sz w:val="22"/>
          <w:szCs w:val="22"/>
        </w:rPr>
        <w:t>sich</w:t>
      </w:r>
      <w:r w:rsidRPr="00C603B0">
        <w:rPr>
          <w:rFonts w:ascii="Source Sans Pro" w:hAnsi="Source Sans Pro" w:cs="Source Sans Pro"/>
          <w:sz w:val="22"/>
          <w:szCs w:val="22"/>
        </w:rPr>
        <w:t xml:space="preserve"> die Spitzenmieten</w:t>
      </w:r>
      <w:r w:rsidR="007A4038">
        <w:rPr>
          <w:rFonts w:ascii="Source Sans Pro" w:hAnsi="Source Sans Pro" w:cs="Source Sans Pro"/>
          <w:sz w:val="22"/>
          <w:szCs w:val="22"/>
        </w:rPr>
        <w:t xml:space="preserve"> bei Anmietungen in diesem Segment daher erhöhen</w:t>
      </w:r>
      <w:r w:rsidRPr="00C603B0">
        <w:rPr>
          <w:rFonts w:ascii="Source Sans Pro" w:hAnsi="Source Sans Pro" w:cs="Source Sans Pro"/>
          <w:sz w:val="22"/>
          <w:szCs w:val="22"/>
        </w:rPr>
        <w:t>. Auch im Investmentmarkt dürfte das begrenzte Angebot an Neubauprodukten das Transaktionsgeschehen beeinflussen. Das Investoreninteresse bleibt jedoch robust, während die Spitzenrenditen bis auf Weiteres weitgehend stabil erscheinen</w:t>
      </w:r>
      <w:r w:rsidR="00385F87">
        <w:rPr>
          <w:rFonts w:ascii="Source Sans Pro" w:hAnsi="Source Sans Pro" w:cs="Source Sans Pro"/>
          <w:sz w:val="22"/>
          <w:szCs w:val="22"/>
        </w:rPr>
        <w:t>, da sich noch keine wesentlichen Änderungen der Finanzierungskonditionen abzeichnen.</w:t>
      </w:r>
    </w:p>
    <w:p w14:paraId="499ADE7A" w14:textId="77777777" w:rsidR="00C603B0" w:rsidRDefault="00C603B0" w:rsidP="00C603B0">
      <w:pPr>
        <w:overflowPunct/>
        <w:autoSpaceDE/>
        <w:autoSpaceDN/>
        <w:adjustRightInd/>
        <w:jc w:val="both"/>
        <w:textAlignment w:val="auto"/>
        <w:rPr>
          <w:rFonts w:ascii="Source Sans Pro" w:hAnsi="Source Sans Pro" w:cs="Source Sans Pro"/>
          <w:i/>
          <w:iCs/>
          <w:sz w:val="22"/>
          <w:szCs w:val="22"/>
        </w:rPr>
      </w:pPr>
    </w:p>
    <w:p w14:paraId="70497B02" w14:textId="416D3773" w:rsidR="00C603B0" w:rsidRPr="00C603B0" w:rsidRDefault="00C603B0" w:rsidP="00C603B0">
      <w:pPr>
        <w:overflowPunct/>
        <w:autoSpaceDE/>
        <w:autoSpaceDN/>
        <w:adjustRightInd/>
        <w:jc w:val="both"/>
        <w:textAlignment w:val="auto"/>
        <w:rPr>
          <w:rFonts w:ascii="Source Sans Pro" w:hAnsi="Source Sans Pro" w:cs="Source Sans Pro"/>
          <w:sz w:val="22"/>
          <w:szCs w:val="22"/>
        </w:rPr>
      </w:pPr>
      <w:r w:rsidRPr="00C603B0">
        <w:rPr>
          <w:rFonts w:ascii="Source Sans Pro" w:hAnsi="Source Sans Pro" w:cs="Source Sans Pro"/>
          <w:i/>
          <w:iCs/>
          <w:sz w:val="22"/>
          <w:szCs w:val="22"/>
        </w:rPr>
        <w:t xml:space="preserve">„Sollten sich die konjunkturellen Rahmenbedingungen im Jahresverlauf </w:t>
      </w:r>
      <w:r w:rsidR="007A4038">
        <w:rPr>
          <w:rFonts w:ascii="Source Sans Pro" w:hAnsi="Source Sans Pro" w:cs="Source Sans Pro"/>
          <w:i/>
          <w:iCs/>
          <w:sz w:val="22"/>
          <w:szCs w:val="22"/>
        </w:rPr>
        <w:t>verbessern</w:t>
      </w:r>
      <w:r w:rsidRPr="00C603B0">
        <w:rPr>
          <w:rFonts w:ascii="Source Sans Pro" w:hAnsi="Source Sans Pro" w:cs="Source Sans Pro"/>
          <w:i/>
          <w:iCs/>
          <w:sz w:val="22"/>
          <w:szCs w:val="22"/>
        </w:rPr>
        <w:t>, könnte dies sowohl dem Vermietungs- als auch dem Investmentmarkt neue Impulse geben. Kurzfristig bleibt das Marktumfeld jedoch anspruchsvoll“</w:t>
      </w:r>
      <w:r w:rsidRPr="00C603B0">
        <w:rPr>
          <w:rFonts w:ascii="Source Sans Pro" w:hAnsi="Source Sans Pro" w:cs="Source Sans Pro"/>
          <w:sz w:val="22"/>
          <w:szCs w:val="22"/>
        </w:rPr>
        <w:t xml:space="preserve">, sagt </w:t>
      </w:r>
      <w:r w:rsidRPr="00C603B0">
        <w:rPr>
          <w:rFonts w:ascii="Source Sans Pro" w:hAnsi="Source Sans Pro" w:cs="Source Sans Pro"/>
          <w:b/>
          <w:bCs/>
          <w:sz w:val="22"/>
          <w:szCs w:val="22"/>
        </w:rPr>
        <w:t>Müller</w:t>
      </w:r>
      <w:r w:rsidRPr="00C603B0">
        <w:rPr>
          <w:rFonts w:ascii="Source Sans Pro" w:hAnsi="Source Sans Pro" w:cs="Source Sans Pro"/>
          <w:sz w:val="22"/>
          <w:szCs w:val="22"/>
        </w:rPr>
        <w:t>.</w:t>
      </w:r>
    </w:p>
    <w:p w14:paraId="5A305A6F" w14:textId="5A1330FE" w:rsidR="006C7D7B" w:rsidRDefault="006C7D7B" w:rsidP="00237082">
      <w:pPr>
        <w:overflowPunct/>
        <w:autoSpaceDE/>
        <w:autoSpaceDN/>
        <w:adjustRightInd/>
        <w:jc w:val="both"/>
        <w:textAlignment w:val="auto"/>
        <w:rPr>
          <w:rFonts w:ascii="Source Sans Pro" w:hAnsi="Source Sans Pro" w:cs="Arial"/>
          <w:bCs/>
          <w:sz w:val="22"/>
          <w:szCs w:val="22"/>
        </w:rPr>
      </w:pPr>
      <w:r w:rsidRPr="0056137E">
        <w:rPr>
          <w:rFonts w:ascii="Source Sans Pro" w:hAnsi="Source Sans Pro" w:cs="Arial"/>
          <w:bCs/>
          <w:sz w:val="22"/>
          <w:szCs w:val="22"/>
        </w:rPr>
        <w:lastRenderedPageBreak/>
        <w:t>D</w:t>
      </w:r>
      <w:r>
        <w:rPr>
          <w:rFonts w:ascii="Source Sans Pro" w:hAnsi="Source Sans Pro" w:cs="Arial"/>
          <w:bCs/>
          <w:sz w:val="22"/>
          <w:szCs w:val="22"/>
        </w:rPr>
        <w:t xml:space="preserve">er </w:t>
      </w:r>
      <w:hyperlink r:id="rId8" w:history="1">
        <w:r w:rsidRPr="003F2300">
          <w:rPr>
            <w:rStyle w:val="Hyperlink"/>
            <w:rFonts w:ascii="Source Sans Pro" w:hAnsi="Source Sans Pro" w:cs="Arial"/>
            <w:bCs/>
            <w:sz w:val="22"/>
            <w:szCs w:val="22"/>
          </w:rPr>
          <w:t>detaillierte M</w:t>
        </w:r>
        <w:r w:rsidRPr="003F2300">
          <w:rPr>
            <w:rStyle w:val="Hyperlink"/>
            <w:rFonts w:ascii="Source Sans Pro" w:hAnsi="Source Sans Pro" w:cs="Arial"/>
            <w:bCs/>
            <w:sz w:val="22"/>
            <w:szCs w:val="22"/>
          </w:rPr>
          <w:t>a</w:t>
        </w:r>
        <w:r w:rsidRPr="003F2300">
          <w:rPr>
            <w:rStyle w:val="Hyperlink"/>
            <w:rFonts w:ascii="Source Sans Pro" w:hAnsi="Source Sans Pro" w:cs="Arial"/>
            <w:bCs/>
            <w:sz w:val="22"/>
            <w:szCs w:val="22"/>
          </w:rPr>
          <w:t>rktbericht</w:t>
        </w:r>
      </w:hyperlink>
      <w:r>
        <w:rPr>
          <w:rFonts w:ascii="Source Sans Pro" w:hAnsi="Source Sans Pro" w:cs="Arial"/>
          <w:bCs/>
          <w:sz w:val="22"/>
          <w:szCs w:val="22"/>
        </w:rPr>
        <w:t xml:space="preserve"> für </w:t>
      </w:r>
      <w:r w:rsidRPr="0056137E">
        <w:rPr>
          <w:rFonts w:ascii="Source Sans Pro" w:hAnsi="Source Sans Pro" w:cs="Arial"/>
          <w:bCs/>
          <w:sz w:val="22"/>
          <w:szCs w:val="22"/>
        </w:rPr>
        <w:t xml:space="preserve">Hamburg, Berlin, Düsseldorf, Köln, Frankfurt, Stuttgart und München </w:t>
      </w:r>
      <w:r w:rsidRPr="003F2300">
        <w:rPr>
          <w:rFonts w:ascii="Source Sans Pro" w:hAnsi="Source Sans Pro" w:cs="Arial"/>
          <w:bCs/>
          <w:sz w:val="22"/>
          <w:szCs w:val="22"/>
        </w:rPr>
        <w:t>steht auf unserer Website zum Download</w:t>
      </w:r>
      <w:r w:rsidRPr="0056137E">
        <w:rPr>
          <w:rFonts w:ascii="Source Sans Pro" w:hAnsi="Source Sans Pro" w:cs="Arial"/>
          <w:bCs/>
          <w:sz w:val="22"/>
          <w:szCs w:val="22"/>
        </w:rPr>
        <w:t xml:space="preserve"> bereit.</w:t>
      </w:r>
    </w:p>
    <w:p w14:paraId="4AAA828A" w14:textId="1B4D8B70" w:rsidR="00B9185E" w:rsidRDefault="00B9185E" w:rsidP="00237082">
      <w:pPr>
        <w:overflowPunct/>
        <w:autoSpaceDE/>
        <w:autoSpaceDN/>
        <w:adjustRightInd/>
        <w:jc w:val="both"/>
        <w:textAlignment w:val="auto"/>
        <w:rPr>
          <w:rFonts w:ascii="Source Sans Pro" w:hAnsi="Source Sans Pro" w:cs="Arial"/>
          <w:bCs/>
          <w:sz w:val="22"/>
          <w:szCs w:val="22"/>
        </w:rPr>
      </w:pPr>
    </w:p>
    <w:p w14:paraId="2596390E" w14:textId="77777777" w:rsidR="00B9185E" w:rsidRPr="00A36FA4" w:rsidRDefault="00B9185E" w:rsidP="00B9185E">
      <w:pPr>
        <w:widowControl w:val="0"/>
        <w:rPr>
          <w:rFonts w:ascii="Source Sans Pro" w:hAnsi="Source Sans Pro" w:cs="Source Sans Pro"/>
          <w:sz w:val="22"/>
          <w:szCs w:val="22"/>
        </w:rPr>
      </w:pPr>
      <w:r w:rsidRPr="00510879">
        <w:rPr>
          <w:rFonts w:ascii="Source Sans Pro" w:hAnsi="Source Sans Pro" w:cs="Arial"/>
          <w:b/>
          <w:sz w:val="16"/>
          <w:szCs w:val="16"/>
        </w:rPr>
        <w:br/>
      </w:r>
      <w:bookmarkStart w:id="0" w:name="_Hlk167186422"/>
      <w:r>
        <w:rPr>
          <w:rFonts w:ascii="Source Sans Pro SemiBold" w:hAnsi="Source Sans Pro SemiBold" w:cs="Source Sans Pro SemiBold"/>
          <w:b/>
          <w:bCs/>
          <w:caps/>
          <w:color w:val="0087A8"/>
          <w:sz w:val="18"/>
          <w:szCs w:val="18"/>
        </w:rPr>
        <w:t>ÜBER GERMAN PROPERTY PARTNERS</w:t>
      </w:r>
      <w:r w:rsidRPr="006456EA">
        <w:rPr>
          <w:rFonts w:ascii="Source Sans Pro SemiBold" w:hAnsi="Source Sans Pro SemiBold" w:cs="Source Sans Pro SemiBold"/>
          <w:b/>
          <w:bCs/>
          <w:caps/>
          <w:color w:val="0087A8"/>
          <w:sz w:val="18"/>
          <w:szCs w:val="18"/>
        </w:rPr>
        <w:t xml:space="preserve"> </w:t>
      </w:r>
    </w:p>
    <w:p w14:paraId="0F178D7B" w14:textId="77777777" w:rsidR="00B9185E" w:rsidRPr="00E1280F" w:rsidRDefault="00B9185E" w:rsidP="00B9185E">
      <w:pPr>
        <w:pStyle w:val="EinfAbs"/>
        <w:tabs>
          <w:tab w:val="left" w:pos="200"/>
        </w:tabs>
        <w:spacing w:line="220" w:lineRule="exact"/>
        <w:jc w:val="both"/>
        <w:rPr>
          <w:rFonts w:ascii="Source Sans Pro SemiBold" w:hAnsi="Source Sans Pro SemiBold" w:cs="Source Sans Pro SemiBold"/>
          <w:bCs/>
          <w:caps/>
          <w:color w:val="0087A8"/>
          <w:sz w:val="18"/>
          <w:szCs w:val="18"/>
        </w:rPr>
      </w:pPr>
      <w:hyperlink r:id="rId9" w:history="1">
        <w:r w:rsidRPr="00E1280F">
          <w:rPr>
            <w:rFonts w:ascii="Source Sans Pro SemiBold" w:hAnsi="Source Sans Pro SemiBold" w:cs="Source Sans Pro SemiBold"/>
            <w:bCs/>
            <w:caps/>
            <w:color w:val="0087A8"/>
            <w:sz w:val="18"/>
            <w:szCs w:val="18"/>
          </w:rPr>
          <w:t>German Property Partners</w:t>
        </w:r>
      </w:hyperlink>
      <w:r w:rsidRPr="00E1280F">
        <w:rPr>
          <w:rFonts w:ascii="Source Sans Pro SemiBold" w:hAnsi="Source Sans Pro SemiBold" w:cs="Source Sans Pro SemiBold"/>
          <w:bCs/>
          <w:caps/>
          <w:color w:val="0087A8"/>
          <w:sz w:val="18"/>
          <w:szCs w:val="18"/>
        </w:rPr>
        <w:t xml:space="preserve"> (GPP) ist ein deutschlandweites Netzwerk lokal führender Gewerbe-Immobiliendienstleister. Hierzu gehören Grossmann &amp; Berger</w:t>
      </w:r>
      <w:r>
        <w:rPr>
          <w:rFonts w:ascii="Source Sans Pro SemiBold" w:hAnsi="Source Sans Pro SemiBold" w:cs="Source Sans Pro SemiBold"/>
          <w:bCs/>
          <w:caps/>
          <w:color w:val="0087A8"/>
          <w:sz w:val="18"/>
          <w:szCs w:val="18"/>
        </w:rPr>
        <w:t xml:space="preserve"> Immobilien</w:t>
      </w:r>
      <w:r w:rsidRPr="00E1280F">
        <w:rPr>
          <w:rFonts w:ascii="Source Sans Pro SemiBold" w:hAnsi="Source Sans Pro SemiBold" w:cs="Source Sans Pro SemiBold"/>
          <w:bCs/>
          <w:caps/>
          <w:color w:val="0087A8"/>
          <w:sz w:val="18"/>
          <w:szCs w:val="18"/>
        </w:rPr>
        <w:t xml:space="preserve">, Anteon Immobilien, GREIF &amp; CONTZEN Immobilien, blackolive und E &amp; G </w:t>
      </w:r>
      <w:r>
        <w:rPr>
          <w:rFonts w:ascii="Source Sans Pro SemiBold" w:hAnsi="Source Sans Pro SemiBold" w:cs="Source Sans Pro SemiBold"/>
          <w:bCs/>
          <w:caps/>
          <w:color w:val="0087A8"/>
          <w:sz w:val="18"/>
          <w:szCs w:val="18"/>
        </w:rPr>
        <w:t>Immobilien</w:t>
      </w:r>
      <w:r w:rsidRPr="00E1280F">
        <w:rPr>
          <w:rFonts w:ascii="Source Sans Pro SemiBold" w:hAnsi="Source Sans Pro SemiBold" w:cs="Source Sans Pro SemiBold"/>
          <w:bCs/>
          <w:caps/>
          <w:color w:val="0087A8"/>
          <w:sz w:val="18"/>
          <w:szCs w:val="18"/>
        </w:rPr>
        <w:t xml:space="preserve">. Es zeichnet sich durch tiefe Marktkenntnisse vor Ort, langjährig für die Partnerunternehmen tätige Immobilienberater und das persönliche Engagement der Gesellschafter und Geschäftsführer aus. </w:t>
      </w:r>
    </w:p>
    <w:p w14:paraId="159B4E6D" w14:textId="77777777" w:rsidR="00B9185E" w:rsidRPr="00E1280F" w:rsidRDefault="00B9185E" w:rsidP="00B9185E">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021C5B8E" w14:textId="77777777" w:rsidR="00B9185E" w:rsidRPr="00E1280F" w:rsidRDefault="00B9185E" w:rsidP="00B9185E">
      <w:pPr>
        <w:pStyle w:val="EinfAbs"/>
        <w:tabs>
          <w:tab w:val="left" w:pos="200"/>
        </w:tabs>
        <w:spacing w:line="220" w:lineRule="exact"/>
        <w:jc w:val="both"/>
        <w:rPr>
          <w:rFonts w:ascii="Source Sans Pro SemiBold" w:hAnsi="Source Sans Pro SemiBold" w:cs="Source Sans Pro SemiBold"/>
          <w:bCs/>
          <w:caps/>
          <w:color w:val="0087A8"/>
          <w:sz w:val="18"/>
          <w:szCs w:val="18"/>
        </w:rPr>
      </w:pPr>
      <w:r w:rsidRPr="00E1280F">
        <w:rPr>
          <w:rFonts w:ascii="Source Sans Pro SemiBold" w:hAnsi="Source Sans Pro SemiBold" w:cs="Source Sans Pro SemiBold"/>
          <w:bCs/>
          <w:caps/>
          <w:color w:val="0087A8"/>
          <w:sz w:val="18"/>
          <w:szCs w:val="18"/>
        </w:rPr>
        <w:t>Das Netzwerk verfügt in den Top-7-Städten Hamburg, Berlin, Düsseldorf|</w:t>
      </w:r>
      <w:r>
        <w:rPr>
          <w:rFonts w:ascii="Source Sans Pro SemiBold" w:hAnsi="Source Sans Pro SemiBold" w:cs="Source Sans Pro SemiBold"/>
          <w:bCs/>
          <w:caps/>
          <w:color w:val="0087A8"/>
          <w:sz w:val="18"/>
          <w:szCs w:val="18"/>
        </w:rPr>
        <w:t>Essen</w:t>
      </w:r>
      <w:r w:rsidRPr="00E1280F">
        <w:rPr>
          <w:rFonts w:ascii="Source Sans Pro SemiBold" w:hAnsi="Source Sans Pro SemiBold" w:cs="Source Sans Pro SemiBold"/>
          <w:bCs/>
          <w:caps/>
          <w:color w:val="0087A8"/>
          <w:sz w:val="18"/>
          <w:szCs w:val="18"/>
        </w:rPr>
        <w:t xml:space="preserve">, Köln|Bonn, Frankfurt, Stuttgart und München über eigene Standorte und bietet Dienstleistungen in den Bereichen Immobilien-Investments, gewerbliche Vermietung, unternehmerisches Immobilienmanagement (CREM), Immobilienbewertung und Research an. Bank-, Finanzierungs- und Verwaltungs-Dienstleistungen runden das Leistungsspektrum ab. </w:t>
      </w:r>
    </w:p>
    <w:p w14:paraId="14F113A8" w14:textId="77777777" w:rsidR="00B9185E" w:rsidRPr="00E1280F" w:rsidRDefault="00B9185E" w:rsidP="00B9185E">
      <w:pPr>
        <w:pStyle w:val="EinfAbs"/>
        <w:tabs>
          <w:tab w:val="left" w:pos="200"/>
        </w:tabs>
        <w:spacing w:line="220" w:lineRule="exact"/>
        <w:jc w:val="both"/>
        <w:rPr>
          <w:rFonts w:ascii="Source Sans Pro SemiBold" w:hAnsi="Source Sans Pro SemiBold" w:cs="Source Sans Pro SemiBold"/>
          <w:bCs/>
          <w:caps/>
          <w:color w:val="0087A8"/>
          <w:sz w:val="18"/>
          <w:szCs w:val="18"/>
        </w:rPr>
      </w:pPr>
    </w:p>
    <w:p w14:paraId="7F8BC8EE" w14:textId="58AF295E" w:rsidR="00B9185E" w:rsidRPr="006C69B7" w:rsidRDefault="00B9185E" w:rsidP="00B9185E">
      <w:pPr>
        <w:pStyle w:val="EinfAbs"/>
        <w:tabs>
          <w:tab w:val="left" w:pos="200"/>
        </w:tabs>
        <w:spacing w:line="220" w:lineRule="exact"/>
        <w:jc w:val="both"/>
        <w:rPr>
          <w:rFonts w:ascii="Source Sans Pro SemiBold" w:hAnsi="Source Sans Pro SemiBold" w:cs="Source Sans Pro SemiBold"/>
          <w:bCs/>
          <w:caps/>
          <w:color w:val="0087A8"/>
          <w:sz w:val="18"/>
          <w:szCs w:val="18"/>
        </w:rPr>
      </w:pPr>
      <w:r w:rsidRPr="001A7854">
        <w:rPr>
          <w:rFonts w:ascii="Source Sans Pro SemiBold" w:hAnsi="Source Sans Pro SemiBold" w:cs="Source Sans Pro SemiBold"/>
          <w:bCs/>
          <w:caps/>
          <w:color w:val="0087A8"/>
          <w:sz w:val="18"/>
          <w:szCs w:val="18"/>
        </w:rPr>
        <w:t xml:space="preserve">Aktuell sind rund </w:t>
      </w:r>
      <w:r w:rsidR="001A7854" w:rsidRPr="001A7854">
        <w:rPr>
          <w:rFonts w:ascii="Source Sans Pro SemiBold" w:hAnsi="Source Sans Pro SemiBold" w:cs="Source Sans Pro SemiBold"/>
          <w:bCs/>
          <w:caps/>
          <w:color w:val="0087A8"/>
          <w:sz w:val="18"/>
          <w:szCs w:val="18"/>
        </w:rPr>
        <w:t>370</w:t>
      </w:r>
      <w:r w:rsidRPr="001A7854">
        <w:rPr>
          <w:rFonts w:ascii="Source Sans Pro SemiBold" w:hAnsi="Source Sans Pro SemiBold" w:cs="Source Sans Pro SemiBold"/>
          <w:bCs/>
          <w:caps/>
          <w:color w:val="0087A8"/>
          <w:sz w:val="18"/>
          <w:szCs w:val="18"/>
        </w:rPr>
        <w:t xml:space="preserve"> Immobilienspezialisten für das Netzwerk tätig. 202</w:t>
      </w:r>
      <w:r w:rsidR="001A7854" w:rsidRPr="001A7854">
        <w:rPr>
          <w:rFonts w:ascii="Source Sans Pro SemiBold" w:hAnsi="Source Sans Pro SemiBold" w:cs="Source Sans Pro SemiBold"/>
          <w:bCs/>
          <w:caps/>
          <w:color w:val="0087A8"/>
          <w:sz w:val="18"/>
          <w:szCs w:val="18"/>
        </w:rPr>
        <w:t>5</w:t>
      </w:r>
      <w:r w:rsidRPr="001A7854">
        <w:rPr>
          <w:rFonts w:ascii="Source Sans Pro SemiBold" w:hAnsi="Source Sans Pro SemiBold" w:cs="Source Sans Pro SemiBold"/>
          <w:bCs/>
          <w:caps/>
          <w:color w:val="0087A8"/>
          <w:sz w:val="18"/>
          <w:szCs w:val="18"/>
        </w:rPr>
        <w:t xml:space="preserve"> vermittelte GPP deutschlandweit rund </w:t>
      </w:r>
      <w:r w:rsidR="001A7854" w:rsidRPr="001A7854">
        <w:rPr>
          <w:rFonts w:ascii="Source Sans Pro SemiBold" w:hAnsi="Source Sans Pro SemiBold" w:cs="Source Sans Pro SemiBold"/>
          <w:bCs/>
          <w:caps/>
          <w:color w:val="0087A8"/>
          <w:sz w:val="18"/>
          <w:szCs w:val="18"/>
        </w:rPr>
        <w:t>3</w:t>
      </w:r>
      <w:r w:rsidRPr="001A7854">
        <w:rPr>
          <w:rFonts w:ascii="Source Sans Pro SemiBold" w:hAnsi="Source Sans Pro SemiBold" w:cs="Source Sans Pro SemiBold"/>
          <w:bCs/>
          <w:caps/>
          <w:color w:val="0087A8"/>
          <w:sz w:val="18"/>
          <w:szCs w:val="18"/>
        </w:rPr>
        <w:t xml:space="preserve">90.000 m² Gewerbefläche und betreute ein Transaktionsvolumen in Höhe von rund </w:t>
      </w:r>
      <w:r w:rsidR="001A7854" w:rsidRPr="001A7854">
        <w:rPr>
          <w:rFonts w:ascii="Source Sans Pro SemiBold" w:hAnsi="Source Sans Pro SemiBold" w:cs="Source Sans Pro SemiBold"/>
          <w:bCs/>
          <w:caps/>
          <w:color w:val="0087A8"/>
          <w:sz w:val="18"/>
          <w:szCs w:val="18"/>
        </w:rPr>
        <w:t>1,1</w:t>
      </w:r>
      <w:r w:rsidRPr="001A7854">
        <w:rPr>
          <w:rFonts w:ascii="Source Sans Pro SemiBold" w:hAnsi="Source Sans Pro SemiBold" w:cs="Source Sans Pro SemiBold"/>
          <w:bCs/>
          <w:caps/>
          <w:color w:val="0087A8"/>
          <w:sz w:val="18"/>
          <w:szCs w:val="18"/>
        </w:rPr>
        <w:t xml:space="preserve"> M</w:t>
      </w:r>
      <w:r w:rsidR="00BE3158">
        <w:rPr>
          <w:rFonts w:ascii="Source Sans Pro SemiBold" w:hAnsi="Source Sans Pro SemiBold" w:cs="Source Sans Pro SemiBold"/>
          <w:bCs/>
          <w:caps/>
          <w:color w:val="0087A8"/>
          <w:sz w:val="18"/>
          <w:szCs w:val="18"/>
        </w:rPr>
        <w:t>rd</w:t>
      </w:r>
      <w:r w:rsidRPr="001A7854">
        <w:rPr>
          <w:rFonts w:ascii="Source Sans Pro SemiBold" w:hAnsi="Source Sans Pro SemiBold" w:cs="Source Sans Pro SemiBold"/>
          <w:bCs/>
          <w:caps/>
          <w:color w:val="0087A8"/>
          <w:sz w:val="18"/>
          <w:szCs w:val="18"/>
        </w:rPr>
        <w:t>. €.</w:t>
      </w:r>
    </w:p>
    <w:p w14:paraId="30A84C72" w14:textId="77777777" w:rsidR="00B9185E" w:rsidRDefault="00B9185E" w:rsidP="00B9185E">
      <w:pPr>
        <w:pStyle w:val="EinfAbs"/>
        <w:tabs>
          <w:tab w:val="left" w:pos="200"/>
        </w:tabs>
        <w:spacing w:line="220" w:lineRule="exact"/>
        <w:jc w:val="both"/>
      </w:pPr>
    </w:p>
    <w:p w14:paraId="4389802A" w14:textId="77777777" w:rsidR="00B9185E" w:rsidRPr="006456EA" w:rsidRDefault="00B9185E" w:rsidP="00B9185E">
      <w:pPr>
        <w:pStyle w:val="EinfAbs"/>
        <w:tabs>
          <w:tab w:val="left" w:pos="200"/>
        </w:tabs>
        <w:spacing w:line="220" w:lineRule="exact"/>
        <w:jc w:val="both"/>
        <w:rPr>
          <w:rFonts w:ascii="Source Sans Pro SemiBold" w:hAnsi="Source Sans Pro SemiBold" w:cs="Source Sans Pro"/>
          <w:b/>
          <w:bCs/>
          <w:color w:val="0087A8"/>
          <w:sz w:val="18"/>
          <w:szCs w:val="18"/>
        </w:rPr>
      </w:pPr>
      <w:r w:rsidRPr="006456EA">
        <w:rPr>
          <w:rFonts w:ascii="Source Sans Pro SemiBold" w:hAnsi="Source Sans Pro SemiBold" w:cs="Source Sans Pro SemiBold"/>
          <w:b/>
          <w:bCs/>
          <w:color w:val="0087A8"/>
          <w:sz w:val="18"/>
          <w:szCs w:val="18"/>
        </w:rPr>
        <w:t>www.germanpropertypartners.de</w:t>
      </w:r>
    </w:p>
    <w:p w14:paraId="0D06A16E" w14:textId="77777777" w:rsidR="00B9185E" w:rsidRDefault="00B9185E" w:rsidP="00B9185E">
      <w:pPr>
        <w:pStyle w:val="EinfAbs"/>
        <w:tabs>
          <w:tab w:val="left" w:pos="200"/>
        </w:tabs>
        <w:spacing w:line="220" w:lineRule="exact"/>
        <w:jc w:val="both"/>
        <w:rPr>
          <w:rFonts w:ascii="Source Sans Pro SemiBold" w:hAnsi="Source Sans Pro SemiBold" w:cs="Source Sans Pro SemiBold"/>
          <w:bCs/>
          <w:sz w:val="14"/>
          <w:szCs w:val="14"/>
        </w:rPr>
      </w:pPr>
    </w:p>
    <w:p w14:paraId="526BA817" w14:textId="77777777" w:rsidR="00B9185E" w:rsidRPr="00D56A51" w:rsidRDefault="00B9185E" w:rsidP="00B9185E">
      <w:pPr>
        <w:pStyle w:val="EinfAbs"/>
        <w:tabs>
          <w:tab w:val="left" w:pos="200"/>
        </w:tabs>
        <w:spacing w:line="220" w:lineRule="exact"/>
        <w:jc w:val="both"/>
        <w:rPr>
          <w:rFonts w:ascii="Source Sans Pro SemiBold" w:hAnsi="Source Sans Pro SemiBold" w:cs="Source Sans Pro"/>
          <w:b/>
          <w:bCs/>
          <w:color w:val="0087A8"/>
          <w:sz w:val="18"/>
          <w:szCs w:val="18"/>
        </w:rPr>
      </w:pPr>
      <w:r w:rsidRPr="00290672">
        <w:rPr>
          <w:rFonts w:ascii="Source Sans Pro SemiBold" w:hAnsi="Source Sans Pro SemiBold" w:cs="Source Sans Pro SemiBold"/>
          <w:bCs/>
          <w:sz w:val="14"/>
          <w:szCs w:val="14"/>
        </w:rPr>
        <w:t>Die</w:t>
      </w:r>
      <w:r>
        <w:rPr>
          <w:rFonts w:ascii="Source Sans Pro SemiBold" w:hAnsi="Source Sans Pro SemiBold" w:cs="Source Sans Pro SemiBold"/>
          <w:b/>
          <w:bCs/>
          <w:caps/>
          <w:sz w:val="14"/>
          <w:szCs w:val="14"/>
        </w:rPr>
        <w:t xml:space="preserve"> </w:t>
      </w:r>
      <w:r w:rsidRPr="00917410">
        <w:rPr>
          <w:rFonts w:ascii="Source Sans Pro SemiBold" w:hAnsi="Source Sans Pro SemiBold" w:cs="Source Sans Pro SemiBold"/>
          <w:b/>
          <w:bCs/>
          <w:caps/>
          <w:sz w:val="14"/>
          <w:szCs w:val="14"/>
        </w:rPr>
        <w:t>Datenschutzerklärung</w:t>
      </w:r>
      <w:r w:rsidRPr="00917410">
        <w:rPr>
          <w:rFonts w:ascii="Source Sans Pro" w:hAnsi="Source Sans Pro" w:cs="Source Sans Pro"/>
          <w:sz w:val="14"/>
          <w:szCs w:val="14"/>
        </w:rPr>
        <w:t xml:space="preserve"> von German Property Partners finden Sie auf der GPP-Website: www.germanpropertypartners.de/datenschutz. Wenn Sie künftig keine Informationen der GPP-Pressestelle mehr erhalten möchten, senden Sie bitte eine E-Mail an presse@germanpropertypartners.de mit dem Betreff „Abmeldung aus Presseverteiler“. </w:t>
      </w:r>
      <w:bookmarkEnd w:id="0"/>
    </w:p>
    <w:p w14:paraId="468FAFF6" w14:textId="2D07F6DD" w:rsidR="005C25D5" w:rsidRPr="00D53B8E" w:rsidRDefault="005C25D5" w:rsidP="00B9185E">
      <w:pPr>
        <w:pStyle w:val="EinfAbs"/>
        <w:tabs>
          <w:tab w:val="left" w:pos="200"/>
        </w:tabs>
        <w:spacing w:line="220" w:lineRule="exact"/>
        <w:jc w:val="both"/>
        <w:rPr>
          <w:rFonts w:ascii="Source Sans Pro" w:hAnsi="Source Sans Pro" w:cs="Source Sans Pro"/>
          <w:sz w:val="14"/>
          <w:szCs w:val="14"/>
        </w:rPr>
      </w:pPr>
    </w:p>
    <w:sectPr w:rsidR="005C25D5" w:rsidRPr="00D53B8E" w:rsidSect="001B786B">
      <w:headerReference w:type="default" r:id="rId10"/>
      <w:footerReference w:type="default" r:id="rId11"/>
      <w:headerReference w:type="first" r:id="rId12"/>
      <w:footerReference w:type="first" r:id="rId13"/>
      <w:pgSz w:w="11900" w:h="16820" w:code="9"/>
      <w:pgMar w:top="2552" w:right="1304" w:bottom="567" w:left="1304" w:header="885"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0F43" w14:textId="77777777" w:rsidR="00E95463" w:rsidRDefault="00E95463">
      <w:r>
        <w:separator/>
      </w:r>
    </w:p>
  </w:endnote>
  <w:endnote w:type="continuationSeparator" w:id="0">
    <w:p w14:paraId="488BB092" w14:textId="77777777" w:rsidR="00E95463" w:rsidRDefault="00E9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HelveticaNeueLT Pro 55 Roman">
    <w:altName w:val="Arial"/>
    <w:charset w:val="4D"/>
    <w:family w:val="swiss"/>
    <w:pitch w:val="variable"/>
    <w:sig w:usb0="A00000AF" w:usb1="5000204A" w:usb2="00000000" w:usb3="00000000" w:csb0="00000093" w:csb1="00000000"/>
  </w:font>
  <w:font w:name="DengXian Light">
    <w:altName w:val="Microsoft JhengHei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C666" w14:textId="0B1390D1" w:rsidR="004D467B" w:rsidRDefault="004D467B" w:rsidP="001B786B">
    <w:pPr>
      <w:pStyle w:val="Fuzeile"/>
      <w:spacing w:line="220" w:lineRule="exact"/>
      <w:rPr>
        <w:rStyle w:val="Seitenzahl"/>
        <w:rFonts w:ascii="Source Sans Pro" w:hAnsi="Source Sans Pro" w:cs="Arial"/>
        <w:color w:val="0086A8"/>
        <w:sz w:val="18"/>
        <w:szCs w:val="18"/>
      </w:rPr>
    </w:pPr>
  </w:p>
  <w:p w14:paraId="08A74C44" w14:textId="77777777" w:rsidR="004D467B" w:rsidRDefault="004D467B" w:rsidP="001B786B">
    <w:pPr>
      <w:pStyle w:val="Fuzeile"/>
      <w:spacing w:line="220" w:lineRule="exact"/>
      <w:rPr>
        <w:rStyle w:val="Seitenzahl"/>
        <w:rFonts w:ascii="Source Sans Pro" w:hAnsi="Source Sans Pro" w:cs="Arial"/>
        <w:color w:val="0086A8"/>
        <w:sz w:val="18"/>
        <w:szCs w:val="18"/>
      </w:rPr>
    </w:pPr>
  </w:p>
  <w:p w14:paraId="1F725FAF" w14:textId="77777777" w:rsidR="004D467B" w:rsidRPr="006456EA" w:rsidRDefault="004D467B" w:rsidP="001B786B">
    <w:pPr>
      <w:pStyle w:val="Fuzeile"/>
      <w:spacing w:line="220" w:lineRule="exact"/>
      <w:rPr>
        <w:rStyle w:val="Seitenzahl"/>
        <w:rFonts w:ascii="Source Sans Pro" w:hAnsi="Source Sans Pro" w:cs="Arial"/>
        <w:color w:val="0087A8"/>
        <w:sz w:val="18"/>
        <w:szCs w:val="18"/>
      </w:rPr>
    </w:pPr>
  </w:p>
  <w:p w14:paraId="3E5BA6C5" w14:textId="3CA8E767" w:rsidR="004D467B" w:rsidRPr="006456EA" w:rsidRDefault="004D467B" w:rsidP="005644BE">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691482">
      <w:rPr>
        <w:rStyle w:val="Seitenzahl"/>
        <w:rFonts w:ascii="Source Sans Pro" w:hAnsi="Source Sans Pro" w:cs="Arial"/>
        <w:noProof/>
        <w:color w:val="0087A8"/>
        <w:sz w:val="18"/>
        <w:szCs w:val="18"/>
      </w:rPr>
      <w:t>2</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I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691482">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5D199B7F" w14:textId="2FF90D14" w:rsidR="004D467B" w:rsidRPr="006456EA" w:rsidRDefault="004D467B" w:rsidP="005644BE">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Pr="006456EA">
      <w:rPr>
        <w:rFonts w:ascii="Source Sans Pro SemiBold" w:hAnsi="Source Sans Pro SemiBold" w:cs="Source Sans Pro SemiBold"/>
        <w:b/>
        <w:bCs/>
        <w:caps/>
        <w:color w:val="0087A8"/>
        <w:sz w:val="18"/>
        <w:szCs w:val="18"/>
      </w:rPr>
      <w:tab/>
    </w:r>
    <w:proofErr w:type="gramStart"/>
    <w:r>
      <w:rPr>
        <w:rFonts w:ascii="Source Sans Pro" w:hAnsi="Source Sans Pro" w:cs="Source Sans Pro"/>
        <w:color w:val="0087A8"/>
        <w:sz w:val="18"/>
        <w:szCs w:val="18"/>
      </w:rPr>
      <w:t>T  +</w:t>
    </w:r>
    <w:proofErr w:type="gramEnd"/>
    <w:r>
      <w:rPr>
        <w:rFonts w:ascii="Source Sans Pro" w:hAnsi="Source Sans Pro" w:cs="Source Sans Pro"/>
        <w:color w:val="0087A8"/>
        <w:sz w:val="18"/>
        <w:szCs w:val="18"/>
      </w:rPr>
      <w:t>49 40 350802-</w:t>
    </w:r>
    <w:r w:rsidR="00597FFD">
      <w:rPr>
        <w:rFonts w:ascii="Source Sans Pro" w:hAnsi="Source Sans Pro" w:cs="Source Sans Pro"/>
        <w:color w:val="0087A8"/>
        <w:sz w:val="18"/>
        <w:szCs w:val="18"/>
      </w:rPr>
      <w:t>5</w:t>
    </w:r>
    <w:r>
      <w:rPr>
        <w:rFonts w:ascii="Source Sans Pro" w:hAnsi="Source Sans Pro" w:cs="Source Sans Pro"/>
        <w:color w:val="0087A8"/>
        <w:sz w:val="18"/>
        <w:szCs w:val="18"/>
      </w:rPr>
      <w:t>88</w:t>
    </w:r>
    <w:r w:rsidRPr="006456EA">
      <w:rPr>
        <w:rFonts w:ascii="Source Sans Pro" w:hAnsi="Source Sans Pro" w:cs="Source Sans Pro"/>
        <w:color w:val="0087A8"/>
        <w:sz w:val="18"/>
        <w:szCs w:val="18"/>
      </w:rPr>
      <w:t xml:space="preserve"> </w:t>
    </w:r>
  </w:p>
  <w:p w14:paraId="6F9C1B3C" w14:textId="44E33EA6" w:rsidR="004D467B" w:rsidRPr="005644BE" w:rsidRDefault="004D467B" w:rsidP="001B786B">
    <w:pPr>
      <w:pStyle w:val="EinfAbs"/>
      <w:tabs>
        <w:tab w:val="left" w:pos="2268"/>
      </w:tabs>
      <w:spacing w:line="220" w:lineRule="exact"/>
      <w:rPr>
        <w:rFonts w:ascii="Source Sans Pro" w:hAnsi="Source Sans Pro" w:cs="Source Sans Pro"/>
        <w:color w:val="0086A8"/>
        <w:sz w:val="18"/>
        <w:szCs w:val="18"/>
      </w:rPr>
    </w:pPr>
    <w:r w:rsidRPr="00965DEB">
      <w:rPr>
        <w:noProof/>
      </w:rPr>
      <w:drawing>
        <wp:anchor distT="0" distB="0" distL="114300" distR="114300" simplePos="0" relativeHeight="251676672" behindDoc="0" locked="0" layoutInCell="1" allowOverlap="1" wp14:anchorId="74B63C0B" wp14:editId="0C6711F5">
          <wp:simplePos x="0" y="0"/>
          <wp:positionH relativeFrom="page">
            <wp:posOffset>4788535</wp:posOffset>
          </wp:positionH>
          <wp:positionV relativeFrom="page">
            <wp:posOffset>10196195</wp:posOffset>
          </wp:positionV>
          <wp:extent cx="1947600" cy="100800"/>
          <wp:effectExtent l="0" t="0" r="0" b="127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597FFD">
      <w:rPr>
        <w:rFonts w:ascii="Source Sans Pro" w:hAnsi="Source Sans Pro" w:cs="Source Sans Pro"/>
        <w:color w:val="0087A8"/>
        <w:sz w:val="18"/>
        <w:szCs w:val="18"/>
      </w:rPr>
      <w:t>Corinna Fühner</w:t>
    </w:r>
    <w:r w:rsidRPr="006456EA">
      <w:rPr>
        <w:rFonts w:ascii="Source Sans Pro" w:hAnsi="Source Sans Pro" w:cs="Source Sans Pro"/>
        <w:color w:val="0087A8"/>
        <w:sz w:val="18"/>
        <w:szCs w:val="18"/>
      </w:rPr>
      <w:tab/>
      <w:t>presse@germanpropertypartners.de</w:t>
    </w:r>
    <w:r>
      <w:rPr>
        <w:rStyle w:val="Seitenzahl"/>
      </w:rPr>
      <w:tab/>
    </w:r>
    <w:r>
      <w:rPr>
        <w:rStyle w:val="Seitenzah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AF12" w14:textId="78D04753" w:rsidR="004D467B" w:rsidRPr="001B786B" w:rsidRDefault="004D467B" w:rsidP="001B786B">
    <w:pPr>
      <w:pStyle w:val="Fuzeile"/>
      <w:spacing w:line="220" w:lineRule="exact"/>
      <w:rPr>
        <w:rStyle w:val="Seitenzahl"/>
        <w:rFonts w:ascii="Source Sans Pro" w:hAnsi="Source Sans Pro"/>
        <w:color w:val="0086A8"/>
        <w:sz w:val="18"/>
        <w:szCs w:val="18"/>
      </w:rPr>
    </w:pPr>
  </w:p>
  <w:p w14:paraId="00991498" w14:textId="482DFEDD" w:rsidR="004D467B" w:rsidRPr="006456EA" w:rsidRDefault="004D467B" w:rsidP="00C35841">
    <w:pPr>
      <w:pStyle w:val="Fuzeile"/>
      <w:spacing w:line="220" w:lineRule="exact"/>
      <w:rPr>
        <w:rStyle w:val="Seitenzahl"/>
        <w:rFonts w:ascii="Source Sans Pro" w:hAnsi="Source Sans Pro" w:cs="Arial"/>
        <w:color w:val="0087A8"/>
        <w:sz w:val="18"/>
        <w:szCs w:val="18"/>
      </w:rPr>
    </w:pP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PAGE </w:instrText>
    </w:r>
    <w:r w:rsidRPr="006456EA">
      <w:rPr>
        <w:rStyle w:val="Seitenzahl"/>
        <w:rFonts w:ascii="Source Sans Pro" w:hAnsi="Source Sans Pro" w:cs="Arial"/>
        <w:color w:val="0087A8"/>
        <w:sz w:val="18"/>
        <w:szCs w:val="18"/>
      </w:rPr>
      <w:fldChar w:fldCharType="separate"/>
    </w:r>
    <w:r w:rsidR="00691482">
      <w:rPr>
        <w:rStyle w:val="Seitenzahl"/>
        <w:rFonts w:ascii="Source Sans Pro" w:hAnsi="Source Sans Pro" w:cs="Arial"/>
        <w:noProof/>
        <w:color w:val="0087A8"/>
        <w:sz w:val="18"/>
        <w:szCs w:val="18"/>
      </w:rPr>
      <w:t>1</w:t>
    </w:r>
    <w:r w:rsidRPr="006456EA">
      <w:rPr>
        <w:rStyle w:val="Seitenzahl"/>
        <w:rFonts w:ascii="Source Sans Pro" w:hAnsi="Source Sans Pro" w:cs="Arial"/>
        <w:color w:val="0087A8"/>
        <w:sz w:val="18"/>
        <w:szCs w:val="18"/>
      </w:rPr>
      <w:fldChar w:fldCharType="end"/>
    </w:r>
    <w:r w:rsidRPr="006456EA">
      <w:rPr>
        <w:rStyle w:val="Seitenzahl"/>
        <w:rFonts w:ascii="Source Sans Pro" w:hAnsi="Source Sans Pro" w:cs="Arial"/>
        <w:color w:val="0087A8"/>
        <w:sz w:val="18"/>
        <w:szCs w:val="18"/>
      </w:rPr>
      <w:t xml:space="preserve"> I </w:t>
    </w:r>
    <w:r w:rsidRPr="006456EA">
      <w:rPr>
        <w:rStyle w:val="Seitenzahl"/>
        <w:rFonts w:ascii="Source Sans Pro" w:hAnsi="Source Sans Pro" w:cs="Arial"/>
        <w:color w:val="0087A8"/>
        <w:sz w:val="18"/>
        <w:szCs w:val="18"/>
      </w:rPr>
      <w:fldChar w:fldCharType="begin"/>
    </w:r>
    <w:r w:rsidRPr="006456EA">
      <w:rPr>
        <w:rStyle w:val="Seitenzahl"/>
        <w:rFonts w:ascii="Source Sans Pro" w:hAnsi="Source Sans Pro" w:cs="Arial"/>
        <w:color w:val="0087A8"/>
        <w:sz w:val="18"/>
        <w:szCs w:val="18"/>
      </w:rPr>
      <w:instrText xml:space="preserve"> NUMPAGES </w:instrText>
    </w:r>
    <w:r w:rsidRPr="006456EA">
      <w:rPr>
        <w:rStyle w:val="Seitenzahl"/>
        <w:rFonts w:ascii="Source Sans Pro" w:hAnsi="Source Sans Pro" w:cs="Arial"/>
        <w:color w:val="0087A8"/>
        <w:sz w:val="18"/>
        <w:szCs w:val="18"/>
      </w:rPr>
      <w:fldChar w:fldCharType="separate"/>
    </w:r>
    <w:r w:rsidR="00691482">
      <w:rPr>
        <w:rStyle w:val="Seitenzahl"/>
        <w:rFonts w:ascii="Source Sans Pro" w:hAnsi="Source Sans Pro" w:cs="Arial"/>
        <w:noProof/>
        <w:color w:val="0087A8"/>
        <w:sz w:val="18"/>
        <w:szCs w:val="18"/>
      </w:rPr>
      <w:t>3</w:t>
    </w:r>
    <w:r w:rsidRPr="006456EA">
      <w:rPr>
        <w:rStyle w:val="Seitenzahl"/>
        <w:rFonts w:ascii="Source Sans Pro" w:hAnsi="Source Sans Pro" w:cs="Arial"/>
        <w:color w:val="0087A8"/>
        <w:sz w:val="18"/>
        <w:szCs w:val="18"/>
      </w:rPr>
      <w:fldChar w:fldCharType="end"/>
    </w:r>
  </w:p>
  <w:p w14:paraId="664ECE5C" w14:textId="1C977B77" w:rsidR="004D467B" w:rsidRPr="006456EA" w:rsidRDefault="004D467B" w:rsidP="00C846F6">
    <w:pPr>
      <w:pStyle w:val="EinfAbs"/>
      <w:tabs>
        <w:tab w:val="left" w:pos="2268"/>
      </w:tabs>
      <w:spacing w:line="220" w:lineRule="exact"/>
      <w:rPr>
        <w:rFonts w:ascii="Source Sans Pro" w:hAnsi="Source Sans Pro" w:cs="Source Sans Pro"/>
        <w:color w:val="0087A8"/>
        <w:sz w:val="18"/>
        <w:szCs w:val="18"/>
      </w:rPr>
    </w:pPr>
    <w:r w:rsidRPr="006456EA">
      <w:rPr>
        <w:rFonts w:ascii="Source Sans Pro SemiBold" w:hAnsi="Source Sans Pro SemiBold" w:cs="Source Sans Pro SemiBold"/>
        <w:b/>
        <w:bCs/>
        <w:caps/>
        <w:color w:val="0087A8"/>
        <w:sz w:val="18"/>
        <w:szCs w:val="18"/>
      </w:rPr>
      <w:t>PRESSEKONTAKT:</w:t>
    </w:r>
    <w:r w:rsidRPr="006456EA">
      <w:rPr>
        <w:rFonts w:ascii="Source Sans Pro SemiBold" w:hAnsi="Source Sans Pro SemiBold" w:cs="Source Sans Pro SemiBold"/>
        <w:b/>
        <w:bCs/>
        <w:caps/>
        <w:color w:val="0087A8"/>
        <w:sz w:val="18"/>
        <w:szCs w:val="18"/>
      </w:rPr>
      <w:tab/>
    </w:r>
    <w:proofErr w:type="gramStart"/>
    <w:r w:rsidRPr="006456EA">
      <w:rPr>
        <w:rFonts w:ascii="Source Sans Pro" w:hAnsi="Source Sans Pro" w:cs="Source Sans Pro"/>
        <w:color w:val="0087A8"/>
        <w:sz w:val="18"/>
        <w:szCs w:val="18"/>
      </w:rPr>
      <w:t>T  +</w:t>
    </w:r>
    <w:proofErr w:type="gramEnd"/>
    <w:r>
      <w:rPr>
        <w:rFonts w:ascii="Source Sans Pro" w:hAnsi="Source Sans Pro" w:cs="Source Sans Pro"/>
        <w:color w:val="0087A8"/>
        <w:sz w:val="18"/>
        <w:szCs w:val="18"/>
      </w:rPr>
      <w:t>49 40 350802-</w:t>
    </w:r>
    <w:r w:rsidR="00597FFD">
      <w:rPr>
        <w:rFonts w:ascii="Source Sans Pro" w:hAnsi="Source Sans Pro" w:cs="Source Sans Pro"/>
        <w:color w:val="0087A8"/>
        <w:sz w:val="18"/>
        <w:szCs w:val="18"/>
      </w:rPr>
      <w:t>5</w:t>
    </w:r>
    <w:r>
      <w:rPr>
        <w:rFonts w:ascii="Source Sans Pro" w:hAnsi="Source Sans Pro" w:cs="Source Sans Pro"/>
        <w:color w:val="0087A8"/>
        <w:sz w:val="18"/>
        <w:szCs w:val="18"/>
      </w:rPr>
      <w:t>88</w:t>
    </w:r>
    <w:r w:rsidRPr="006456EA">
      <w:rPr>
        <w:rFonts w:ascii="Source Sans Pro" w:hAnsi="Source Sans Pro" w:cs="Source Sans Pro"/>
        <w:color w:val="0087A8"/>
        <w:sz w:val="18"/>
        <w:szCs w:val="18"/>
      </w:rPr>
      <w:t xml:space="preserve"> </w:t>
    </w:r>
  </w:p>
  <w:p w14:paraId="5F7CBAE8" w14:textId="025EE9C9" w:rsidR="004D467B" w:rsidRPr="006456EA" w:rsidRDefault="004D467B" w:rsidP="001B786B">
    <w:pPr>
      <w:pStyle w:val="EinfAbs"/>
      <w:tabs>
        <w:tab w:val="left" w:pos="2268"/>
      </w:tabs>
      <w:spacing w:line="220" w:lineRule="exact"/>
      <w:rPr>
        <w:rFonts w:ascii="Source Sans Pro" w:hAnsi="Source Sans Pro" w:cs="Source Sans Pro"/>
        <w:color w:val="0087A8"/>
        <w:sz w:val="18"/>
        <w:szCs w:val="18"/>
      </w:rPr>
    </w:pPr>
    <w:r>
      <w:rPr>
        <w:rFonts w:ascii="Source Sans Pro" w:hAnsi="Source Sans Pro" w:cs="Arial"/>
        <w:noProof/>
        <w:color w:val="0087A8"/>
        <w:sz w:val="18"/>
        <w:szCs w:val="18"/>
      </w:rPr>
      <w:drawing>
        <wp:anchor distT="0" distB="0" distL="114300" distR="114300" simplePos="0" relativeHeight="251673600" behindDoc="0" locked="0" layoutInCell="1" allowOverlap="1" wp14:anchorId="5D69998A" wp14:editId="68FB5133">
          <wp:simplePos x="0" y="0"/>
          <wp:positionH relativeFrom="page">
            <wp:posOffset>4788535</wp:posOffset>
          </wp:positionH>
          <wp:positionV relativeFrom="page">
            <wp:posOffset>10196195</wp:posOffset>
          </wp:positionV>
          <wp:extent cx="1947600" cy="100800"/>
          <wp:effectExtent l="0" t="0" r="0" b="127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pic:nvPicPr>
                <pic:blipFill>
                  <a:blip r:embed="rId1">
                    <a:extLst>
                      <a:ext uri="{28A0092B-C50C-407E-A947-70E740481C1C}">
                        <a14:useLocalDpi xmlns:a14="http://schemas.microsoft.com/office/drawing/2010/main" val="0"/>
                      </a:ext>
                    </a:extLst>
                  </a:blip>
                  <a:stretch>
                    <a:fillRect/>
                  </a:stretch>
                </pic:blipFill>
                <pic:spPr>
                  <a:xfrm>
                    <a:off x="0" y="0"/>
                    <a:ext cx="1947600" cy="100800"/>
                  </a:xfrm>
                  <a:prstGeom prst="rect">
                    <a:avLst/>
                  </a:prstGeom>
                </pic:spPr>
              </pic:pic>
            </a:graphicData>
          </a:graphic>
          <wp14:sizeRelH relativeFrom="margin">
            <wp14:pctWidth>0</wp14:pctWidth>
          </wp14:sizeRelH>
          <wp14:sizeRelV relativeFrom="margin">
            <wp14:pctHeight>0</wp14:pctHeight>
          </wp14:sizeRelV>
        </wp:anchor>
      </w:drawing>
    </w:r>
    <w:r w:rsidR="00597FFD">
      <w:rPr>
        <w:rFonts w:ascii="Source Sans Pro" w:hAnsi="Source Sans Pro" w:cs="Source Sans Pro"/>
        <w:color w:val="0087A8"/>
        <w:sz w:val="18"/>
        <w:szCs w:val="18"/>
      </w:rPr>
      <w:t>Corinna Fühner</w:t>
    </w:r>
    <w:r w:rsidRPr="006456EA">
      <w:rPr>
        <w:rFonts w:ascii="Source Sans Pro" w:hAnsi="Source Sans Pro" w:cs="Source Sans Pro"/>
        <w:color w:val="0087A8"/>
        <w:sz w:val="18"/>
        <w:szCs w:val="18"/>
      </w:rPr>
      <w:tab/>
      <w:t>presse@germanpropertypartners.de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59B0" w14:textId="77777777" w:rsidR="00E95463" w:rsidRDefault="00E95463">
      <w:r>
        <w:separator/>
      </w:r>
    </w:p>
  </w:footnote>
  <w:footnote w:type="continuationSeparator" w:id="0">
    <w:p w14:paraId="2A15D774" w14:textId="77777777" w:rsidR="00E95463" w:rsidRDefault="00E9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E73" w14:textId="5A8CA290" w:rsidR="004D467B" w:rsidRDefault="004D467B" w:rsidP="004D2CD0">
    <w:pPr>
      <w:pStyle w:val="Kopfzeile"/>
      <w:tabs>
        <w:tab w:val="clear" w:pos="4536"/>
        <w:tab w:val="clear" w:pos="9072"/>
        <w:tab w:val="left" w:pos="7938"/>
      </w:tabs>
      <w:ind w:right="-2043"/>
    </w:pPr>
    <w:r w:rsidRPr="00965DEB">
      <w:rPr>
        <w:noProof/>
      </w:rPr>
      <w:drawing>
        <wp:anchor distT="0" distB="0" distL="114300" distR="114300" simplePos="0" relativeHeight="251675648" behindDoc="0" locked="0" layoutInCell="1" allowOverlap="1" wp14:anchorId="08033756" wp14:editId="605ECF66">
          <wp:simplePos x="0" y="0"/>
          <wp:positionH relativeFrom="page">
            <wp:posOffset>5995035</wp:posOffset>
          </wp:positionH>
          <wp:positionV relativeFrom="page">
            <wp:posOffset>100965</wp:posOffset>
          </wp:positionV>
          <wp:extent cx="828000" cy="1065600"/>
          <wp:effectExtent l="0" t="0" r="0" b="127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tab/>
    </w:r>
  </w:p>
  <w:p w14:paraId="1736273E" w14:textId="0051BB57" w:rsidR="004D467B" w:rsidRDefault="004D467B" w:rsidP="004D2CD0">
    <w:pPr>
      <w:pStyle w:val="Kopfzeile"/>
      <w:tabs>
        <w:tab w:val="clear" w:pos="4536"/>
        <w:tab w:val="clear" w:pos="9072"/>
        <w:tab w:val="left" w:pos="7938"/>
      </w:tabs>
      <w:ind w:right="-1985"/>
    </w:pPr>
  </w:p>
  <w:p w14:paraId="138C2CDC" w14:textId="18B83CBB" w:rsidR="004D467B" w:rsidRDefault="004D467B" w:rsidP="001E5503">
    <w:pPr>
      <w:pStyle w:val="Kopfzeile"/>
      <w:tabs>
        <w:tab w:val="clear" w:pos="4536"/>
        <w:tab w:val="clear" w:pos="9072"/>
        <w:tab w:val="left" w:pos="7938"/>
      </w:tabs>
      <w:ind w:right="-1985"/>
    </w:pPr>
    <w:r>
      <w:rPr>
        <w:noProof/>
      </w:rPr>
      <mc:AlternateContent>
        <mc:Choice Requires="wps">
          <w:drawing>
            <wp:anchor distT="0" distB="0" distL="114300" distR="114300" simplePos="0" relativeHeight="251655168" behindDoc="0" locked="0" layoutInCell="0" allowOverlap="1" wp14:anchorId="36E0A73C" wp14:editId="0C60B6D8">
              <wp:simplePos x="0" y="0"/>
              <wp:positionH relativeFrom="column">
                <wp:posOffset>-26035</wp:posOffset>
              </wp:positionH>
              <wp:positionV relativeFrom="page">
                <wp:posOffset>1332865</wp:posOffset>
              </wp:positionV>
              <wp:extent cx="685800" cy="60134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44D80" id="Rectangle 5" o:spid="_x0000_s1026" style="position:absolute;margin-left:-2.05pt;margin-top:104.95pt;width:54pt;height:4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" o:allowincell="f" filled="f" stroked="f" strokeweight="0">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C617" w14:textId="0096DDD3" w:rsidR="004D467B" w:rsidRDefault="004D467B" w:rsidP="009F28F5">
    <w:pPr>
      <w:pStyle w:val="Kopfzeile"/>
      <w:tabs>
        <w:tab w:val="clear" w:pos="4536"/>
        <w:tab w:val="clear" w:pos="9072"/>
        <w:tab w:val="left" w:pos="7938"/>
      </w:tabs>
      <w:ind w:right="-2043"/>
    </w:pPr>
    <w:r>
      <w:rPr>
        <w:noProof/>
      </w:rPr>
      <w:drawing>
        <wp:anchor distT="0" distB="0" distL="114300" distR="114300" simplePos="0" relativeHeight="251654143" behindDoc="0" locked="0" layoutInCell="1" allowOverlap="1" wp14:anchorId="5CC17046" wp14:editId="66798E8E">
          <wp:simplePos x="0" y="0"/>
          <wp:positionH relativeFrom="page">
            <wp:posOffset>5995035</wp:posOffset>
          </wp:positionH>
          <wp:positionV relativeFrom="page">
            <wp:posOffset>102235</wp:posOffset>
          </wp:positionV>
          <wp:extent cx="828000" cy="1065600"/>
          <wp:effectExtent l="0" t="0" r="0" b="127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1">
                    <a:extLst>
                      <a:ext uri="{28A0092B-C50C-407E-A947-70E740481C1C}">
                        <a14:useLocalDpi xmlns:a14="http://schemas.microsoft.com/office/drawing/2010/main" val="0"/>
                      </a:ext>
                    </a:extLst>
                  </a:blip>
                  <a:stretch>
                    <a:fillRect/>
                  </a:stretch>
                </pic:blipFill>
                <pic:spPr>
                  <a:xfrm>
                    <a:off x="0" y="0"/>
                    <a:ext cx="828000" cy="106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1" layoutInCell="0" allowOverlap="1" wp14:anchorId="7A25BCC8" wp14:editId="12A8C88E">
              <wp:simplePos x="0" y="0"/>
              <wp:positionH relativeFrom="page">
                <wp:posOffset>828040</wp:posOffset>
              </wp:positionH>
              <wp:positionV relativeFrom="page">
                <wp:posOffset>617220</wp:posOffset>
              </wp:positionV>
              <wp:extent cx="3333600" cy="288000"/>
              <wp:effectExtent l="0" t="0" r="6985" b="444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600" cy="28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4E771" w14:textId="77777777" w:rsidR="004D467B" w:rsidRDefault="004D467B"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4D467B" w:rsidRPr="00B922EE" w:rsidRDefault="004D467B" w:rsidP="00E775AC">
                          <w:pPr>
                            <w:pStyle w:val="AbsenderArial2"/>
                            <w:spacing w:line="240" w:lineRule="auto"/>
                            <w:rPr>
                              <w:rFonts w:ascii="HelveticaNeueLT Pro 55 Roman" w:hAnsi="HelveticaNeueLT Pro 55 Roman" w:cs="Arial"/>
                              <w:b w:val="0"/>
                              <w:color w:val="002639"/>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BCC8" id="Rectangle 6" o:spid="_x0000_s1026" style="position:absolute;margin-left:65.2pt;margin-top:48.6pt;width:262.5pt;height:2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" o:allowincell="f" filled="f" stroked="f" strokeweight="0">
              <v:textbox inset="0,0,0,0">
                <w:txbxContent>
                  <w:p w14:paraId="25B4E771" w14:textId="77777777" w:rsidR="004D467B" w:rsidRDefault="004D467B" w:rsidP="000E6577">
                    <w:pPr>
                      <w:pStyle w:val="EinfAbs"/>
                      <w:rPr>
                        <w:rFonts w:ascii="Source Sans Pro" w:hAnsi="Source Sans Pro" w:cs="Source Sans Pro"/>
                        <w:sz w:val="32"/>
                        <w:szCs w:val="32"/>
                      </w:rPr>
                    </w:pPr>
                    <w:r>
                      <w:rPr>
                        <w:rFonts w:ascii="Source Sans Pro" w:hAnsi="Source Sans Pro" w:cs="Source Sans Pro"/>
                        <w:sz w:val="32"/>
                        <w:szCs w:val="32"/>
                      </w:rPr>
                      <w:t>PRESSEMITTEILUNG</w:t>
                    </w:r>
                    <w:r>
                      <w:rPr>
                        <w:rFonts w:ascii="Source Sans Pro" w:hAnsi="Source Sans Pro" w:cs="Source Sans Pro"/>
                        <w:sz w:val="32"/>
                        <w:szCs w:val="32"/>
                      </w:rPr>
                      <w:br/>
                    </w:r>
                  </w:p>
                  <w:p w14:paraId="10D6939D" w14:textId="4BFF8C44" w:rsidR="004D467B" w:rsidRPr="00B922EE" w:rsidRDefault="004D467B" w:rsidP="00E775AC">
                    <w:pPr>
                      <w:pStyle w:val="AbsenderArial2"/>
                      <w:spacing w:line="240" w:lineRule="auto"/>
                      <w:rPr>
                        <w:rFonts w:ascii="HelveticaNeueLT Pro 55 Roman" w:hAnsi="HelveticaNeueLT Pro 55 Roman" w:cs="Arial"/>
                        <w:b w:val="0"/>
                        <w:color w:val="002639"/>
                        <w:sz w:val="36"/>
                        <w:szCs w:val="36"/>
                      </w:rPr>
                    </w:pPr>
                  </w:p>
                </w:txbxContent>
              </v:textbox>
              <w10:wrap anchorx="page" anchory="page"/>
              <w10:anchorlock/>
            </v:rect>
          </w:pict>
        </mc:Fallback>
      </mc:AlternateContent>
    </w:r>
    <w:r>
      <w:tab/>
    </w:r>
  </w:p>
  <w:p w14:paraId="3EAD45CF" w14:textId="5FC2DEDD" w:rsidR="004D467B" w:rsidRDefault="004D467B" w:rsidP="0005029E">
    <w:r>
      <w:tab/>
    </w:r>
  </w:p>
  <w:p w14:paraId="185BEDCB" w14:textId="4F512084" w:rsidR="004D467B" w:rsidRDefault="004D467B" w:rsidP="004D2CD0">
    <w:pPr>
      <w:pStyle w:val="Kopfzeile"/>
      <w:tabs>
        <w:tab w:val="clear" w:pos="4536"/>
        <w:tab w:val="clear" w:pos="9072"/>
        <w:tab w:val="left" w:pos="7938"/>
      </w:tabs>
      <w:ind w:right="-1985"/>
    </w:pPr>
    <w:r>
      <w:tab/>
    </w:r>
  </w:p>
  <w:p w14:paraId="19BE4530" w14:textId="5BD8E383" w:rsidR="004D467B" w:rsidRDefault="004D467B" w:rsidP="004D2CD0">
    <w:pPr>
      <w:pStyle w:val="Kopfzeile"/>
      <w:tabs>
        <w:tab w:val="clear" w:pos="4536"/>
        <w:tab w:val="clear" w:pos="9072"/>
        <w:tab w:val="left" w:pos="6265"/>
      </w:tabs>
      <w:ind w:right="-2043"/>
    </w:pPr>
  </w:p>
  <w:p w14:paraId="3370FE02" w14:textId="755B0682" w:rsidR="004D467B" w:rsidRPr="00DA6836" w:rsidRDefault="004D467B" w:rsidP="00FC69D9">
    <w:pPr>
      <w:pStyle w:val="Kopfzeile"/>
      <w:tabs>
        <w:tab w:val="clear" w:pos="4536"/>
        <w:tab w:val="clear" w:pos="9072"/>
        <w:tab w:val="left" w:pos="7230"/>
        <w:tab w:val="left" w:pos="8445"/>
      </w:tabs>
      <w:ind w:right="-2043"/>
      <w:rPr>
        <w:b/>
      </w:rPr>
    </w:pPr>
    <w:r>
      <w:tab/>
    </w:r>
  </w:p>
  <w:p w14:paraId="10CD55B7" w14:textId="6876FB57" w:rsidR="004D467B" w:rsidRDefault="004D467B">
    <w:pPr>
      <w:pStyle w:val="Kopfzeile"/>
      <w:tabs>
        <w:tab w:val="clear" w:pos="4536"/>
        <w:tab w:val="clear" w:pos="9072"/>
        <w:tab w:val="left" w:pos="6265"/>
      </w:tabs>
      <w:ind w:right="-2043"/>
      <w:rPr>
        <w:rFonts w:ascii="Arial" w:hAnsi="Arial"/>
        <w:sz w:val="15"/>
      </w:rPr>
    </w:pPr>
    <w:r>
      <w:rPr>
        <w:rFonts w:ascii="Arial" w:hAnsi="Arial"/>
        <w:sz w:val="15"/>
      </w:rPr>
      <w:softHyphen/>
    </w:r>
    <w:r>
      <w:rPr>
        <w:rFonts w:ascii="Arial" w:hAnsi="Arial"/>
        <w:sz w:val="15"/>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CAC"/>
    <w:multiLevelType w:val="multilevel"/>
    <w:tmpl w:val="7D52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070"/>
    <w:multiLevelType w:val="hybridMultilevel"/>
    <w:tmpl w:val="B9D6DA74"/>
    <w:lvl w:ilvl="0" w:tplc="04070001">
      <w:start w:val="1"/>
      <w:numFmt w:val="bullet"/>
      <w:lvlText w:val=""/>
      <w:lvlJc w:val="left"/>
      <w:pPr>
        <w:ind w:left="720" w:hanging="360"/>
      </w:pPr>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60776"/>
    <w:multiLevelType w:val="hybridMultilevel"/>
    <w:tmpl w:val="CFEE9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7477F"/>
    <w:multiLevelType w:val="multilevel"/>
    <w:tmpl w:val="0A3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C1103"/>
    <w:multiLevelType w:val="hybridMultilevel"/>
    <w:tmpl w:val="DD1622A8"/>
    <w:lvl w:ilvl="0" w:tplc="9F226046">
      <w:start w:val="13"/>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55E2B"/>
    <w:multiLevelType w:val="hybridMultilevel"/>
    <w:tmpl w:val="05107A14"/>
    <w:lvl w:ilvl="0" w:tplc="7764BC1C">
      <w:numFmt w:val="bullet"/>
      <w:lvlText w:val="-"/>
      <w:lvlJc w:val="left"/>
      <w:pPr>
        <w:ind w:left="720" w:hanging="360"/>
      </w:pPr>
      <w:rPr>
        <w:rFonts w:ascii="Source Sans Pro" w:eastAsia="Times New Roman" w:hAnsi="Source Sans Pro" w:cs="Arial" w:hint="default"/>
        <w:color w:val="00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020AB1"/>
    <w:multiLevelType w:val="multilevel"/>
    <w:tmpl w:val="C3DE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45E25"/>
    <w:multiLevelType w:val="hybridMultilevel"/>
    <w:tmpl w:val="67243188"/>
    <w:lvl w:ilvl="0" w:tplc="408A6814">
      <w:start w:val="13"/>
      <w:numFmt w:val="bullet"/>
      <w:lvlText w:val="-"/>
      <w:lvlJc w:val="left"/>
      <w:pPr>
        <w:ind w:left="720" w:hanging="360"/>
      </w:pPr>
      <w:rPr>
        <w:rFonts w:ascii="Source Sans Pro" w:eastAsia="Times New Roman" w:hAnsi="Source Sans Pro" w:cs="Source Sans Pro"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414998"/>
    <w:multiLevelType w:val="multilevel"/>
    <w:tmpl w:val="3872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F0FE0"/>
    <w:multiLevelType w:val="hybridMultilevel"/>
    <w:tmpl w:val="4B6244D0"/>
    <w:lvl w:ilvl="0" w:tplc="F0D6E700">
      <w:start w:val="13"/>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FA2061F"/>
    <w:multiLevelType w:val="hybridMultilevel"/>
    <w:tmpl w:val="794E1844"/>
    <w:lvl w:ilvl="0" w:tplc="F0D6E700">
      <w:start w:val="13"/>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296704"/>
    <w:multiLevelType w:val="multilevel"/>
    <w:tmpl w:val="7E9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03873"/>
    <w:multiLevelType w:val="hybridMultilevel"/>
    <w:tmpl w:val="8D9E8412"/>
    <w:lvl w:ilvl="0" w:tplc="04070001">
      <w:start w:val="1"/>
      <w:numFmt w:val="bullet"/>
      <w:lvlText w:val=""/>
      <w:lvlJc w:val="left"/>
      <w:pPr>
        <w:ind w:left="720" w:hanging="360"/>
      </w:pPr>
      <w:rPr>
        <w:rFonts w:ascii="Symbol" w:hAnsi="Symbo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F332DC"/>
    <w:multiLevelType w:val="multilevel"/>
    <w:tmpl w:val="B35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6799"/>
    <w:multiLevelType w:val="multilevel"/>
    <w:tmpl w:val="559C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B1734"/>
    <w:multiLevelType w:val="hybridMultilevel"/>
    <w:tmpl w:val="AFDE5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827505"/>
    <w:multiLevelType w:val="multilevel"/>
    <w:tmpl w:val="058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E35EC"/>
    <w:multiLevelType w:val="hybridMultilevel"/>
    <w:tmpl w:val="EB582FC6"/>
    <w:lvl w:ilvl="0" w:tplc="04070001">
      <w:start w:val="1"/>
      <w:numFmt w:val="bullet"/>
      <w:lvlText w:val=""/>
      <w:lvlJc w:val="left"/>
      <w:pPr>
        <w:ind w:left="1069" w:hanging="360"/>
      </w:pPr>
      <w:rPr>
        <w:rFonts w:ascii="Symbol" w:hAnsi="Symbol" w:hint="default"/>
        <w:color w:val="000000"/>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 w15:restartNumberingAfterBreak="0">
    <w:nsid w:val="60D93285"/>
    <w:multiLevelType w:val="hybridMultilevel"/>
    <w:tmpl w:val="B6EE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2F39F9"/>
    <w:multiLevelType w:val="hybridMultilevel"/>
    <w:tmpl w:val="C448B47A"/>
    <w:lvl w:ilvl="0" w:tplc="5EAEC226">
      <w:start w:val="13"/>
      <w:numFmt w:val="bullet"/>
      <w:lvlText w:val="-"/>
      <w:lvlJc w:val="left"/>
      <w:pPr>
        <w:ind w:left="720" w:hanging="360"/>
      </w:pPr>
      <w:rPr>
        <w:rFonts w:ascii="Source Sans Pro" w:eastAsia="Times New Roman" w:hAnsi="Source Sans Pro"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DE7954"/>
    <w:multiLevelType w:val="multilevel"/>
    <w:tmpl w:val="C17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8677B"/>
    <w:multiLevelType w:val="multilevel"/>
    <w:tmpl w:val="5332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424326"/>
    <w:multiLevelType w:val="multilevel"/>
    <w:tmpl w:val="A2EE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C79EC"/>
    <w:multiLevelType w:val="multilevel"/>
    <w:tmpl w:val="66E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55D67"/>
    <w:multiLevelType w:val="multilevel"/>
    <w:tmpl w:val="106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801F2"/>
    <w:multiLevelType w:val="hybridMultilevel"/>
    <w:tmpl w:val="804A3874"/>
    <w:lvl w:ilvl="0" w:tplc="D2F6CCDA">
      <w:start w:val="13"/>
      <w:numFmt w:val="bullet"/>
      <w:lvlText w:val="-"/>
      <w:lvlJc w:val="left"/>
      <w:pPr>
        <w:ind w:left="720" w:hanging="360"/>
      </w:pPr>
      <w:rPr>
        <w:rFonts w:ascii="Source Sans Pro" w:eastAsia="Times New Roman" w:hAnsi="Source Sans Pro" w:cs="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421763">
    <w:abstractNumId w:val="6"/>
  </w:num>
  <w:num w:numId="2" w16cid:durableId="1104303880">
    <w:abstractNumId w:val="11"/>
  </w:num>
  <w:num w:numId="3" w16cid:durableId="2112430085">
    <w:abstractNumId w:val="8"/>
  </w:num>
  <w:num w:numId="4" w16cid:durableId="587732713">
    <w:abstractNumId w:val="21"/>
  </w:num>
  <w:num w:numId="5" w16cid:durableId="878278149">
    <w:abstractNumId w:val="14"/>
  </w:num>
  <w:num w:numId="6" w16cid:durableId="1082406757">
    <w:abstractNumId w:val="22"/>
  </w:num>
  <w:num w:numId="7" w16cid:durableId="382100640">
    <w:abstractNumId w:val="18"/>
  </w:num>
  <w:num w:numId="8" w16cid:durableId="869605407">
    <w:abstractNumId w:val="5"/>
  </w:num>
  <w:num w:numId="9" w16cid:durableId="2140029220">
    <w:abstractNumId w:val="3"/>
  </w:num>
  <w:num w:numId="10" w16cid:durableId="732316279">
    <w:abstractNumId w:val="17"/>
  </w:num>
  <w:num w:numId="11" w16cid:durableId="129397331">
    <w:abstractNumId w:val="1"/>
  </w:num>
  <w:num w:numId="12" w16cid:durableId="1785614108">
    <w:abstractNumId w:val="2"/>
  </w:num>
  <w:num w:numId="13" w16cid:durableId="1353992277">
    <w:abstractNumId w:val="23"/>
  </w:num>
  <w:num w:numId="14" w16cid:durableId="763116095">
    <w:abstractNumId w:val="15"/>
  </w:num>
  <w:num w:numId="15" w16cid:durableId="1949197051">
    <w:abstractNumId w:val="0"/>
  </w:num>
  <w:num w:numId="16" w16cid:durableId="827091602">
    <w:abstractNumId w:val="12"/>
  </w:num>
  <w:num w:numId="17" w16cid:durableId="1710228190">
    <w:abstractNumId w:val="7"/>
  </w:num>
  <w:num w:numId="18" w16cid:durableId="1618638830">
    <w:abstractNumId w:val="24"/>
  </w:num>
  <w:num w:numId="19" w16cid:durableId="90440493">
    <w:abstractNumId w:val="19"/>
  </w:num>
  <w:num w:numId="20" w16cid:durableId="1273592514">
    <w:abstractNumId w:val="13"/>
  </w:num>
  <w:num w:numId="21" w16cid:durableId="26420363">
    <w:abstractNumId w:val="10"/>
  </w:num>
  <w:num w:numId="22" w16cid:durableId="164438671">
    <w:abstractNumId w:val="16"/>
  </w:num>
  <w:num w:numId="23" w16cid:durableId="1914660424">
    <w:abstractNumId w:val="9"/>
  </w:num>
  <w:num w:numId="24" w16cid:durableId="1595161468">
    <w:abstractNumId w:val="20"/>
  </w:num>
  <w:num w:numId="25" w16cid:durableId="1264067002">
    <w:abstractNumId w:val="4"/>
  </w:num>
  <w:num w:numId="26" w16cid:durableId="18777656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FILENAME" w:val="\\fs01\home$\jan.schubert\Documents\FlowFact\B7D4C3A5D261446A99E6AE46FA008189\GPP-PM-Top-7-Industrie-Logistikmaerkte-2025-2026.docx"/>
    <w:docVar w:name="WEITERE_DSN" w:val="AKT {B7D4C3A5-D261-446A-99E6-AE46FA008189}"/>
  </w:docVars>
  <w:rsids>
    <w:rsidRoot w:val="00BB0F85"/>
    <w:rsid w:val="00004E93"/>
    <w:rsid w:val="00013153"/>
    <w:rsid w:val="000136D7"/>
    <w:rsid w:val="00013D73"/>
    <w:rsid w:val="00020AC9"/>
    <w:rsid w:val="00027EA3"/>
    <w:rsid w:val="00032028"/>
    <w:rsid w:val="00036302"/>
    <w:rsid w:val="000373BE"/>
    <w:rsid w:val="000416A9"/>
    <w:rsid w:val="000440EB"/>
    <w:rsid w:val="0005029E"/>
    <w:rsid w:val="000663B5"/>
    <w:rsid w:val="00066A8A"/>
    <w:rsid w:val="00077E8A"/>
    <w:rsid w:val="000803C3"/>
    <w:rsid w:val="00082C59"/>
    <w:rsid w:val="00091562"/>
    <w:rsid w:val="0009382E"/>
    <w:rsid w:val="000A4FBB"/>
    <w:rsid w:val="000A6A78"/>
    <w:rsid w:val="000A7F2C"/>
    <w:rsid w:val="000B310B"/>
    <w:rsid w:val="000B3375"/>
    <w:rsid w:val="000C3A22"/>
    <w:rsid w:val="000C700E"/>
    <w:rsid w:val="000C7135"/>
    <w:rsid w:val="000D5A87"/>
    <w:rsid w:val="000D7B09"/>
    <w:rsid w:val="000D7FD3"/>
    <w:rsid w:val="000E194E"/>
    <w:rsid w:val="000E4F2C"/>
    <w:rsid w:val="000E6577"/>
    <w:rsid w:val="000F57F1"/>
    <w:rsid w:val="000F6770"/>
    <w:rsid w:val="00113D8C"/>
    <w:rsid w:val="00120624"/>
    <w:rsid w:val="0012156C"/>
    <w:rsid w:val="00136D6C"/>
    <w:rsid w:val="00142E6E"/>
    <w:rsid w:val="0014422E"/>
    <w:rsid w:val="0014524E"/>
    <w:rsid w:val="00150092"/>
    <w:rsid w:val="001550FE"/>
    <w:rsid w:val="00155828"/>
    <w:rsid w:val="00161817"/>
    <w:rsid w:val="0016190D"/>
    <w:rsid w:val="00162CC4"/>
    <w:rsid w:val="001647B3"/>
    <w:rsid w:val="00166ED2"/>
    <w:rsid w:val="00167437"/>
    <w:rsid w:val="00184BB0"/>
    <w:rsid w:val="00191E8C"/>
    <w:rsid w:val="00196178"/>
    <w:rsid w:val="001963BB"/>
    <w:rsid w:val="001A22F5"/>
    <w:rsid w:val="001A38A9"/>
    <w:rsid w:val="001A7854"/>
    <w:rsid w:val="001B5833"/>
    <w:rsid w:val="001B6B94"/>
    <w:rsid w:val="001B786B"/>
    <w:rsid w:val="001C13A8"/>
    <w:rsid w:val="001C3C07"/>
    <w:rsid w:val="001C5169"/>
    <w:rsid w:val="001C518B"/>
    <w:rsid w:val="001C6F02"/>
    <w:rsid w:val="001E0C34"/>
    <w:rsid w:val="001E1829"/>
    <w:rsid w:val="001E5503"/>
    <w:rsid w:val="001E7C76"/>
    <w:rsid w:val="001F218D"/>
    <w:rsid w:val="001F35E1"/>
    <w:rsid w:val="001F740C"/>
    <w:rsid w:val="00200C83"/>
    <w:rsid w:val="00200EB8"/>
    <w:rsid w:val="002014F7"/>
    <w:rsid w:val="00202DD3"/>
    <w:rsid w:val="0020665D"/>
    <w:rsid w:val="00222BD1"/>
    <w:rsid w:val="0022396B"/>
    <w:rsid w:val="0022694F"/>
    <w:rsid w:val="00232E71"/>
    <w:rsid w:val="00235393"/>
    <w:rsid w:val="00237082"/>
    <w:rsid w:val="00261C34"/>
    <w:rsid w:val="00262C87"/>
    <w:rsid w:val="00264A0A"/>
    <w:rsid w:val="0026668A"/>
    <w:rsid w:val="00276CF5"/>
    <w:rsid w:val="0028070D"/>
    <w:rsid w:val="002815C9"/>
    <w:rsid w:val="00282ED8"/>
    <w:rsid w:val="0028664E"/>
    <w:rsid w:val="00290672"/>
    <w:rsid w:val="00291398"/>
    <w:rsid w:val="00295789"/>
    <w:rsid w:val="002963F4"/>
    <w:rsid w:val="002A09C2"/>
    <w:rsid w:val="002A480D"/>
    <w:rsid w:val="002A7D58"/>
    <w:rsid w:val="002B63FD"/>
    <w:rsid w:val="002C52C5"/>
    <w:rsid w:val="002C6967"/>
    <w:rsid w:val="002E4094"/>
    <w:rsid w:val="002F461A"/>
    <w:rsid w:val="003152C9"/>
    <w:rsid w:val="00316196"/>
    <w:rsid w:val="0032364B"/>
    <w:rsid w:val="003250ED"/>
    <w:rsid w:val="00327F90"/>
    <w:rsid w:val="003333A7"/>
    <w:rsid w:val="0033542F"/>
    <w:rsid w:val="00337FB8"/>
    <w:rsid w:val="00341D84"/>
    <w:rsid w:val="00341F14"/>
    <w:rsid w:val="003424EC"/>
    <w:rsid w:val="0034307A"/>
    <w:rsid w:val="00344495"/>
    <w:rsid w:val="0034454C"/>
    <w:rsid w:val="00344A02"/>
    <w:rsid w:val="0035006E"/>
    <w:rsid w:val="00355438"/>
    <w:rsid w:val="00355ED1"/>
    <w:rsid w:val="00360688"/>
    <w:rsid w:val="00361DAD"/>
    <w:rsid w:val="00363075"/>
    <w:rsid w:val="0036613E"/>
    <w:rsid w:val="00366AF3"/>
    <w:rsid w:val="00371640"/>
    <w:rsid w:val="00374F87"/>
    <w:rsid w:val="003844CD"/>
    <w:rsid w:val="00385F87"/>
    <w:rsid w:val="003948FA"/>
    <w:rsid w:val="003A1817"/>
    <w:rsid w:val="003A463F"/>
    <w:rsid w:val="003A624D"/>
    <w:rsid w:val="003D36F0"/>
    <w:rsid w:val="003D3A21"/>
    <w:rsid w:val="003D5215"/>
    <w:rsid w:val="003E657D"/>
    <w:rsid w:val="003E772C"/>
    <w:rsid w:val="003F05D1"/>
    <w:rsid w:val="003F2300"/>
    <w:rsid w:val="003F293B"/>
    <w:rsid w:val="003F5E07"/>
    <w:rsid w:val="0040331F"/>
    <w:rsid w:val="00403C95"/>
    <w:rsid w:val="00423DAC"/>
    <w:rsid w:val="00424103"/>
    <w:rsid w:val="00425DBF"/>
    <w:rsid w:val="004329C6"/>
    <w:rsid w:val="004343B1"/>
    <w:rsid w:val="00434EB9"/>
    <w:rsid w:val="00445D87"/>
    <w:rsid w:val="00450AC5"/>
    <w:rsid w:val="00453F14"/>
    <w:rsid w:val="00456442"/>
    <w:rsid w:val="0045661B"/>
    <w:rsid w:val="00463A26"/>
    <w:rsid w:val="00471824"/>
    <w:rsid w:val="00474099"/>
    <w:rsid w:val="004748C0"/>
    <w:rsid w:val="00482052"/>
    <w:rsid w:val="004820A7"/>
    <w:rsid w:val="00484520"/>
    <w:rsid w:val="00491CBC"/>
    <w:rsid w:val="00493B8F"/>
    <w:rsid w:val="004A2A30"/>
    <w:rsid w:val="004A2D54"/>
    <w:rsid w:val="004A60FB"/>
    <w:rsid w:val="004A64EE"/>
    <w:rsid w:val="004B5CB6"/>
    <w:rsid w:val="004C616B"/>
    <w:rsid w:val="004C6FA8"/>
    <w:rsid w:val="004D2CD0"/>
    <w:rsid w:val="004D30FB"/>
    <w:rsid w:val="004D467B"/>
    <w:rsid w:val="004F1EDD"/>
    <w:rsid w:val="004F4B0B"/>
    <w:rsid w:val="004F77D4"/>
    <w:rsid w:val="00500981"/>
    <w:rsid w:val="00501428"/>
    <w:rsid w:val="005045E7"/>
    <w:rsid w:val="00510C33"/>
    <w:rsid w:val="005122A0"/>
    <w:rsid w:val="00530455"/>
    <w:rsid w:val="00530922"/>
    <w:rsid w:val="005349EA"/>
    <w:rsid w:val="0054038E"/>
    <w:rsid w:val="00541CB3"/>
    <w:rsid w:val="0054593A"/>
    <w:rsid w:val="00554C9F"/>
    <w:rsid w:val="00557B57"/>
    <w:rsid w:val="0056137E"/>
    <w:rsid w:val="005644BE"/>
    <w:rsid w:val="00573930"/>
    <w:rsid w:val="0057524E"/>
    <w:rsid w:val="00575A55"/>
    <w:rsid w:val="00575A75"/>
    <w:rsid w:val="005831CA"/>
    <w:rsid w:val="00587D0E"/>
    <w:rsid w:val="00597D0C"/>
    <w:rsid w:val="00597FFD"/>
    <w:rsid w:val="005A2D3A"/>
    <w:rsid w:val="005A5999"/>
    <w:rsid w:val="005C25D5"/>
    <w:rsid w:val="005D0D0E"/>
    <w:rsid w:val="005D2518"/>
    <w:rsid w:val="005D449F"/>
    <w:rsid w:val="005D73BE"/>
    <w:rsid w:val="005E1C97"/>
    <w:rsid w:val="005E4A59"/>
    <w:rsid w:val="005E6515"/>
    <w:rsid w:val="005F3B7B"/>
    <w:rsid w:val="0060257F"/>
    <w:rsid w:val="00604B4E"/>
    <w:rsid w:val="00605989"/>
    <w:rsid w:val="00613713"/>
    <w:rsid w:val="006206CF"/>
    <w:rsid w:val="006224FB"/>
    <w:rsid w:val="0062643A"/>
    <w:rsid w:val="0063115F"/>
    <w:rsid w:val="006335EF"/>
    <w:rsid w:val="006363DA"/>
    <w:rsid w:val="006417A7"/>
    <w:rsid w:val="006432C0"/>
    <w:rsid w:val="006456EA"/>
    <w:rsid w:val="00653983"/>
    <w:rsid w:val="006609C2"/>
    <w:rsid w:val="00674C25"/>
    <w:rsid w:val="00675E89"/>
    <w:rsid w:val="00681CAC"/>
    <w:rsid w:val="00681D99"/>
    <w:rsid w:val="006862FF"/>
    <w:rsid w:val="0068744F"/>
    <w:rsid w:val="00691482"/>
    <w:rsid w:val="00695F46"/>
    <w:rsid w:val="006A225A"/>
    <w:rsid w:val="006A3C35"/>
    <w:rsid w:val="006A6D11"/>
    <w:rsid w:val="006B0033"/>
    <w:rsid w:val="006B2259"/>
    <w:rsid w:val="006B3ECE"/>
    <w:rsid w:val="006C3461"/>
    <w:rsid w:val="006C5754"/>
    <w:rsid w:val="006C7D7B"/>
    <w:rsid w:val="006D1E5B"/>
    <w:rsid w:val="006D5C01"/>
    <w:rsid w:val="006D6526"/>
    <w:rsid w:val="006D712E"/>
    <w:rsid w:val="006E2538"/>
    <w:rsid w:val="006E6048"/>
    <w:rsid w:val="006E674D"/>
    <w:rsid w:val="006E6770"/>
    <w:rsid w:val="006F154A"/>
    <w:rsid w:val="0070363C"/>
    <w:rsid w:val="00712023"/>
    <w:rsid w:val="007144E9"/>
    <w:rsid w:val="00714A1F"/>
    <w:rsid w:val="00717328"/>
    <w:rsid w:val="0072073D"/>
    <w:rsid w:val="00720883"/>
    <w:rsid w:val="00727C84"/>
    <w:rsid w:val="00742C04"/>
    <w:rsid w:val="0074571D"/>
    <w:rsid w:val="00750A05"/>
    <w:rsid w:val="00761832"/>
    <w:rsid w:val="00771C92"/>
    <w:rsid w:val="00780DC2"/>
    <w:rsid w:val="00786DA4"/>
    <w:rsid w:val="00793057"/>
    <w:rsid w:val="007959C9"/>
    <w:rsid w:val="00797DA3"/>
    <w:rsid w:val="007A4038"/>
    <w:rsid w:val="007A4844"/>
    <w:rsid w:val="007B33CE"/>
    <w:rsid w:val="007B4C7F"/>
    <w:rsid w:val="007B78CD"/>
    <w:rsid w:val="007B7B81"/>
    <w:rsid w:val="007C5441"/>
    <w:rsid w:val="007D1495"/>
    <w:rsid w:val="007D5A52"/>
    <w:rsid w:val="007D75C8"/>
    <w:rsid w:val="007E2C66"/>
    <w:rsid w:val="007F02D6"/>
    <w:rsid w:val="007F1021"/>
    <w:rsid w:val="007F2DBB"/>
    <w:rsid w:val="007F7E7C"/>
    <w:rsid w:val="00814CEF"/>
    <w:rsid w:val="00821A81"/>
    <w:rsid w:val="008245EC"/>
    <w:rsid w:val="00825F63"/>
    <w:rsid w:val="008268CF"/>
    <w:rsid w:val="0082738D"/>
    <w:rsid w:val="008322D8"/>
    <w:rsid w:val="00833CC0"/>
    <w:rsid w:val="008501B5"/>
    <w:rsid w:val="00851067"/>
    <w:rsid w:val="00856A7C"/>
    <w:rsid w:val="00857B28"/>
    <w:rsid w:val="00863F2D"/>
    <w:rsid w:val="00864461"/>
    <w:rsid w:val="00871652"/>
    <w:rsid w:val="008739E7"/>
    <w:rsid w:val="00874645"/>
    <w:rsid w:val="008768ED"/>
    <w:rsid w:val="00881685"/>
    <w:rsid w:val="008844D9"/>
    <w:rsid w:val="00891C3A"/>
    <w:rsid w:val="00894C2A"/>
    <w:rsid w:val="008A3A3B"/>
    <w:rsid w:val="008A7188"/>
    <w:rsid w:val="008B01C4"/>
    <w:rsid w:val="008B33CF"/>
    <w:rsid w:val="008B7962"/>
    <w:rsid w:val="008C1E0B"/>
    <w:rsid w:val="008C3CA8"/>
    <w:rsid w:val="008D4023"/>
    <w:rsid w:val="008E678F"/>
    <w:rsid w:val="008F0ABF"/>
    <w:rsid w:val="008F1C7E"/>
    <w:rsid w:val="008F2058"/>
    <w:rsid w:val="009064CE"/>
    <w:rsid w:val="00911150"/>
    <w:rsid w:val="00912233"/>
    <w:rsid w:val="00917335"/>
    <w:rsid w:val="00917410"/>
    <w:rsid w:val="009225DB"/>
    <w:rsid w:val="009264D0"/>
    <w:rsid w:val="0093360A"/>
    <w:rsid w:val="00934FD0"/>
    <w:rsid w:val="009358D3"/>
    <w:rsid w:val="0094586C"/>
    <w:rsid w:val="00955433"/>
    <w:rsid w:val="00955764"/>
    <w:rsid w:val="00955C25"/>
    <w:rsid w:val="00957A6F"/>
    <w:rsid w:val="00962CFF"/>
    <w:rsid w:val="009649C2"/>
    <w:rsid w:val="00965A06"/>
    <w:rsid w:val="00965DEB"/>
    <w:rsid w:val="009738DE"/>
    <w:rsid w:val="00980BEB"/>
    <w:rsid w:val="00980D94"/>
    <w:rsid w:val="0098216D"/>
    <w:rsid w:val="00982F7B"/>
    <w:rsid w:val="00983219"/>
    <w:rsid w:val="009843D4"/>
    <w:rsid w:val="009862FC"/>
    <w:rsid w:val="0099076D"/>
    <w:rsid w:val="0099690F"/>
    <w:rsid w:val="00996D38"/>
    <w:rsid w:val="009A10C6"/>
    <w:rsid w:val="009B008F"/>
    <w:rsid w:val="009C3FDE"/>
    <w:rsid w:val="009E2BDD"/>
    <w:rsid w:val="009E36F5"/>
    <w:rsid w:val="009E6DF7"/>
    <w:rsid w:val="009F0449"/>
    <w:rsid w:val="009F28F5"/>
    <w:rsid w:val="00A07846"/>
    <w:rsid w:val="00A11C78"/>
    <w:rsid w:val="00A15C58"/>
    <w:rsid w:val="00A17CA6"/>
    <w:rsid w:val="00A22C2C"/>
    <w:rsid w:val="00A25950"/>
    <w:rsid w:val="00A346EF"/>
    <w:rsid w:val="00A368F8"/>
    <w:rsid w:val="00A41948"/>
    <w:rsid w:val="00A42A98"/>
    <w:rsid w:val="00A47C46"/>
    <w:rsid w:val="00A51638"/>
    <w:rsid w:val="00A54087"/>
    <w:rsid w:val="00A63939"/>
    <w:rsid w:val="00A65690"/>
    <w:rsid w:val="00A65FB0"/>
    <w:rsid w:val="00A66A23"/>
    <w:rsid w:val="00A743C6"/>
    <w:rsid w:val="00A74CB2"/>
    <w:rsid w:val="00A8148C"/>
    <w:rsid w:val="00A91DC1"/>
    <w:rsid w:val="00A9412B"/>
    <w:rsid w:val="00A9413F"/>
    <w:rsid w:val="00AA510F"/>
    <w:rsid w:val="00AA6A14"/>
    <w:rsid w:val="00AB69AD"/>
    <w:rsid w:val="00AC696F"/>
    <w:rsid w:val="00AC6B15"/>
    <w:rsid w:val="00AD2569"/>
    <w:rsid w:val="00AD30C3"/>
    <w:rsid w:val="00AD4124"/>
    <w:rsid w:val="00AD7D3A"/>
    <w:rsid w:val="00AE0761"/>
    <w:rsid w:val="00AE07A3"/>
    <w:rsid w:val="00AE0E7B"/>
    <w:rsid w:val="00AE212B"/>
    <w:rsid w:val="00AE2412"/>
    <w:rsid w:val="00AE2AC4"/>
    <w:rsid w:val="00AE318F"/>
    <w:rsid w:val="00AE4360"/>
    <w:rsid w:val="00AF0066"/>
    <w:rsid w:val="00AF237D"/>
    <w:rsid w:val="00AF27B7"/>
    <w:rsid w:val="00AF2F71"/>
    <w:rsid w:val="00B005BD"/>
    <w:rsid w:val="00B03444"/>
    <w:rsid w:val="00B04493"/>
    <w:rsid w:val="00B04F23"/>
    <w:rsid w:val="00B14C16"/>
    <w:rsid w:val="00B14E68"/>
    <w:rsid w:val="00B22BF2"/>
    <w:rsid w:val="00B23669"/>
    <w:rsid w:val="00B24860"/>
    <w:rsid w:val="00B46A90"/>
    <w:rsid w:val="00B46F77"/>
    <w:rsid w:val="00B56AFB"/>
    <w:rsid w:val="00B576A5"/>
    <w:rsid w:val="00B66324"/>
    <w:rsid w:val="00B71615"/>
    <w:rsid w:val="00B757B3"/>
    <w:rsid w:val="00B84A5F"/>
    <w:rsid w:val="00B862DB"/>
    <w:rsid w:val="00B9185E"/>
    <w:rsid w:val="00B91CD6"/>
    <w:rsid w:val="00B922EE"/>
    <w:rsid w:val="00B9596E"/>
    <w:rsid w:val="00BA40E3"/>
    <w:rsid w:val="00BA7136"/>
    <w:rsid w:val="00BB0F85"/>
    <w:rsid w:val="00BB2479"/>
    <w:rsid w:val="00BB724C"/>
    <w:rsid w:val="00BC0132"/>
    <w:rsid w:val="00BC0598"/>
    <w:rsid w:val="00BC42C0"/>
    <w:rsid w:val="00BC7379"/>
    <w:rsid w:val="00BD2784"/>
    <w:rsid w:val="00BD2FF0"/>
    <w:rsid w:val="00BD3228"/>
    <w:rsid w:val="00BE3158"/>
    <w:rsid w:val="00BE4B7E"/>
    <w:rsid w:val="00BE5653"/>
    <w:rsid w:val="00BF0CAB"/>
    <w:rsid w:val="00BF11C6"/>
    <w:rsid w:val="00BF4C68"/>
    <w:rsid w:val="00C11004"/>
    <w:rsid w:val="00C111FE"/>
    <w:rsid w:val="00C12CD4"/>
    <w:rsid w:val="00C1497F"/>
    <w:rsid w:val="00C20B9C"/>
    <w:rsid w:val="00C2509E"/>
    <w:rsid w:val="00C251B5"/>
    <w:rsid w:val="00C2778C"/>
    <w:rsid w:val="00C27F6A"/>
    <w:rsid w:val="00C35841"/>
    <w:rsid w:val="00C41C74"/>
    <w:rsid w:val="00C43C76"/>
    <w:rsid w:val="00C47C3C"/>
    <w:rsid w:val="00C47F8B"/>
    <w:rsid w:val="00C50091"/>
    <w:rsid w:val="00C50567"/>
    <w:rsid w:val="00C603B0"/>
    <w:rsid w:val="00C70089"/>
    <w:rsid w:val="00C72D8F"/>
    <w:rsid w:val="00C742DD"/>
    <w:rsid w:val="00C846F6"/>
    <w:rsid w:val="00C96048"/>
    <w:rsid w:val="00C96214"/>
    <w:rsid w:val="00C9797F"/>
    <w:rsid w:val="00CA1FB9"/>
    <w:rsid w:val="00CA73C1"/>
    <w:rsid w:val="00CA79D7"/>
    <w:rsid w:val="00CC40B9"/>
    <w:rsid w:val="00CD1783"/>
    <w:rsid w:val="00CD7E39"/>
    <w:rsid w:val="00CE2EFB"/>
    <w:rsid w:val="00CE5A10"/>
    <w:rsid w:val="00D02FD8"/>
    <w:rsid w:val="00D03F3B"/>
    <w:rsid w:val="00D10832"/>
    <w:rsid w:val="00D3104C"/>
    <w:rsid w:val="00D34158"/>
    <w:rsid w:val="00D42152"/>
    <w:rsid w:val="00D467C2"/>
    <w:rsid w:val="00D46AED"/>
    <w:rsid w:val="00D5019C"/>
    <w:rsid w:val="00D50FDD"/>
    <w:rsid w:val="00D53B8E"/>
    <w:rsid w:val="00D602AC"/>
    <w:rsid w:val="00D669CE"/>
    <w:rsid w:val="00D70824"/>
    <w:rsid w:val="00D7355D"/>
    <w:rsid w:val="00D7516B"/>
    <w:rsid w:val="00D760A9"/>
    <w:rsid w:val="00D76FF6"/>
    <w:rsid w:val="00D80BE8"/>
    <w:rsid w:val="00D925B8"/>
    <w:rsid w:val="00DA3052"/>
    <w:rsid w:val="00DA3B66"/>
    <w:rsid w:val="00DA4453"/>
    <w:rsid w:val="00DA6836"/>
    <w:rsid w:val="00DA733A"/>
    <w:rsid w:val="00DB11B6"/>
    <w:rsid w:val="00DB2417"/>
    <w:rsid w:val="00DB3F9F"/>
    <w:rsid w:val="00DC05A3"/>
    <w:rsid w:val="00DC6A0C"/>
    <w:rsid w:val="00E03DB3"/>
    <w:rsid w:val="00E07769"/>
    <w:rsid w:val="00E1280F"/>
    <w:rsid w:val="00E13D6B"/>
    <w:rsid w:val="00E17B2C"/>
    <w:rsid w:val="00E27DEF"/>
    <w:rsid w:val="00E32743"/>
    <w:rsid w:val="00E342C7"/>
    <w:rsid w:val="00E354F6"/>
    <w:rsid w:val="00E4317C"/>
    <w:rsid w:val="00E528E6"/>
    <w:rsid w:val="00E56D2A"/>
    <w:rsid w:val="00E609C2"/>
    <w:rsid w:val="00E63703"/>
    <w:rsid w:val="00E64DDC"/>
    <w:rsid w:val="00E704C6"/>
    <w:rsid w:val="00E71B01"/>
    <w:rsid w:val="00E775AC"/>
    <w:rsid w:val="00E77B98"/>
    <w:rsid w:val="00E8471E"/>
    <w:rsid w:val="00E91E8C"/>
    <w:rsid w:val="00E942DA"/>
    <w:rsid w:val="00E94EF3"/>
    <w:rsid w:val="00E95463"/>
    <w:rsid w:val="00E959E9"/>
    <w:rsid w:val="00E95E00"/>
    <w:rsid w:val="00E97167"/>
    <w:rsid w:val="00EA6160"/>
    <w:rsid w:val="00EB0700"/>
    <w:rsid w:val="00EB0C34"/>
    <w:rsid w:val="00EB1611"/>
    <w:rsid w:val="00EB468A"/>
    <w:rsid w:val="00EC3DC1"/>
    <w:rsid w:val="00EC6CC2"/>
    <w:rsid w:val="00ED039C"/>
    <w:rsid w:val="00ED1C27"/>
    <w:rsid w:val="00ED6DCA"/>
    <w:rsid w:val="00EE5032"/>
    <w:rsid w:val="00EF7BE7"/>
    <w:rsid w:val="00F05141"/>
    <w:rsid w:val="00F06A76"/>
    <w:rsid w:val="00F13CEB"/>
    <w:rsid w:val="00F167CB"/>
    <w:rsid w:val="00F2164E"/>
    <w:rsid w:val="00F21ECC"/>
    <w:rsid w:val="00F240EB"/>
    <w:rsid w:val="00F315FE"/>
    <w:rsid w:val="00F31FE6"/>
    <w:rsid w:val="00F45BB8"/>
    <w:rsid w:val="00F46EEF"/>
    <w:rsid w:val="00F479B2"/>
    <w:rsid w:val="00F52FC7"/>
    <w:rsid w:val="00F53F80"/>
    <w:rsid w:val="00F5697E"/>
    <w:rsid w:val="00F673A2"/>
    <w:rsid w:val="00F72A3E"/>
    <w:rsid w:val="00F74B67"/>
    <w:rsid w:val="00F7577B"/>
    <w:rsid w:val="00F91726"/>
    <w:rsid w:val="00F925D8"/>
    <w:rsid w:val="00FB3B53"/>
    <w:rsid w:val="00FC1689"/>
    <w:rsid w:val="00FC69D9"/>
    <w:rsid w:val="00FD28C1"/>
    <w:rsid w:val="00FD7412"/>
    <w:rsid w:val="00FF05C5"/>
    <w:rsid w:val="00FF0668"/>
    <w:rsid w:val="00FF1703"/>
    <w:rsid w:val="00FF1EF9"/>
    <w:rsid w:val="00FF69E1"/>
    <w:rsid w:val="00FF6B2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46E54"/>
  <w15:chartTrackingRefBased/>
  <w15:docId w15:val="{BD8A4DCD-E9B6-4CF3-BD97-B28BB205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spacing w:before="240" w:after="240"/>
      <w:ind w:left="1134" w:hanging="1134"/>
      <w:outlineLvl w:val="0"/>
    </w:pPr>
    <w:rPr>
      <w:rFonts w:ascii="Arial" w:hAnsi="Arial"/>
      <w:b/>
      <w:kern w:val="28"/>
      <w:sz w:val="28"/>
    </w:rPr>
  </w:style>
  <w:style w:type="paragraph" w:styleId="berschrift2">
    <w:name w:val="heading 2"/>
    <w:basedOn w:val="Standard"/>
    <w:next w:val="Standard"/>
    <w:qFormat/>
    <w:pPr>
      <w:keepNext/>
      <w:spacing w:before="240" w:after="240"/>
      <w:ind w:left="1134" w:hanging="1134"/>
      <w:outlineLvl w:val="1"/>
    </w:pPr>
    <w:rPr>
      <w:rFonts w:ascii="Arial" w:hAnsi="Arial"/>
      <w:b/>
      <w:sz w:val="28"/>
    </w:rPr>
  </w:style>
  <w:style w:type="paragraph" w:styleId="berschrift3">
    <w:name w:val="heading 3"/>
    <w:basedOn w:val="Standard"/>
    <w:next w:val="Standard"/>
    <w:qFormat/>
    <w:pPr>
      <w:keepNext/>
      <w:spacing w:before="240" w:after="240"/>
      <w:ind w:left="1134" w:hanging="1134"/>
      <w:outlineLvl w:val="2"/>
    </w:pPr>
    <w:rPr>
      <w:rFonts w:ascii="Arial" w:hAnsi="Arial"/>
      <w:b/>
    </w:rPr>
  </w:style>
  <w:style w:type="paragraph" w:styleId="berschrift4">
    <w:name w:val="heading 4"/>
    <w:basedOn w:val="Standard"/>
    <w:next w:val="Standard"/>
    <w:qFormat/>
    <w:pPr>
      <w:ind w:left="2552" w:hanging="851"/>
      <w:outlineLvl w:val="3"/>
    </w:pPr>
    <w:rPr>
      <w:rFonts w:ascii="Arial" w:hAnsi="Arial"/>
      <w:b/>
    </w:rPr>
  </w:style>
  <w:style w:type="paragraph" w:styleId="berschrift5">
    <w:name w:val="heading 5"/>
    <w:basedOn w:val="Standard"/>
    <w:next w:val="Standard"/>
    <w:qFormat/>
    <w:pPr>
      <w:spacing w:before="240" w:after="240"/>
      <w:ind w:left="1418" w:hanging="1418"/>
      <w:outlineLvl w:val="4"/>
    </w:pPr>
    <w:rPr>
      <w:rFonts w:ascii="Arial" w:hAnsi="Arial"/>
      <w:b/>
    </w:rPr>
  </w:style>
  <w:style w:type="paragraph" w:styleId="berschrift6">
    <w:name w:val="heading 6"/>
    <w:basedOn w:val="Standard"/>
    <w:next w:val="Standard"/>
    <w:qFormat/>
    <w:pPr>
      <w:spacing w:before="240" w:after="240"/>
      <w:ind w:left="1418" w:hanging="1418"/>
      <w:outlineLvl w:val="5"/>
    </w:pPr>
    <w:rPr>
      <w:rFonts w:ascii="Arial" w:hAnsi="Arial"/>
      <w:b/>
    </w:rPr>
  </w:style>
  <w:style w:type="paragraph" w:styleId="berschrift7">
    <w:name w:val="heading 7"/>
    <w:basedOn w:val="Standard"/>
    <w:next w:val="Standard"/>
    <w:qFormat/>
    <w:pPr>
      <w:spacing w:before="240" w:after="240"/>
      <w:ind w:left="1418" w:hanging="1418"/>
      <w:outlineLvl w:val="6"/>
    </w:pPr>
    <w:rPr>
      <w:rFonts w:ascii="Arial" w:hAnsi="Arial"/>
      <w:b/>
    </w:rPr>
  </w:style>
  <w:style w:type="paragraph" w:styleId="berschrift8">
    <w:name w:val="heading 8"/>
    <w:basedOn w:val="Standard"/>
    <w:next w:val="Standard"/>
    <w:qFormat/>
    <w:pPr>
      <w:spacing w:before="240" w:after="240"/>
      <w:ind w:left="1418" w:hanging="1418"/>
      <w:outlineLvl w:val="7"/>
    </w:pPr>
    <w:rPr>
      <w:rFonts w:ascii="Arial" w:hAnsi="Arial"/>
      <w:b/>
    </w:rPr>
  </w:style>
  <w:style w:type="paragraph" w:styleId="berschrift9">
    <w:name w:val="heading 9"/>
    <w:basedOn w:val="Standard"/>
    <w:next w:val="Standard"/>
    <w:qFormat/>
    <w:pPr>
      <w:spacing w:before="240" w:after="240"/>
      <w:ind w:left="1418" w:hanging="1418"/>
      <w:outlineLvl w:val="8"/>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jc w:val="center"/>
    </w:pPr>
    <w:rPr>
      <w:rFonts w:ascii="Arial" w:hAnsi="Arial"/>
      <w:b/>
      <w:sz w:val="20"/>
    </w:rPr>
  </w:style>
  <w:style w:type="paragraph" w:styleId="Kopfzeile">
    <w:name w:val="header"/>
    <w:basedOn w:val="Standard"/>
    <w:link w:val="KopfzeileZchn"/>
    <w:pPr>
      <w:tabs>
        <w:tab w:val="center" w:pos="4536"/>
        <w:tab w:val="right" w:pos="9072"/>
      </w:tabs>
    </w:pPr>
    <w:rPr>
      <w:sz w:val="20"/>
    </w:rPr>
  </w:style>
  <w:style w:type="paragraph" w:customStyle="1" w:styleId="HFlietext">
    <w:name w:val="H_Fließtext"/>
    <w:pPr>
      <w:overflowPunct w:val="0"/>
      <w:autoSpaceDE w:val="0"/>
      <w:autoSpaceDN w:val="0"/>
      <w:adjustRightInd w:val="0"/>
      <w:spacing w:line="280" w:lineRule="exact"/>
      <w:textAlignment w:val="baseline"/>
    </w:pPr>
    <w:rPr>
      <w:sz w:val="22"/>
    </w:rPr>
  </w:style>
  <w:style w:type="paragraph" w:styleId="Fuzeile">
    <w:name w:val="footer"/>
    <w:basedOn w:val="Standard"/>
    <w:pPr>
      <w:tabs>
        <w:tab w:val="center" w:pos="4536"/>
        <w:tab w:val="right" w:pos="9072"/>
      </w:tabs>
    </w:pPr>
    <w:rPr>
      <w:sz w:val="20"/>
    </w:rPr>
  </w:style>
  <w:style w:type="paragraph" w:customStyle="1" w:styleId="HFlietextfett">
    <w:name w:val="H_Fließtext fett"/>
    <w:basedOn w:val="HFlietext"/>
    <w:rPr>
      <w:b/>
    </w:rPr>
  </w:style>
  <w:style w:type="paragraph" w:customStyle="1" w:styleId="AbsenderArial2">
    <w:name w:val="Absender_Arial2"/>
    <w:basedOn w:val="Standard"/>
    <w:pPr>
      <w:spacing w:after="85" w:line="190" w:lineRule="exact"/>
    </w:pPr>
    <w:rPr>
      <w:rFonts w:ascii="Arial" w:hAnsi="Arial"/>
      <w:b/>
      <w:sz w:val="15"/>
    </w:rPr>
  </w:style>
  <w:style w:type="character" w:styleId="Seitenzahl">
    <w:name w:val="page number"/>
    <w:basedOn w:val="Absatz-Standardschriftart"/>
  </w:style>
  <w:style w:type="paragraph" w:customStyle="1" w:styleId="Sprechblasentext1">
    <w:name w:val="Sprechblasentext1"/>
    <w:basedOn w:val="Standard"/>
    <w:rPr>
      <w:rFonts w:ascii="Tahoma" w:hAnsi="Tahoma"/>
      <w:sz w:val="16"/>
    </w:rPr>
  </w:style>
  <w:style w:type="paragraph" w:styleId="Sprechblasentext">
    <w:name w:val="Balloon Text"/>
    <w:basedOn w:val="Standard"/>
    <w:semiHidden/>
    <w:rsid w:val="00B9596E"/>
    <w:rPr>
      <w:rFonts w:ascii="Tahoma" w:hAnsi="Tahoma" w:cs="Tahoma"/>
      <w:sz w:val="16"/>
      <w:szCs w:val="16"/>
    </w:rPr>
  </w:style>
  <w:style w:type="character" w:customStyle="1" w:styleId="KopfzeileZchn">
    <w:name w:val="Kopfzeile Zchn"/>
    <w:basedOn w:val="Absatz-Standardschriftart"/>
    <w:link w:val="Kopfzeile"/>
    <w:rsid w:val="00575A55"/>
  </w:style>
  <w:style w:type="character" w:styleId="Hyperlink">
    <w:name w:val="Hyperlink"/>
    <w:uiPriority w:val="99"/>
    <w:unhideWhenUsed/>
    <w:rsid w:val="0072073D"/>
    <w:rPr>
      <w:color w:val="0563C1"/>
      <w:u w:val="single"/>
    </w:rPr>
  </w:style>
  <w:style w:type="paragraph" w:customStyle="1" w:styleId="EinfAbs">
    <w:name w:val="[Einf. Abs.]"/>
    <w:basedOn w:val="Standard"/>
    <w:uiPriority w:val="99"/>
    <w:rsid w:val="00E775AC"/>
    <w:pPr>
      <w:overflowPunct/>
      <w:spacing w:line="288" w:lineRule="auto"/>
      <w:textAlignment w:val="center"/>
    </w:pPr>
    <w:rPr>
      <w:rFonts w:ascii="MinionPro-Regular" w:hAnsi="MinionPro-Regular" w:cs="MinionPro-Regular"/>
      <w:color w:val="000000"/>
      <w:szCs w:val="24"/>
    </w:rPr>
  </w:style>
  <w:style w:type="character" w:customStyle="1" w:styleId="NichtaufgelsteErwhnung1">
    <w:name w:val="Nicht aufgelöste Erwähnung1"/>
    <w:basedOn w:val="Absatz-Standardschriftart"/>
    <w:uiPriority w:val="99"/>
    <w:semiHidden/>
    <w:unhideWhenUsed/>
    <w:rsid w:val="00881685"/>
    <w:rPr>
      <w:color w:val="605E5C"/>
      <w:shd w:val="clear" w:color="auto" w:fill="E1DFDD"/>
    </w:rPr>
  </w:style>
  <w:style w:type="character" w:styleId="BesuchterLink">
    <w:name w:val="FollowedHyperlink"/>
    <w:basedOn w:val="Absatz-Standardschriftart"/>
    <w:uiPriority w:val="99"/>
    <w:semiHidden/>
    <w:unhideWhenUsed/>
    <w:rsid w:val="00881685"/>
    <w:rPr>
      <w:color w:val="954F72" w:themeColor="followedHyperlink"/>
      <w:u w:val="single"/>
    </w:rPr>
  </w:style>
  <w:style w:type="table" w:styleId="Tabellenraster">
    <w:name w:val="Table Grid"/>
    <w:basedOn w:val="NormaleTabelle"/>
    <w:uiPriority w:val="59"/>
    <w:rsid w:val="004A2D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161817"/>
    <w:pPr>
      <w:overflowPunct/>
      <w:autoSpaceDE/>
      <w:autoSpaceDN/>
      <w:adjustRightInd/>
      <w:spacing w:after="200"/>
      <w:textAlignment w:val="auto"/>
    </w:pPr>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rsid w:val="00161817"/>
    <w:rPr>
      <w:rFonts w:asciiTheme="minorHAnsi" w:eastAsiaTheme="minorHAnsi" w:hAnsiTheme="minorHAnsi" w:cstheme="minorBidi"/>
      <w:lang w:eastAsia="en-US"/>
    </w:rPr>
  </w:style>
  <w:style w:type="table" w:customStyle="1" w:styleId="TableGrid1">
    <w:name w:val="Table Grid1"/>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1618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1E7C76"/>
    <w:rPr>
      <w:b/>
      <w:bCs/>
    </w:rPr>
  </w:style>
  <w:style w:type="paragraph" w:styleId="StandardWeb">
    <w:name w:val="Normal (Web)"/>
    <w:basedOn w:val="Standard"/>
    <w:uiPriority w:val="99"/>
    <w:semiHidden/>
    <w:unhideWhenUsed/>
    <w:rsid w:val="001E7C76"/>
    <w:pPr>
      <w:overflowPunct/>
      <w:autoSpaceDE/>
      <w:autoSpaceDN/>
      <w:adjustRightInd/>
      <w:spacing w:before="100" w:beforeAutospacing="1" w:after="100" w:afterAutospacing="1"/>
      <w:textAlignment w:val="auto"/>
    </w:pPr>
    <w:rPr>
      <w:szCs w:val="24"/>
    </w:rPr>
  </w:style>
  <w:style w:type="paragraph" w:styleId="Listenabsatz">
    <w:name w:val="List Paragraph"/>
    <w:basedOn w:val="Standard"/>
    <w:uiPriority w:val="34"/>
    <w:qFormat/>
    <w:rsid w:val="00D7516B"/>
    <w:pPr>
      <w:ind w:left="720"/>
      <w:contextualSpacing/>
    </w:pPr>
  </w:style>
  <w:style w:type="character" w:styleId="Kommentarzeichen">
    <w:name w:val="annotation reference"/>
    <w:basedOn w:val="Absatz-Standardschriftart"/>
    <w:uiPriority w:val="99"/>
    <w:semiHidden/>
    <w:unhideWhenUsed/>
    <w:rsid w:val="00C72D8F"/>
    <w:rPr>
      <w:sz w:val="16"/>
      <w:szCs w:val="16"/>
    </w:rPr>
  </w:style>
  <w:style w:type="paragraph" w:styleId="Kommentarthema">
    <w:name w:val="annotation subject"/>
    <w:basedOn w:val="Kommentartext"/>
    <w:next w:val="Kommentartext"/>
    <w:link w:val="KommentarthemaZchn"/>
    <w:uiPriority w:val="99"/>
    <w:semiHidden/>
    <w:unhideWhenUsed/>
    <w:rsid w:val="00C72D8F"/>
    <w:pPr>
      <w:overflowPunct w:val="0"/>
      <w:autoSpaceDE w:val="0"/>
      <w:autoSpaceDN w:val="0"/>
      <w:adjustRightInd w:val="0"/>
      <w:spacing w:after="0"/>
      <w:textAlignment w:val="baseline"/>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C72D8F"/>
    <w:rPr>
      <w:rFonts w:asciiTheme="minorHAnsi" w:eastAsiaTheme="minorHAnsi" w:hAnsiTheme="minorHAnsi" w:cstheme="minorBidi"/>
      <w:b/>
      <w:bCs/>
      <w:lang w:eastAsia="en-US"/>
    </w:rPr>
  </w:style>
  <w:style w:type="paragraph" w:customStyle="1" w:styleId="Default">
    <w:name w:val="Default"/>
    <w:rsid w:val="00261C34"/>
    <w:pPr>
      <w:autoSpaceDE w:val="0"/>
      <w:autoSpaceDN w:val="0"/>
      <w:adjustRightInd w:val="0"/>
    </w:pPr>
    <w:rPr>
      <w:rFonts w:ascii="Source Sans Pro" w:hAnsi="Source Sans Pro" w:cs="Source Sans Pro"/>
      <w:color w:val="000000"/>
      <w:sz w:val="24"/>
      <w:szCs w:val="24"/>
    </w:rPr>
  </w:style>
  <w:style w:type="paragraph" w:styleId="berarbeitung">
    <w:name w:val="Revision"/>
    <w:hidden/>
    <w:uiPriority w:val="99"/>
    <w:semiHidden/>
    <w:rsid w:val="006D71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6766">
      <w:bodyDiv w:val="1"/>
      <w:marLeft w:val="0"/>
      <w:marRight w:val="0"/>
      <w:marTop w:val="0"/>
      <w:marBottom w:val="0"/>
      <w:divBdr>
        <w:top w:val="none" w:sz="0" w:space="0" w:color="auto"/>
        <w:left w:val="none" w:sz="0" w:space="0" w:color="auto"/>
        <w:bottom w:val="none" w:sz="0" w:space="0" w:color="auto"/>
        <w:right w:val="none" w:sz="0" w:space="0" w:color="auto"/>
      </w:divBdr>
      <w:divsChild>
        <w:div w:id="1839464978">
          <w:marLeft w:val="0"/>
          <w:marRight w:val="0"/>
          <w:marTop w:val="0"/>
          <w:marBottom w:val="0"/>
          <w:divBdr>
            <w:top w:val="none" w:sz="0" w:space="0" w:color="auto"/>
            <w:left w:val="none" w:sz="0" w:space="0" w:color="auto"/>
            <w:bottom w:val="none" w:sz="0" w:space="0" w:color="auto"/>
            <w:right w:val="none" w:sz="0" w:space="0" w:color="auto"/>
          </w:divBdr>
        </w:div>
      </w:divsChild>
    </w:div>
    <w:div w:id="514268992">
      <w:bodyDiv w:val="1"/>
      <w:marLeft w:val="0"/>
      <w:marRight w:val="0"/>
      <w:marTop w:val="0"/>
      <w:marBottom w:val="0"/>
      <w:divBdr>
        <w:top w:val="none" w:sz="0" w:space="0" w:color="auto"/>
        <w:left w:val="none" w:sz="0" w:space="0" w:color="auto"/>
        <w:bottom w:val="none" w:sz="0" w:space="0" w:color="auto"/>
        <w:right w:val="none" w:sz="0" w:space="0" w:color="auto"/>
      </w:divBdr>
      <w:divsChild>
        <w:div w:id="1579559349">
          <w:marLeft w:val="0"/>
          <w:marRight w:val="0"/>
          <w:marTop w:val="0"/>
          <w:marBottom w:val="0"/>
          <w:divBdr>
            <w:top w:val="none" w:sz="0" w:space="0" w:color="auto"/>
            <w:left w:val="none" w:sz="0" w:space="0" w:color="auto"/>
            <w:bottom w:val="none" w:sz="0" w:space="0" w:color="auto"/>
            <w:right w:val="none" w:sz="0" w:space="0" w:color="auto"/>
          </w:divBdr>
        </w:div>
      </w:divsChild>
    </w:div>
    <w:div w:id="575019974">
      <w:bodyDiv w:val="1"/>
      <w:marLeft w:val="0"/>
      <w:marRight w:val="0"/>
      <w:marTop w:val="0"/>
      <w:marBottom w:val="0"/>
      <w:divBdr>
        <w:top w:val="none" w:sz="0" w:space="0" w:color="auto"/>
        <w:left w:val="none" w:sz="0" w:space="0" w:color="auto"/>
        <w:bottom w:val="none" w:sz="0" w:space="0" w:color="auto"/>
        <w:right w:val="none" w:sz="0" w:space="0" w:color="auto"/>
      </w:divBdr>
    </w:div>
    <w:div w:id="1459373238">
      <w:bodyDiv w:val="1"/>
      <w:marLeft w:val="0"/>
      <w:marRight w:val="0"/>
      <w:marTop w:val="0"/>
      <w:marBottom w:val="0"/>
      <w:divBdr>
        <w:top w:val="none" w:sz="0" w:space="0" w:color="auto"/>
        <w:left w:val="none" w:sz="0" w:space="0" w:color="auto"/>
        <w:bottom w:val="none" w:sz="0" w:space="0" w:color="auto"/>
        <w:right w:val="none" w:sz="0" w:space="0" w:color="auto"/>
      </w:divBdr>
      <w:divsChild>
        <w:div w:id="1865098538">
          <w:marLeft w:val="0"/>
          <w:marRight w:val="0"/>
          <w:marTop w:val="0"/>
          <w:marBottom w:val="0"/>
          <w:divBdr>
            <w:top w:val="none" w:sz="0" w:space="0" w:color="auto"/>
            <w:left w:val="none" w:sz="0" w:space="0" w:color="auto"/>
            <w:bottom w:val="none" w:sz="0" w:space="0" w:color="auto"/>
            <w:right w:val="none" w:sz="0" w:space="0" w:color="auto"/>
          </w:divBdr>
        </w:div>
      </w:divsChild>
    </w:div>
    <w:div w:id="1536772203">
      <w:bodyDiv w:val="1"/>
      <w:marLeft w:val="0"/>
      <w:marRight w:val="0"/>
      <w:marTop w:val="0"/>
      <w:marBottom w:val="0"/>
      <w:divBdr>
        <w:top w:val="none" w:sz="0" w:space="0" w:color="auto"/>
        <w:left w:val="none" w:sz="0" w:space="0" w:color="auto"/>
        <w:bottom w:val="none" w:sz="0" w:space="0" w:color="auto"/>
        <w:right w:val="none" w:sz="0" w:space="0" w:color="auto"/>
      </w:divBdr>
    </w:div>
    <w:div w:id="1639645235">
      <w:bodyDiv w:val="1"/>
      <w:marLeft w:val="0"/>
      <w:marRight w:val="0"/>
      <w:marTop w:val="0"/>
      <w:marBottom w:val="0"/>
      <w:divBdr>
        <w:top w:val="none" w:sz="0" w:space="0" w:color="auto"/>
        <w:left w:val="none" w:sz="0" w:space="0" w:color="auto"/>
        <w:bottom w:val="none" w:sz="0" w:space="0" w:color="auto"/>
        <w:right w:val="none" w:sz="0" w:space="0" w:color="auto"/>
      </w:divBdr>
    </w:div>
    <w:div w:id="1647053523">
      <w:bodyDiv w:val="1"/>
      <w:marLeft w:val="0"/>
      <w:marRight w:val="0"/>
      <w:marTop w:val="0"/>
      <w:marBottom w:val="0"/>
      <w:divBdr>
        <w:top w:val="none" w:sz="0" w:space="0" w:color="auto"/>
        <w:left w:val="none" w:sz="0" w:space="0" w:color="auto"/>
        <w:bottom w:val="none" w:sz="0" w:space="0" w:color="auto"/>
        <w:right w:val="none" w:sz="0" w:space="0" w:color="auto"/>
      </w:divBdr>
    </w:div>
    <w:div w:id="1865942798">
      <w:bodyDiv w:val="1"/>
      <w:marLeft w:val="0"/>
      <w:marRight w:val="0"/>
      <w:marTop w:val="0"/>
      <w:marBottom w:val="0"/>
      <w:divBdr>
        <w:top w:val="none" w:sz="0" w:space="0" w:color="auto"/>
        <w:left w:val="none" w:sz="0" w:space="0" w:color="auto"/>
        <w:bottom w:val="none" w:sz="0" w:space="0" w:color="auto"/>
        <w:right w:val="none" w:sz="0" w:space="0" w:color="auto"/>
      </w:divBdr>
    </w:div>
    <w:div w:id="20823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rmanpropertypartners.de/media/gpp/uploads/gpp-marktbericht-industrie-und-logistik-202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rmanpropertypartners.de/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5923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OFB-Brief Frankfurt</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OFB-Brief Frankfurt</dc:title>
  <dc:subject/>
  <dc:creator>Keller, Yvonne</dc:creator>
  <cp:keywords/>
  <cp:lastModifiedBy>Corinna Fühner</cp:lastModifiedBy>
  <cp:revision>8</cp:revision>
  <cp:lastPrinted>2019-05-13T13:17:00Z</cp:lastPrinted>
  <dcterms:created xsi:type="dcterms:W3CDTF">2026-02-12T07:59:00Z</dcterms:created>
  <dcterms:modified xsi:type="dcterms:W3CDTF">2026-02-17T15:13:00Z</dcterms:modified>
</cp:coreProperties>
</file>