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29C47" w14:textId="3F9105A1" w:rsidR="00555609" w:rsidRPr="00555609" w:rsidRDefault="00555609">
      <w:pPr>
        <w:rPr>
          <w:rFonts w:ascii="Avenir Next" w:hAnsi="Avenir Next"/>
          <w:lang w:val="de-DE"/>
        </w:rPr>
      </w:pPr>
      <w:r w:rsidRPr="00555609">
        <w:rPr>
          <w:rFonts w:ascii="Avenir Next" w:eastAsia="Times New Roman" w:hAnsi="Avenir Next" w:cs="Times New Roman"/>
          <w:noProof/>
          <w:color w:val="212121"/>
          <w:lang w:val="de-DE" w:eastAsia="de-DE"/>
        </w:rPr>
        <w:drawing>
          <wp:inline distT="0" distB="0" distL="0" distR="0" wp14:anchorId="3991CF99" wp14:editId="29D5FFD1">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54078548" w14:textId="77777777" w:rsidR="00555609" w:rsidRPr="00555609" w:rsidRDefault="00555609">
      <w:pPr>
        <w:rPr>
          <w:rFonts w:ascii="Avenir Next" w:hAnsi="Avenir Next"/>
          <w:lang w:val="de-DE"/>
        </w:rPr>
      </w:pPr>
    </w:p>
    <w:p w14:paraId="340B0D85" w14:textId="2FB8C907" w:rsidR="00555609" w:rsidRPr="00555609" w:rsidRDefault="00555609">
      <w:pPr>
        <w:rPr>
          <w:rFonts w:ascii="Avenir Next" w:hAnsi="Avenir Next"/>
          <w:sz w:val="24"/>
          <w:szCs w:val="24"/>
          <w:lang w:val="de-DE"/>
        </w:rPr>
      </w:pP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sidRPr="00555609">
        <w:rPr>
          <w:rFonts w:ascii="Avenir Next" w:hAnsi="Avenir Next"/>
          <w:sz w:val="24"/>
          <w:szCs w:val="24"/>
          <w:lang w:val="de-DE"/>
        </w:rPr>
        <w:tab/>
      </w:r>
      <w:r>
        <w:rPr>
          <w:rFonts w:ascii="Avenir Next" w:hAnsi="Avenir Next"/>
          <w:sz w:val="24"/>
          <w:szCs w:val="24"/>
          <w:lang w:val="de-DE"/>
        </w:rPr>
        <w:t xml:space="preserve">           </w:t>
      </w:r>
      <w:r w:rsidRPr="00555609">
        <w:rPr>
          <w:rFonts w:ascii="Avenir Next" w:hAnsi="Avenir Next"/>
          <w:sz w:val="24"/>
          <w:szCs w:val="24"/>
          <w:lang w:val="de-DE"/>
        </w:rPr>
        <w:t xml:space="preserve">Rheda-Wiedenbrück, den </w:t>
      </w:r>
      <w:r w:rsidR="0062613C">
        <w:rPr>
          <w:rFonts w:ascii="Avenir Next" w:hAnsi="Avenir Next"/>
          <w:sz w:val="24"/>
          <w:szCs w:val="24"/>
          <w:lang w:val="de-DE"/>
        </w:rPr>
        <w:t>5</w:t>
      </w:r>
      <w:r w:rsidRPr="00555609">
        <w:rPr>
          <w:rFonts w:ascii="Avenir Next" w:hAnsi="Avenir Next"/>
          <w:sz w:val="24"/>
          <w:szCs w:val="24"/>
          <w:lang w:val="de-DE"/>
        </w:rPr>
        <w:t xml:space="preserve">. </w:t>
      </w:r>
      <w:r w:rsidR="00F97428">
        <w:rPr>
          <w:rFonts w:ascii="Avenir Next" w:hAnsi="Avenir Next"/>
          <w:sz w:val="24"/>
          <w:szCs w:val="24"/>
          <w:lang w:val="de-DE"/>
        </w:rPr>
        <w:t>März</w:t>
      </w:r>
      <w:r w:rsidRPr="00555609">
        <w:rPr>
          <w:rFonts w:ascii="Avenir Next" w:hAnsi="Avenir Next"/>
          <w:sz w:val="24"/>
          <w:szCs w:val="24"/>
          <w:lang w:val="de-DE"/>
        </w:rPr>
        <w:t xml:space="preserve"> 202</w:t>
      </w:r>
      <w:r w:rsidR="00F97428">
        <w:rPr>
          <w:rFonts w:ascii="Avenir Next" w:hAnsi="Avenir Next"/>
          <w:sz w:val="24"/>
          <w:szCs w:val="24"/>
          <w:lang w:val="de-DE"/>
        </w:rPr>
        <w:t>6</w:t>
      </w:r>
    </w:p>
    <w:p w14:paraId="7B4425B9" w14:textId="77777777" w:rsidR="00555609" w:rsidRPr="00555609" w:rsidRDefault="00555609">
      <w:pPr>
        <w:rPr>
          <w:rFonts w:ascii="Avenir Next" w:hAnsi="Avenir Next"/>
          <w:lang w:val="de-DE"/>
        </w:rPr>
      </w:pPr>
    </w:p>
    <w:p w14:paraId="448E9539" w14:textId="77777777" w:rsidR="00555609" w:rsidRDefault="00555609">
      <w:pPr>
        <w:rPr>
          <w:rFonts w:ascii="Avenir Next" w:hAnsi="Avenir Next"/>
          <w:u w:val="single"/>
          <w:lang w:val="de-DE"/>
        </w:rPr>
      </w:pPr>
    </w:p>
    <w:p w14:paraId="7082ED5B" w14:textId="19A0B00D" w:rsidR="005B6C8F" w:rsidRPr="006D66CC" w:rsidRDefault="00000000">
      <w:pPr>
        <w:rPr>
          <w:rFonts w:ascii="Avenir Next" w:hAnsi="Avenir Next"/>
          <w:sz w:val="24"/>
          <w:szCs w:val="24"/>
          <w:lang w:val="de-DE"/>
        </w:rPr>
      </w:pPr>
      <w:r w:rsidRPr="006D66CC">
        <w:rPr>
          <w:rFonts w:ascii="Avenir Next" w:hAnsi="Avenir Next"/>
          <w:sz w:val="24"/>
          <w:szCs w:val="24"/>
          <w:lang w:val="de-DE"/>
        </w:rPr>
        <w:t>Pressemitteilung</w:t>
      </w:r>
    </w:p>
    <w:p w14:paraId="44F17529" w14:textId="77777777" w:rsidR="006D66CC" w:rsidRPr="006D66CC" w:rsidRDefault="006D66CC" w:rsidP="006D66CC">
      <w:pPr>
        <w:rPr>
          <w:rFonts w:ascii="Avenir Next" w:hAnsi="Avenir Next"/>
          <w:sz w:val="24"/>
          <w:szCs w:val="24"/>
          <w:u w:val="single"/>
          <w:lang w:val="de-DE"/>
        </w:rPr>
      </w:pPr>
      <w:r w:rsidRPr="006D66CC">
        <w:rPr>
          <w:rFonts w:ascii="Avenir Next" w:hAnsi="Avenir Next"/>
          <w:sz w:val="24"/>
          <w:szCs w:val="24"/>
          <w:u w:val="single"/>
          <w:lang w:val="de-DE"/>
        </w:rPr>
        <w:t>MÖBELMEILE Frühjahr vom 24. bis 26. März</w:t>
      </w:r>
    </w:p>
    <w:p w14:paraId="7E2882A7" w14:textId="77777777" w:rsidR="006D66CC" w:rsidRPr="006D66CC" w:rsidRDefault="006D66CC" w:rsidP="006D66CC">
      <w:pPr>
        <w:rPr>
          <w:rFonts w:ascii="Avenir Next" w:hAnsi="Avenir Next"/>
          <w:b/>
          <w:bCs/>
          <w:sz w:val="48"/>
          <w:szCs w:val="48"/>
          <w:lang w:val="de-DE"/>
        </w:rPr>
      </w:pPr>
      <w:r w:rsidRPr="006D66CC">
        <w:rPr>
          <w:rFonts w:ascii="Avenir Next" w:hAnsi="Avenir Next"/>
          <w:b/>
          <w:bCs/>
          <w:sz w:val="48"/>
          <w:szCs w:val="48"/>
          <w:lang w:val="de-DE"/>
        </w:rPr>
        <w:t>Drei Tage im Zeichen des Mutes</w:t>
      </w:r>
    </w:p>
    <w:p w14:paraId="67793DDD" w14:textId="78256889" w:rsidR="006D66CC" w:rsidRPr="006D66CC" w:rsidRDefault="006D66CC" w:rsidP="006D66CC">
      <w:pPr>
        <w:rPr>
          <w:rFonts w:ascii="Avenir Next" w:hAnsi="Avenir Next"/>
          <w:b/>
          <w:bCs/>
          <w:sz w:val="24"/>
          <w:szCs w:val="24"/>
          <w:lang w:val="de-DE"/>
        </w:rPr>
      </w:pPr>
      <w:r w:rsidRPr="006D66CC">
        <w:rPr>
          <w:rFonts w:ascii="Avenir Next" w:hAnsi="Avenir Next"/>
          <w:b/>
          <w:bCs/>
          <w:sz w:val="24"/>
          <w:szCs w:val="24"/>
          <w:lang w:val="de-DE"/>
        </w:rPr>
        <w:t xml:space="preserve">In wenigen Tagen ist es soweit: Vom 24. bis 26. März setzen die MÖBELMEILE-Partner </w:t>
      </w:r>
      <w:r>
        <w:rPr>
          <w:rFonts w:ascii="Avenir Next" w:hAnsi="Avenir Next"/>
          <w:b/>
          <w:bCs/>
          <w:sz w:val="24"/>
          <w:szCs w:val="24"/>
          <w:lang w:val="de-DE"/>
        </w:rPr>
        <w:t>an</w:t>
      </w:r>
      <w:r w:rsidRPr="006D66CC">
        <w:rPr>
          <w:rFonts w:ascii="Avenir Next" w:hAnsi="Avenir Next"/>
          <w:b/>
          <w:bCs/>
          <w:sz w:val="24"/>
          <w:szCs w:val="24"/>
          <w:lang w:val="de-DE"/>
        </w:rPr>
        <w:t xml:space="preserve"> drei Messetagen im Frühling ein starkes Signal für das Möbeljahr. Unter dem Motto „Wir machen Mut und Möbel“ geht es dabei um weit mehr als reine Produktpremieren. Mit dem Leitthema wird ein Zeichen für Erneuerung, unternehmerische Entschlossenheit und das dringend benötigte Wachstum in der Branche gesetzt.</w:t>
      </w:r>
    </w:p>
    <w:p w14:paraId="4F9972F6"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„Im Frühjahr stehen nicht allein Neuheiten im Fokus“, betont Geschäftsführer Michael Laukötter. „Es geht um Details der Zusammenarbeit, um Anbahnungen und die Vorbereitung gemeinsamer Projekte. Und angesichts des Zustands der Einrichtungsbranche geht es entscheidend auch um die richtige Haltung: den Mut, voranzugehen, Verantwortung zu übernehmen und der Branche wieder mehr Selbstvertrauen und Zuversicht zu geben. Unsere Partner glauben an die Wertigkeit ihrer Möbel – und treten selbstbewusst dafür ein.“</w:t>
      </w:r>
    </w:p>
    <w:p w14:paraId="4CDC1837" w14:textId="77777777" w:rsidR="006D66CC" w:rsidRPr="006D66CC" w:rsidRDefault="006D66CC" w:rsidP="006D66CC">
      <w:pPr>
        <w:rPr>
          <w:rFonts w:ascii="Avenir Next" w:hAnsi="Avenir Next"/>
          <w:b/>
          <w:bCs/>
          <w:sz w:val="24"/>
          <w:szCs w:val="24"/>
          <w:lang w:val="de-DE"/>
        </w:rPr>
      </w:pPr>
      <w:r w:rsidRPr="006D66CC">
        <w:rPr>
          <w:rFonts w:ascii="Avenir Next" w:hAnsi="Avenir Next"/>
          <w:b/>
          <w:bCs/>
          <w:sz w:val="24"/>
          <w:szCs w:val="24"/>
          <w:lang w:val="de-DE"/>
        </w:rPr>
        <w:t>Musterring, set one und WK WOHNEN: Ein Trio als sichere Bank</w:t>
      </w:r>
    </w:p>
    <w:p w14:paraId="3299CF72"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lastRenderedPageBreak/>
        <w:t>Traditionell steht im Frühjahr die Neuheitenschau bei Musterring, set one by Musterring und WK WOHNEN im Mittelpunkt.</w:t>
      </w:r>
    </w:p>
    <w:p w14:paraId="51B81D9B"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Bei Musterring überzeugt die 360°-Polstermöbelfläche aus jeder Perspektive. Gleichzeitig werden Topseller präsentiert, die auch in einem herausfordernden Marktumfeld für abgesicherte Umsätze sorgen. Ein weiterer Fokus liegt auf der komplett neu gestalteten „Welt des Schlafens“ sowie auf innovativen Wohnmöbel-Konzepten: Das neuartige Zusammenspiel aus Massivholz und Lack eröffnet zusätzliche Planungsmöglichkeiten und erweitert die bestehenden Lackprogramme konsequent.</w:t>
      </w:r>
    </w:p>
    <w:p w14:paraId="1F54B14E"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set one by Musterring startet mit frischer Energie und zahlreichen Neuheiten. Die Marketingfläche steht unter dem Motto „Was macht deinen Raum zum Lieblingsraum?“. Influencer geben inspirierende Einblicke in ihre Wohnwelten und präsentieren persönliche Favoriten – emotional und POS-stark inszeniert.</w:t>
      </w:r>
    </w:p>
    <w:p w14:paraId="0F22C9B1"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WK WOHNEN positioniert sich weiterhin als Marke für den hochwertigen Einrichtungshandel – mit starken Produkten, klarer Haltung und verlässlicher Partnerschaft.</w:t>
      </w:r>
    </w:p>
    <w:p w14:paraId="44A0424C" w14:textId="77777777" w:rsidR="006D66CC" w:rsidRPr="006D66CC" w:rsidRDefault="006D66CC" w:rsidP="006D66CC">
      <w:pPr>
        <w:rPr>
          <w:rFonts w:ascii="Avenir Next" w:hAnsi="Avenir Next"/>
          <w:b/>
          <w:bCs/>
          <w:sz w:val="24"/>
          <w:szCs w:val="24"/>
          <w:lang w:val="de-DE"/>
        </w:rPr>
      </w:pPr>
      <w:r w:rsidRPr="006D66CC">
        <w:rPr>
          <w:rFonts w:ascii="Avenir Next" w:hAnsi="Avenir Next"/>
          <w:b/>
          <w:bCs/>
          <w:sz w:val="24"/>
          <w:szCs w:val="24"/>
          <w:lang w:val="de-DE"/>
        </w:rPr>
        <w:t>3C und RMW: Vertiefte Kooperation</w:t>
      </w:r>
    </w:p>
    <w:p w14:paraId="531C43E3"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Bei 3C geht es in diesem Frühjahr darum, Impulse genau dort zu setzen, wo sie die größte Wirkung entfalten. Inspiration, Planbarkeit und verkaufsstarke POS-Ideen bilden die Grundlage durchdachter Erlebnisflächen mit echtem Mehrwert für den Handel. Produktneuheiten, Handelskonzepte und digitale Tools greifen dabei ineinander. Ein sichtbares Beispiel sind die modern geplanten Dining-Studiokonzepte im Showroom – konkret und klar strukturiert umsetzbar.</w:t>
      </w:r>
    </w:p>
    <w:p w14:paraId="7E6532FA"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RMW hebt die Kooperation mit MÖBELMEILE-Partner 3C auf die nächste Stufe. Nach der gemeinsamen Vorstellung wird im Frühjahr das Profil im Dining-Bereich weiter geschärft. Zusätzliche Angebote zur Darstellung des „Mix-and-Match“-Konzepts sowie neue Präsentationen teilmassiver Programme unterstreichen – passend zur Jahreszeit – die natürliche Seite der B2B-Marke.</w:t>
      </w:r>
    </w:p>
    <w:p w14:paraId="0B61A705" w14:textId="77777777" w:rsidR="006D66CC" w:rsidRPr="006D66CC" w:rsidRDefault="006D66CC" w:rsidP="006D66CC">
      <w:pPr>
        <w:rPr>
          <w:rFonts w:ascii="Avenir Next" w:hAnsi="Avenir Next"/>
          <w:b/>
          <w:bCs/>
          <w:sz w:val="24"/>
          <w:szCs w:val="24"/>
          <w:lang w:val="de-DE"/>
        </w:rPr>
      </w:pPr>
      <w:r w:rsidRPr="006D66CC">
        <w:rPr>
          <w:rFonts w:ascii="Avenir Next" w:hAnsi="Avenir Next"/>
          <w:b/>
          <w:bCs/>
          <w:sz w:val="24"/>
          <w:szCs w:val="24"/>
          <w:lang w:val="de-DE"/>
        </w:rPr>
        <w:t>Sudbrock: Ein Auftritt für mehr Leichtigkeit im Leben und Wohnen</w:t>
      </w:r>
    </w:p>
    <w:p w14:paraId="3C512A95"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lastRenderedPageBreak/>
        <w:t>Leichtigkeit, Präzision und Materialkraft prägen den Frühjahrsauftritt von Sudbrock in Rietberg-Bokel. Neue Lösungen für Schlafzimmer, Diele und Wohnraum werden als inspirierende Wohnbilder inszeniert, die Handwerk und modernes Design verbinden.</w:t>
      </w:r>
    </w:p>
    <w:p w14:paraId="10DB5FB6"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Das neue „GOYA+“-Bettsystem setzt auf hohe Variabilität mit unterschiedlichen Betthöhen, modularen Nachttischen sowie vielfältigen Fuß- und Polsteroptionen. Sanfte Rundungen verleihen dem Schlafzimmer eine sinnliche, leichte Anmutung.</w:t>
      </w:r>
    </w:p>
    <w:p w14:paraId="4AF38AD4"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Die erfolgreiche Garderobe „FOX“ geht in die zweite Generation. Ein reduziertes, flexibel kombinierbares System mit klaren Linien und präzisen Fugen sorgt für architektonische Ruhe und hohe Planbarkeit.</w:t>
      </w:r>
    </w:p>
    <w:p w14:paraId="7C21CC51"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Mit neuen Furnierkombinationen, der Oberfläche Bronze sowie zusätzlichen Keramikoberflächen setzt Sudbrock weitere Akzente in Materialität und Haptik.</w:t>
      </w:r>
    </w:p>
    <w:p w14:paraId="37A82F72" w14:textId="2D1EE866" w:rsidR="006D66CC" w:rsidRPr="006D66CC" w:rsidRDefault="00A2451C" w:rsidP="006D66CC">
      <w:pPr>
        <w:rPr>
          <w:rFonts w:ascii="Avenir Next" w:hAnsi="Avenir Next"/>
          <w:b/>
          <w:bCs/>
          <w:sz w:val="24"/>
          <w:szCs w:val="24"/>
          <w:lang w:val="de-DE"/>
        </w:rPr>
      </w:pPr>
      <w:r>
        <w:rPr>
          <w:rFonts w:ascii="Avenir Next" w:hAnsi="Avenir Next"/>
          <w:b/>
          <w:bCs/>
          <w:sz w:val="24"/>
          <w:szCs w:val="24"/>
          <w:lang w:val="de-DE"/>
        </w:rPr>
        <w:t xml:space="preserve">Mobitec zeigt starke Präsenz im </w:t>
      </w:r>
      <w:r w:rsidR="006D66CC" w:rsidRPr="006D66CC">
        <w:rPr>
          <w:rFonts w:ascii="Avenir Next" w:hAnsi="Avenir Next"/>
          <w:b/>
          <w:bCs/>
          <w:sz w:val="24"/>
          <w:szCs w:val="24"/>
          <w:lang w:val="de-DE"/>
        </w:rPr>
        <w:t xml:space="preserve">Haus Aussel </w:t>
      </w:r>
    </w:p>
    <w:p w14:paraId="4A30F12B" w14:textId="5F58FD65"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Mobitec hat das Leitmotiv der diesjährigen MÖBELMEILE-Kampagne sofort aufgegriffen: „Unser Mut zeigt sich zuerst im Produkt. Neue Kollektionen mit stärkerer Silhouette, präziserem Ausdruck</w:t>
      </w:r>
      <w:r>
        <w:rPr>
          <w:rFonts w:ascii="Avenir Next" w:hAnsi="Avenir Next"/>
          <w:sz w:val="24"/>
          <w:szCs w:val="24"/>
          <w:lang w:val="de-DE"/>
        </w:rPr>
        <w:t xml:space="preserve"> und</w:t>
      </w:r>
      <w:r w:rsidRPr="006D66CC">
        <w:rPr>
          <w:rFonts w:ascii="Avenir Next" w:hAnsi="Avenir Next"/>
          <w:sz w:val="24"/>
          <w:szCs w:val="24"/>
          <w:lang w:val="de-DE"/>
        </w:rPr>
        <w:t xml:space="preserve"> mehr architektonischer Präsenz. Keine Effekthascherei, sondern eine klare Designhaltung. Wir wollen Möbel schaffen, die man nicht erklären muss – die durch Proportion, Materialität und Komfort überzeugen“, erklärt Vertriebsleiter DACH, Ralf Lötfering.</w:t>
      </w:r>
    </w:p>
    <w:p w14:paraId="52A0E6C5"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Im Haus Aussel präsentiert Mobitec deshalb neben bestehenden Sortimenten neue Modelle im Scandi-Design. Besonderes Augenmerk liegt auf dem neuen Modell „RUBIO-OIL“: Neben Naturfarben gewinnen zunehmend auch dunklere Öl-Töne an Bedeutung.</w:t>
      </w:r>
    </w:p>
    <w:p w14:paraId="0A80A0A4"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Darüber hinaus sind die Showrooms von Venjakob, Lonsberg und Thielemeyer geöffnet und sorgen entlang der gesamten MÖBELMEILE-Tour für vielfältige Impulse in allen relevanten Wohnmöbel-Warengruppen.</w:t>
      </w:r>
    </w:p>
    <w:p w14:paraId="039F7CA4" w14:textId="77777777" w:rsidR="006D66CC" w:rsidRPr="006D66CC" w:rsidRDefault="006D66CC" w:rsidP="006D66CC">
      <w:pPr>
        <w:rPr>
          <w:rFonts w:ascii="Avenir Next" w:hAnsi="Avenir Next"/>
          <w:b/>
          <w:bCs/>
          <w:sz w:val="24"/>
          <w:szCs w:val="24"/>
          <w:lang w:val="de-DE"/>
        </w:rPr>
      </w:pPr>
      <w:r w:rsidRPr="006D66CC">
        <w:rPr>
          <w:rFonts w:ascii="Avenir Next" w:hAnsi="Avenir Next"/>
          <w:b/>
          <w:bCs/>
          <w:sz w:val="24"/>
          <w:szCs w:val="24"/>
          <w:lang w:val="de-DE"/>
        </w:rPr>
        <w:t>Einladung zu persönlichen Begegnungen</w:t>
      </w:r>
    </w:p>
    <w:p w14:paraId="187D4782"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lastRenderedPageBreak/>
        <w:t>„Gerade jetzt ist es wichtiger denn je, miteinander ins Gespräch zu kommen“, so Michael Laukötter. „Wir laden Möbelhändler, Inneneinrichter, Einkäufer und Kollektionsmanager herzlich ein, das Alltagsgeschäft für einen Moment hinter sich zu lassen und die MÖBELMEILE bewusst auf sich wirken zu lassen. Aus Erfahrung wissen wir, dass genau diese persönlichen Begegnungen, Gespräche und Eindrücke einen nachhaltigen Effekt haben – fachlich wie unternehmerisch.“</w:t>
      </w:r>
    </w:p>
    <w:p w14:paraId="192D09B1" w14:textId="77777777" w:rsidR="006D66CC" w:rsidRPr="006D66CC" w:rsidRDefault="006D66CC" w:rsidP="006D66CC">
      <w:pPr>
        <w:rPr>
          <w:rFonts w:ascii="Avenir Next" w:hAnsi="Avenir Next"/>
          <w:sz w:val="24"/>
          <w:szCs w:val="24"/>
          <w:lang w:val="de-DE"/>
        </w:rPr>
      </w:pPr>
      <w:r w:rsidRPr="006D66CC">
        <w:rPr>
          <w:rFonts w:ascii="Avenir Next" w:hAnsi="Avenir Next"/>
          <w:sz w:val="24"/>
          <w:szCs w:val="24"/>
          <w:lang w:val="de-DE"/>
        </w:rPr>
        <w:t>Die MÖBELMEILE-Showrooms sind vom 24. bis 26. März geöffnet – parallel zu den Partnertagen im Messezentrum Bad Salzuflen sowie zu weiteren Hausmessen, etwa bei der Bega-Gruppe in Lügde oder Polipol in Diepenau.</w:t>
      </w:r>
    </w:p>
    <w:p w14:paraId="710178F6" w14:textId="492FF366" w:rsidR="005B6C8F" w:rsidRPr="00555609" w:rsidRDefault="005B6C8F">
      <w:pPr>
        <w:rPr>
          <w:rFonts w:ascii="Avenir Next" w:hAnsi="Avenir Next"/>
          <w:sz w:val="24"/>
          <w:szCs w:val="24"/>
          <w:lang w:val="de-DE"/>
        </w:rPr>
      </w:pPr>
    </w:p>
    <w:p w14:paraId="6425C156" w14:textId="77777777" w:rsidR="00555609" w:rsidRPr="00555609" w:rsidRDefault="00555609">
      <w:pPr>
        <w:rPr>
          <w:rFonts w:ascii="Avenir Next" w:hAnsi="Avenir Next"/>
          <w:sz w:val="24"/>
          <w:szCs w:val="24"/>
          <w:lang w:val="de-DE"/>
        </w:rPr>
      </w:pPr>
    </w:p>
    <w:p w14:paraId="48E0838A" w14:textId="77777777" w:rsidR="00555609" w:rsidRPr="00555609" w:rsidRDefault="00555609">
      <w:pPr>
        <w:rPr>
          <w:rFonts w:ascii="Avenir Next" w:hAnsi="Avenir Next"/>
          <w:sz w:val="24"/>
          <w:szCs w:val="24"/>
          <w:lang w:val="de-DE"/>
        </w:rPr>
      </w:pPr>
    </w:p>
    <w:p w14:paraId="65FC3CB2" w14:textId="77777777" w:rsidR="00555609" w:rsidRPr="00555609" w:rsidRDefault="00555609" w:rsidP="00555609">
      <w:pPr>
        <w:rPr>
          <w:rFonts w:ascii="Avenir Next" w:hAnsi="Avenir Next"/>
          <w:sz w:val="24"/>
          <w:szCs w:val="24"/>
          <w:lang w:val="de-DE"/>
        </w:rPr>
      </w:pPr>
      <w:r w:rsidRPr="00555609">
        <w:rPr>
          <w:rFonts w:ascii="Avenir Next" w:hAnsi="Avenir Next"/>
          <w:b/>
          <w:bCs/>
          <w:sz w:val="24"/>
          <w:szCs w:val="24"/>
          <w:lang w:val="de-DE"/>
        </w:rPr>
        <w:t>Über die MÖBELMEILE</w:t>
      </w:r>
    </w:p>
    <w:p w14:paraId="18B158CD" w14:textId="77777777" w:rsidR="00555609" w:rsidRPr="00555609" w:rsidRDefault="00555609" w:rsidP="00555609">
      <w:pPr>
        <w:rPr>
          <w:rFonts w:ascii="Avenir Next" w:hAnsi="Avenir Next"/>
          <w:sz w:val="24"/>
          <w:szCs w:val="24"/>
          <w:lang w:val="de-DE"/>
        </w:rPr>
      </w:pPr>
      <w:r w:rsidRPr="00555609">
        <w:rPr>
          <w:rFonts w:ascii="Avenir Next" w:hAnsi="Avenir Next"/>
          <w:sz w:val="24"/>
          <w:szCs w:val="24"/>
          <w:lang w:val="de-DE"/>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w:t>
      </w:r>
      <w:r w:rsidRPr="00555609">
        <w:rPr>
          <w:rFonts w:ascii="Avenir Next" w:hAnsi="Avenir Next"/>
          <w:b/>
          <w:bCs/>
          <w:sz w:val="24"/>
          <w:szCs w:val="24"/>
          <w:lang w:val="de-DE"/>
        </w:rPr>
        <w:t> </w:t>
      </w:r>
      <w:r w:rsidRPr="00555609">
        <w:rPr>
          <w:rFonts w:ascii="Avenir Next" w:hAnsi="Avenir Next"/>
          <w:sz w:val="24"/>
          <w:szCs w:val="24"/>
          <w:lang w:val="de-DE"/>
        </w:rPr>
        <w:t>FRÜHJAHR ergänzt das Angebot an Händler und Verbände, sich auch in der ersten Jahreshälfte persönlich vor Ort zu Gesprächen zu treffen.  </w:t>
      </w:r>
    </w:p>
    <w:p w14:paraId="05852854" w14:textId="77777777" w:rsidR="00555609" w:rsidRPr="00555609" w:rsidRDefault="00555609">
      <w:pPr>
        <w:rPr>
          <w:rFonts w:ascii="Avenir Next" w:hAnsi="Avenir Next"/>
          <w:lang w:val="de-DE"/>
        </w:rPr>
      </w:pPr>
    </w:p>
    <w:p w14:paraId="4D24BCAA" w14:textId="77777777" w:rsidR="001E6793" w:rsidRPr="00555609" w:rsidRDefault="001E6793">
      <w:pPr>
        <w:rPr>
          <w:rFonts w:ascii="Avenir Next" w:hAnsi="Avenir Next"/>
          <w:lang w:val="de-DE"/>
        </w:rPr>
      </w:pPr>
    </w:p>
    <w:p w14:paraId="00681848" w14:textId="77777777" w:rsidR="00555609" w:rsidRPr="00555609" w:rsidRDefault="00555609">
      <w:pPr>
        <w:rPr>
          <w:rFonts w:ascii="Avenir Next" w:hAnsi="Avenir Next"/>
          <w:lang w:val="de-DE"/>
        </w:rPr>
      </w:pPr>
    </w:p>
    <w:sectPr w:rsidR="00555609" w:rsidRPr="0055560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411926365">
    <w:abstractNumId w:val="8"/>
  </w:num>
  <w:num w:numId="2" w16cid:durableId="1908102060">
    <w:abstractNumId w:val="6"/>
  </w:num>
  <w:num w:numId="3" w16cid:durableId="128598198">
    <w:abstractNumId w:val="5"/>
  </w:num>
  <w:num w:numId="4" w16cid:durableId="444353698">
    <w:abstractNumId w:val="4"/>
  </w:num>
  <w:num w:numId="5" w16cid:durableId="961808247">
    <w:abstractNumId w:val="7"/>
  </w:num>
  <w:num w:numId="6" w16cid:durableId="1984039077">
    <w:abstractNumId w:val="3"/>
  </w:num>
  <w:num w:numId="7" w16cid:durableId="241181913">
    <w:abstractNumId w:val="2"/>
  </w:num>
  <w:num w:numId="8" w16cid:durableId="1390304090">
    <w:abstractNumId w:val="1"/>
  </w:num>
  <w:num w:numId="9" w16cid:durableId="1893929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154E"/>
    <w:rsid w:val="0015074B"/>
    <w:rsid w:val="001E6793"/>
    <w:rsid w:val="0029639D"/>
    <w:rsid w:val="00326F90"/>
    <w:rsid w:val="00555609"/>
    <w:rsid w:val="005B6C8F"/>
    <w:rsid w:val="0062613C"/>
    <w:rsid w:val="006D124F"/>
    <w:rsid w:val="006D66CC"/>
    <w:rsid w:val="00876554"/>
    <w:rsid w:val="00A2451C"/>
    <w:rsid w:val="00AA1D8D"/>
    <w:rsid w:val="00AB7266"/>
    <w:rsid w:val="00B47730"/>
    <w:rsid w:val="00CB0664"/>
    <w:rsid w:val="00F97428"/>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A4BA0"/>
  <w14:defaultImageDpi w14:val="300"/>
  <w15:docId w15:val="{659C889C-7081-1E4B-B50F-4C6B064F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5204</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Kristina Tapken</cp:lastModifiedBy>
  <cp:revision>7</cp:revision>
  <dcterms:created xsi:type="dcterms:W3CDTF">2013-12-23T23:15:00Z</dcterms:created>
  <dcterms:modified xsi:type="dcterms:W3CDTF">2026-03-04T12:54:00Z</dcterms:modified>
  <cp:category/>
</cp:coreProperties>
</file>