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7691B30" w14:textId="329900F0" w:rsidR="005C5E3A" w:rsidRDefault="007F1E5D" w:rsidP="00886700">
      <w:r>
        <w:rPr>
          <w:b/>
          <w:sz w:val="22"/>
        </w:rPr>
        <w:t xml:space="preserve"> </w:t>
      </w:r>
    </w:p>
    <w:p w14:paraId="40AC0817" w14:textId="77777777" w:rsidR="00FE3BF6" w:rsidRDefault="00FE3BF6">
      <w:pPr>
        <w:spacing w:after="105" w:line="259" w:lineRule="auto"/>
        <w:ind w:left="0" w:right="230" w:firstLine="0"/>
        <w:jc w:val="left"/>
      </w:pP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0D05C837" w:rsidR="00F05EC7" w:rsidRDefault="00496393"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sidRPr="00496393">
        <w:rPr>
          <w:rFonts w:ascii="Arial" w:eastAsiaTheme="minorHAnsi" w:hAnsi="Arial" w:cs="Arial"/>
          <w:b/>
          <w:bCs/>
          <w:sz w:val="32"/>
          <w:szCs w:val="32"/>
        </w:rPr>
        <w:t xml:space="preserve">EU-Gebäuderichtlinie überfordert Branche </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7255E66E" w14:textId="77777777" w:rsidR="00496393" w:rsidRDefault="00BB20DD" w:rsidP="0049639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CA76F5">
        <w:rPr>
          <w:rFonts w:ascii="Arial" w:hAnsi="Arial" w:cs="Arial"/>
          <w:b/>
          <w:bCs/>
        </w:rPr>
        <w:t>1</w:t>
      </w:r>
      <w:r w:rsidR="006E543F">
        <w:rPr>
          <w:rFonts w:ascii="Arial" w:hAnsi="Arial" w:cs="Arial"/>
          <w:b/>
          <w:bCs/>
        </w:rPr>
        <w:t>5</w:t>
      </w:r>
      <w:r w:rsidR="00F663E0">
        <w:rPr>
          <w:rFonts w:ascii="Arial" w:hAnsi="Arial" w:cs="Arial"/>
          <w:b/>
          <w:bCs/>
        </w:rPr>
        <w:t>.1</w:t>
      </w:r>
      <w:r w:rsidR="00F9078D">
        <w:rPr>
          <w:rFonts w:ascii="Arial" w:hAnsi="Arial" w:cs="Arial"/>
          <w:b/>
          <w:bCs/>
        </w:rPr>
        <w:t>2</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496393" w:rsidRPr="00496393">
        <w:rPr>
          <w:rFonts w:ascii="Arial" w:hAnsi="Arial" w:cs="Arial"/>
        </w:rPr>
        <w:t>Der Zentrale Immobilien Ausschuss ZIA, Spitzenverband der Immobilienwirtschaft sieht Probleme im heute vorgelegten Entwurf</w:t>
      </w:r>
      <w:r w:rsidR="00496393">
        <w:rPr>
          <w:rFonts w:ascii="Arial" w:hAnsi="Arial" w:cs="Arial"/>
        </w:rPr>
        <w:t xml:space="preserve"> zur Novellierung der </w:t>
      </w:r>
      <w:r w:rsidR="00496393" w:rsidRPr="00496393">
        <w:rPr>
          <w:rFonts w:ascii="Arial" w:hAnsi="Arial" w:cs="Arial"/>
        </w:rPr>
        <w:t xml:space="preserve">EU-Gebäuderichtlinie (EPBD) als Teil des Fit </w:t>
      </w:r>
      <w:proofErr w:type="spellStart"/>
      <w:r w:rsidR="00496393" w:rsidRPr="00496393">
        <w:rPr>
          <w:rFonts w:ascii="Arial" w:hAnsi="Arial" w:cs="Arial"/>
        </w:rPr>
        <w:t>for</w:t>
      </w:r>
      <w:proofErr w:type="spellEnd"/>
      <w:r w:rsidR="00496393" w:rsidRPr="00496393">
        <w:rPr>
          <w:rFonts w:ascii="Arial" w:hAnsi="Arial" w:cs="Arial"/>
        </w:rPr>
        <w:t xml:space="preserve"> 55-Pakets. „Die vorgeschlagene Einführung verbindlicher Mindeststandards für die energetisch ineffizientesten Gebäude ist nachvollziehbar. Die Ausgestaltung bedarf aber einer detaillierten Prüfung und Folgenabschätzung. Solche Vorgaben dürfen nicht zu ungewollten Verkaufs- oder Vermietungsverboten führen, dann kommt der Markt zum Stillstand</w:t>
      </w:r>
      <w:r w:rsidR="00496393">
        <w:rPr>
          <w:rFonts w:ascii="Arial" w:hAnsi="Arial" w:cs="Arial"/>
        </w:rPr>
        <w:t>“</w:t>
      </w:r>
      <w:r w:rsidR="00496393" w:rsidRPr="00496393">
        <w:rPr>
          <w:rFonts w:ascii="Arial" w:hAnsi="Arial" w:cs="Arial"/>
        </w:rPr>
        <w:t>, sagt Maria Hill, Vorsitzende des ZIA-Ausschusses Energie und Gebäudetechnik.</w:t>
      </w:r>
    </w:p>
    <w:p w14:paraId="1FCCBADE" w14:textId="77777777" w:rsidR="00496393" w:rsidRDefault="00496393" w:rsidP="0049639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0F201A9E" w14:textId="30CC568C" w:rsidR="00496393" w:rsidRPr="00496393" w:rsidRDefault="00496393" w:rsidP="0049639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496393">
        <w:rPr>
          <w:rFonts w:ascii="Arial" w:hAnsi="Arial" w:cs="Arial"/>
        </w:rPr>
        <w:t>Auch sollten die Nichtwohngebäude aufgrund ihrer Heterogenität spezifischer nach entsprechenden Nut</w:t>
      </w:r>
      <w:r>
        <w:rPr>
          <w:rFonts w:ascii="Arial" w:hAnsi="Arial" w:cs="Arial"/>
        </w:rPr>
        <w:t xml:space="preserve">zungsklassen aufgeteilt werden, </w:t>
      </w:r>
      <w:r w:rsidRPr="00496393">
        <w:rPr>
          <w:rFonts w:ascii="Arial" w:hAnsi="Arial" w:cs="Arial"/>
        </w:rPr>
        <w:t>nur so kann man die Vielfalt insbesondere bei Nichtwohngebäuden abbilden. „Einfamilienhäuser, Hotels, Restaurants, Einzelhandelsimmobilien, Krankenhäuser oder Logistikcenter haben jeweils gänzlich verschiedene Energieprofile und -bedarfe und müssen daher</w:t>
      </w:r>
      <w:r>
        <w:rPr>
          <w:rFonts w:ascii="Arial" w:hAnsi="Arial" w:cs="Arial"/>
        </w:rPr>
        <w:t xml:space="preserve"> </w:t>
      </w:r>
      <w:r w:rsidRPr="00496393">
        <w:rPr>
          <w:rFonts w:ascii="Arial" w:hAnsi="Arial" w:cs="Arial"/>
        </w:rPr>
        <w:t>differenziert bewertet werden“, so Hill. Der ZIA habe bereits eine Klassifizierung von Asset-Kategorien erarbeitet, die sich als Grundlage für die EPBD-Novelle anbiete.</w:t>
      </w:r>
    </w:p>
    <w:p w14:paraId="58EBB773" w14:textId="35EA40BC" w:rsidR="00496393" w:rsidRPr="00496393" w:rsidRDefault="00496393" w:rsidP="00496393">
      <w:pPr>
        <w:pStyle w:val="StandardWeb"/>
        <w:shd w:val="clear" w:color="auto" w:fill="FFFFFF"/>
        <w:tabs>
          <w:tab w:val="left" w:pos="2948"/>
        </w:tabs>
        <w:spacing w:after="0" w:line="360" w:lineRule="auto"/>
        <w:jc w:val="both"/>
        <w:textAlignment w:val="baseline"/>
        <w:rPr>
          <w:rFonts w:ascii="Arial" w:hAnsi="Arial" w:cs="Arial"/>
        </w:rPr>
      </w:pPr>
      <w:r w:rsidRPr="00496393">
        <w:rPr>
          <w:rFonts w:ascii="Arial" w:hAnsi="Arial" w:cs="Arial"/>
        </w:rPr>
        <w:t>Positiv bewertet der ZIA indes die Absicht der Kommission, in den einzelnen Mitgliedstaaten Gebäudedatenbanken zu etablieren. „Hierdurch können wir wichtige Datenlücken schließen“, sagt Hill. „Energiebedarf und die CO2-Emissionen des Gebäudebestands werden so transparent und vergleichbar – sowohl innerhalb eines Landes als auch grenzüberschreitend.“</w:t>
      </w:r>
    </w:p>
    <w:p w14:paraId="65E9927D" w14:textId="77777777" w:rsidR="00496393" w:rsidRPr="00496393" w:rsidRDefault="00496393" w:rsidP="00496393">
      <w:pPr>
        <w:pStyle w:val="StandardWeb"/>
        <w:shd w:val="clear" w:color="auto" w:fill="FFFFFF"/>
        <w:tabs>
          <w:tab w:val="left" w:pos="2948"/>
        </w:tabs>
        <w:spacing w:after="0" w:line="360" w:lineRule="auto"/>
        <w:jc w:val="both"/>
        <w:textAlignment w:val="baseline"/>
        <w:rPr>
          <w:rFonts w:ascii="Arial" w:hAnsi="Arial" w:cs="Arial"/>
        </w:rPr>
      </w:pPr>
      <w:r w:rsidRPr="00496393">
        <w:rPr>
          <w:rFonts w:ascii="Arial" w:hAnsi="Arial" w:cs="Arial"/>
        </w:rPr>
        <w:t xml:space="preserve">Die Immobilienwirtschaft ist sich ihrer gesellschaftlichen und klimapolitischen Verantwortung bewusst, die sich u.a. aus dem EU-Green Deal ergeben. „Wir tragen </w:t>
      </w:r>
      <w:r w:rsidRPr="00496393">
        <w:rPr>
          <w:rFonts w:ascii="Arial" w:hAnsi="Arial" w:cs="Arial"/>
        </w:rPr>
        <w:lastRenderedPageBreak/>
        <w:t>das Ziel eines klimaneutralen Gebäudebestands im Jahr 2045 für Deutschland und 2050 für die EU mit“, sagt Hill. „Unsere Mitgliedsunternehmen investieren hierfür jährlich immense Summen.“ Mit Erfolg: Seit 1990 seien die Gebäude-Emissionen in Deutschland bereits um mehr als 40 Prozent gesunken. Aber schon das 55-Prozent-Klimaziel bis 2030 sei nur mit massiven Investitionen in den Gebäudebestand zu finanzieren.</w:t>
      </w:r>
    </w:p>
    <w:p w14:paraId="5EAF3840" w14:textId="0AA2DDB7" w:rsidR="005C1388" w:rsidRDefault="005C1388" w:rsidP="00D008D9">
      <w:pPr>
        <w:pStyle w:val="StandardWeb"/>
        <w:shd w:val="clear" w:color="auto" w:fill="FFFFFF"/>
        <w:tabs>
          <w:tab w:val="left" w:pos="2948"/>
        </w:tabs>
        <w:spacing w:after="0" w:line="360" w:lineRule="auto"/>
        <w:jc w:val="both"/>
        <w:textAlignment w:val="baseline"/>
        <w:rPr>
          <w:rFonts w:ascii="Arial" w:hAnsi="Arial" w:cs="Arial"/>
        </w:rPr>
      </w:pPr>
      <w:bookmarkStart w:id="4" w:name="_Hlk90370644"/>
      <w:r w:rsidRPr="005C1388">
        <w:rPr>
          <w:rFonts w:ascii="Arial" w:hAnsi="Arial" w:cs="Arial"/>
        </w:rPr>
        <w:t xml:space="preserve">Das Ziel des klimaneutralen Gebäudebestands ist </w:t>
      </w:r>
      <w:r>
        <w:rPr>
          <w:rFonts w:ascii="Arial" w:hAnsi="Arial" w:cs="Arial"/>
        </w:rPr>
        <w:t xml:space="preserve">zudem </w:t>
      </w:r>
      <w:r w:rsidRPr="005C1388">
        <w:rPr>
          <w:rFonts w:ascii="Arial" w:hAnsi="Arial" w:cs="Arial"/>
        </w:rPr>
        <w:t xml:space="preserve">nur zu erreichen, wenn auch ausreichend Fachkräfte zur Verfügung stehen und Baumaterialien </w:t>
      </w:r>
      <w:r>
        <w:rPr>
          <w:rFonts w:ascii="Arial" w:hAnsi="Arial" w:cs="Arial"/>
        </w:rPr>
        <w:t xml:space="preserve">in genügender Menge und zu bezahlbaren Preisen vorhanden sind. </w:t>
      </w:r>
      <w:r w:rsidRPr="005C1388">
        <w:rPr>
          <w:rFonts w:ascii="Arial" w:hAnsi="Arial" w:cs="Arial"/>
        </w:rPr>
        <w:t>Der Materialmangel macht sich auf die Baupreise deutlich bemerkbar. Die allgemeine Baukostensteigerung betrug 2021 bereits ca. 14 bis 17 Prozent. Hier muss Abhilfe gescha</w:t>
      </w:r>
      <w:r>
        <w:rPr>
          <w:rFonts w:ascii="Arial" w:hAnsi="Arial" w:cs="Arial"/>
        </w:rPr>
        <w:t>ffen werden. Zudem bedarf</w:t>
      </w:r>
      <w:r w:rsidRPr="005C1388">
        <w:rPr>
          <w:rFonts w:ascii="Arial" w:hAnsi="Arial" w:cs="Arial"/>
        </w:rPr>
        <w:t xml:space="preserve"> eine kurzfristige Verdopplung der Sanierungsrate von </w:t>
      </w:r>
      <w:r>
        <w:rPr>
          <w:rFonts w:ascii="Arial" w:hAnsi="Arial" w:cs="Arial"/>
        </w:rPr>
        <w:t>ein auf zwei Prozent etwa</w:t>
      </w:r>
      <w:r w:rsidRPr="005C1388">
        <w:rPr>
          <w:rFonts w:ascii="Arial" w:hAnsi="Arial" w:cs="Arial"/>
        </w:rPr>
        <w:t xml:space="preserve"> 350.000 zu</w:t>
      </w:r>
      <w:r>
        <w:rPr>
          <w:rFonts w:ascii="Arial" w:hAnsi="Arial" w:cs="Arial"/>
        </w:rPr>
        <w:t>sätzliche Fachkräfte und 62 Milliarden</w:t>
      </w:r>
      <w:r w:rsidRPr="005C1388">
        <w:rPr>
          <w:rFonts w:ascii="Arial" w:hAnsi="Arial" w:cs="Arial"/>
        </w:rPr>
        <w:t xml:space="preserve"> Euro Bauvolumen. Eine vollständige Transformation des nationalen Gebäudebestandes bis 2045 würde </w:t>
      </w:r>
      <w:r>
        <w:rPr>
          <w:rFonts w:ascii="Arial" w:hAnsi="Arial" w:cs="Arial"/>
        </w:rPr>
        <w:t xml:space="preserve">eine </w:t>
      </w:r>
      <w:r w:rsidRPr="005C1388">
        <w:rPr>
          <w:rFonts w:ascii="Arial" w:hAnsi="Arial" w:cs="Arial"/>
        </w:rPr>
        <w:t>Sanierungsrat</w:t>
      </w:r>
      <w:r>
        <w:rPr>
          <w:rFonts w:ascii="Arial" w:hAnsi="Arial" w:cs="Arial"/>
        </w:rPr>
        <w:t xml:space="preserve">e von bis zu vier Prozent </w:t>
      </w:r>
      <w:r w:rsidRPr="005C1388">
        <w:rPr>
          <w:rFonts w:ascii="Arial" w:hAnsi="Arial" w:cs="Arial"/>
        </w:rPr>
        <w:t>erfordern – die Herausforderungen sind daher gewaltig. Es ist schnellstens eine Ausbildungsoffensive bei Ha</w:t>
      </w:r>
      <w:r>
        <w:rPr>
          <w:rFonts w:ascii="Arial" w:hAnsi="Arial" w:cs="Arial"/>
        </w:rPr>
        <w:t>ndwerkern und Ingenieuren nötig.</w:t>
      </w:r>
    </w:p>
    <w:p w14:paraId="32715C03" w14:textId="05D84A2C" w:rsidR="005C1388" w:rsidRDefault="005C1388" w:rsidP="00D008D9">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 xml:space="preserve">Auch der Quartiersgedanke sollte seitens der EU verstärkt in den Fokus rücken. </w:t>
      </w:r>
      <w:r w:rsidRPr="005C1388">
        <w:rPr>
          <w:rFonts w:ascii="Arial" w:hAnsi="Arial" w:cs="Arial"/>
        </w:rPr>
        <w:t>Dass die Kommission nach Artikel 25 die Effekte von Quarti</w:t>
      </w:r>
      <w:r w:rsidR="00AB6391">
        <w:rPr>
          <w:rFonts w:ascii="Arial" w:hAnsi="Arial" w:cs="Arial"/>
        </w:rPr>
        <w:t xml:space="preserve">ersansätzen prüfen will, ist ein wichtiger Schritt, mit dem jedoch nicht </w:t>
      </w:r>
      <w:r w:rsidRPr="005C1388">
        <w:rPr>
          <w:rFonts w:ascii="Arial" w:hAnsi="Arial" w:cs="Arial"/>
        </w:rPr>
        <w:t xml:space="preserve">bis Ende 2027 gewartet werden </w:t>
      </w:r>
      <w:r w:rsidR="00AB6391">
        <w:rPr>
          <w:rFonts w:ascii="Arial" w:hAnsi="Arial" w:cs="Arial"/>
        </w:rPr>
        <w:t xml:space="preserve">darf </w:t>
      </w:r>
      <w:r w:rsidRPr="005C1388">
        <w:rPr>
          <w:rFonts w:ascii="Arial" w:hAnsi="Arial" w:cs="Arial"/>
        </w:rPr>
        <w:t xml:space="preserve">– </w:t>
      </w:r>
      <w:r w:rsidR="00AB6391">
        <w:rPr>
          <w:rFonts w:ascii="Arial" w:hAnsi="Arial" w:cs="Arial"/>
        </w:rPr>
        <w:t xml:space="preserve">die passenden </w:t>
      </w:r>
      <w:r w:rsidRPr="005C1388">
        <w:rPr>
          <w:rFonts w:ascii="Arial" w:hAnsi="Arial" w:cs="Arial"/>
        </w:rPr>
        <w:t>Konzepte liegen vor und müssen so schne</w:t>
      </w:r>
      <w:r>
        <w:rPr>
          <w:rFonts w:ascii="Arial" w:hAnsi="Arial" w:cs="Arial"/>
        </w:rPr>
        <w:t>ll wie möglich umgesetzt werden.</w:t>
      </w:r>
    </w:p>
    <w:p w14:paraId="723D3693" w14:textId="6212E9DE" w:rsidR="001E608A" w:rsidRPr="00CC47FF" w:rsidRDefault="005C1388" w:rsidP="001E608A">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Insgesamt brauche es e</w:t>
      </w:r>
      <w:r w:rsidR="008E4619">
        <w:rPr>
          <w:rFonts w:ascii="Arial" w:hAnsi="Arial" w:cs="Arial"/>
        </w:rPr>
        <w:t>ine Vereinfachung der Vorgaben</w:t>
      </w:r>
      <w:r w:rsidR="008136D1">
        <w:rPr>
          <w:rFonts w:ascii="Arial" w:hAnsi="Arial" w:cs="Arial"/>
        </w:rPr>
        <w:t xml:space="preserve"> statt mehr Bürokratie</w:t>
      </w:r>
      <w:r w:rsidR="008E4619">
        <w:rPr>
          <w:rFonts w:ascii="Arial" w:hAnsi="Arial" w:cs="Arial"/>
        </w:rPr>
        <w:t xml:space="preserve">. </w:t>
      </w:r>
      <w:r w:rsidR="001E608A">
        <w:rPr>
          <w:rFonts w:ascii="Arial" w:hAnsi="Arial" w:cs="Arial"/>
        </w:rPr>
        <w:t>„</w:t>
      </w:r>
      <w:r w:rsidR="001E608A" w:rsidRPr="00CC47FF">
        <w:rPr>
          <w:rFonts w:ascii="Arial" w:hAnsi="Arial" w:cs="Arial"/>
        </w:rPr>
        <w:t xml:space="preserve">Wir freuen uns </w:t>
      </w:r>
      <w:r w:rsidR="005C5E3A">
        <w:rPr>
          <w:rFonts w:ascii="Arial" w:hAnsi="Arial" w:cs="Arial"/>
        </w:rPr>
        <w:t>dar</w:t>
      </w:r>
      <w:r w:rsidR="001E608A" w:rsidRPr="00CC47FF">
        <w:rPr>
          <w:rFonts w:ascii="Arial" w:hAnsi="Arial" w:cs="Arial"/>
        </w:rPr>
        <w:t>auf</w:t>
      </w:r>
      <w:r w:rsidR="005C5E3A">
        <w:rPr>
          <w:rFonts w:ascii="Arial" w:hAnsi="Arial" w:cs="Arial"/>
        </w:rPr>
        <w:t xml:space="preserve">, </w:t>
      </w:r>
      <w:r w:rsidR="009E279B">
        <w:rPr>
          <w:rFonts w:ascii="Arial" w:hAnsi="Arial" w:cs="Arial"/>
        </w:rPr>
        <w:t xml:space="preserve">beim </w:t>
      </w:r>
      <w:r w:rsidR="001E608A" w:rsidRPr="00CC47FF">
        <w:rPr>
          <w:rFonts w:ascii="Arial" w:hAnsi="Arial" w:cs="Arial"/>
        </w:rPr>
        <w:t xml:space="preserve">nun beginnenden </w:t>
      </w:r>
      <w:r w:rsidR="005C5E3A">
        <w:rPr>
          <w:rFonts w:ascii="Arial" w:hAnsi="Arial" w:cs="Arial"/>
        </w:rPr>
        <w:t xml:space="preserve">Legislativverfahren </w:t>
      </w:r>
      <w:bookmarkEnd w:id="4"/>
      <w:r w:rsidR="005C5E3A">
        <w:rPr>
          <w:rFonts w:ascii="Arial" w:hAnsi="Arial" w:cs="Arial"/>
        </w:rPr>
        <w:t xml:space="preserve">unseren bereits </w:t>
      </w:r>
      <w:r w:rsidR="00886700">
        <w:rPr>
          <w:rFonts w:ascii="Arial" w:hAnsi="Arial" w:cs="Arial"/>
        </w:rPr>
        <w:t xml:space="preserve">geführten Austausch </w:t>
      </w:r>
      <w:r w:rsidR="001E608A" w:rsidRPr="00CC47FF">
        <w:rPr>
          <w:rFonts w:ascii="Arial" w:hAnsi="Arial" w:cs="Arial"/>
        </w:rPr>
        <w:t>mit de</w:t>
      </w:r>
      <w:r w:rsidR="005C5E3A">
        <w:rPr>
          <w:rFonts w:ascii="Arial" w:hAnsi="Arial" w:cs="Arial"/>
        </w:rPr>
        <w:t>n</w:t>
      </w:r>
      <w:r w:rsidR="001E608A" w:rsidRPr="00CC47FF">
        <w:rPr>
          <w:rFonts w:ascii="Arial" w:hAnsi="Arial" w:cs="Arial"/>
        </w:rPr>
        <w:t xml:space="preserve"> Europäischen </w:t>
      </w:r>
      <w:r w:rsidR="005C5E3A">
        <w:rPr>
          <w:rFonts w:ascii="Arial" w:hAnsi="Arial" w:cs="Arial"/>
        </w:rPr>
        <w:t xml:space="preserve">Institutionen </w:t>
      </w:r>
      <w:r w:rsidR="00886700">
        <w:rPr>
          <w:rFonts w:ascii="Arial" w:hAnsi="Arial" w:cs="Arial"/>
        </w:rPr>
        <w:t>fortzusetzen</w:t>
      </w:r>
      <w:r w:rsidR="008E4619">
        <w:rPr>
          <w:rFonts w:ascii="Arial" w:hAnsi="Arial" w:cs="Arial"/>
        </w:rPr>
        <w:t>“, sagt Hill.</w:t>
      </w:r>
      <w:r w:rsidR="00886700">
        <w:rPr>
          <w:rFonts w:ascii="Arial" w:hAnsi="Arial" w:cs="Arial"/>
        </w:rPr>
        <w:t xml:space="preserve"> </w:t>
      </w:r>
      <w:r w:rsidR="008E4619">
        <w:rPr>
          <w:rFonts w:ascii="Arial" w:hAnsi="Arial" w:cs="Arial"/>
        </w:rPr>
        <w:t>„</w:t>
      </w:r>
      <w:r w:rsidR="00886700">
        <w:rPr>
          <w:rFonts w:ascii="Arial" w:hAnsi="Arial" w:cs="Arial"/>
        </w:rPr>
        <w:t xml:space="preserve">Wir </w:t>
      </w:r>
      <w:r w:rsidR="001E608A" w:rsidRPr="00CC47FF">
        <w:rPr>
          <w:rFonts w:ascii="Arial" w:hAnsi="Arial" w:cs="Arial"/>
        </w:rPr>
        <w:t xml:space="preserve">werden </w:t>
      </w:r>
      <w:r w:rsidR="00886700">
        <w:rPr>
          <w:rFonts w:ascii="Arial" w:hAnsi="Arial" w:cs="Arial"/>
        </w:rPr>
        <w:t>diese mit der ganzen Expertise unserer Mitglieder und unseres eigene</w:t>
      </w:r>
      <w:r w:rsidR="008E4619">
        <w:rPr>
          <w:rFonts w:ascii="Arial" w:hAnsi="Arial" w:cs="Arial"/>
        </w:rPr>
        <w:t>n</w:t>
      </w:r>
      <w:r w:rsidR="00886700">
        <w:rPr>
          <w:rFonts w:ascii="Arial" w:hAnsi="Arial" w:cs="Arial"/>
        </w:rPr>
        <w:t xml:space="preserve"> Hauses dabei unterstü</w:t>
      </w:r>
      <w:r w:rsidR="009E279B">
        <w:rPr>
          <w:rFonts w:ascii="Arial" w:hAnsi="Arial" w:cs="Arial"/>
        </w:rPr>
        <w:t>t</w:t>
      </w:r>
      <w:r w:rsidR="00886700">
        <w:rPr>
          <w:rFonts w:ascii="Arial" w:hAnsi="Arial" w:cs="Arial"/>
        </w:rPr>
        <w:t xml:space="preserve">zen, </w:t>
      </w:r>
      <w:r w:rsidR="001E608A" w:rsidRPr="00CC47FF">
        <w:rPr>
          <w:rFonts w:ascii="Arial" w:hAnsi="Arial" w:cs="Arial"/>
        </w:rPr>
        <w:t>eine größtmöglich</w:t>
      </w:r>
      <w:r w:rsidR="00886700">
        <w:rPr>
          <w:rFonts w:ascii="Arial" w:hAnsi="Arial" w:cs="Arial"/>
        </w:rPr>
        <w:t>e</w:t>
      </w:r>
      <w:r w:rsidR="001E608A" w:rsidRPr="00CC47FF">
        <w:rPr>
          <w:rFonts w:ascii="Arial" w:hAnsi="Arial" w:cs="Arial"/>
        </w:rPr>
        <w:t xml:space="preserve"> </w:t>
      </w:r>
      <w:r w:rsidR="009E279B">
        <w:rPr>
          <w:rFonts w:ascii="Arial" w:hAnsi="Arial" w:cs="Arial"/>
        </w:rPr>
        <w:t>P</w:t>
      </w:r>
      <w:r w:rsidR="009E279B" w:rsidRPr="00CC47FF">
        <w:rPr>
          <w:rFonts w:ascii="Arial" w:hAnsi="Arial" w:cs="Arial"/>
        </w:rPr>
        <w:t>raktikabi</w:t>
      </w:r>
      <w:r w:rsidR="009E279B">
        <w:rPr>
          <w:rFonts w:ascii="Arial" w:hAnsi="Arial" w:cs="Arial"/>
        </w:rPr>
        <w:t>lität</w:t>
      </w:r>
      <w:r w:rsidR="00886700">
        <w:rPr>
          <w:rFonts w:ascii="Arial" w:hAnsi="Arial" w:cs="Arial"/>
        </w:rPr>
        <w:t xml:space="preserve"> bei der</w:t>
      </w:r>
      <w:r w:rsidR="001E608A" w:rsidRPr="00CC47FF">
        <w:rPr>
          <w:rFonts w:ascii="Arial" w:hAnsi="Arial" w:cs="Arial"/>
        </w:rPr>
        <w:t xml:space="preserve"> Ausgestaltung </w:t>
      </w:r>
      <w:r w:rsidR="00886700">
        <w:rPr>
          <w:rFonts w:ascii="Arial" w:hAnsi="Arial" w:cs="Arial"/>
        </w:rPr>
        <w:t>des europäischen Rechtsrahmens zu gewährleisten</w:t>
      </w:r>
      <w:r w:rsidR="001E608A" w:rsidRPr="00CC47FF">
        <w:rPr>
          <w:rFonts w:ascii="Arial" w:hAnsi="Arial" w:cs="Arial"/>
        </w:rPr>
        <w:t>.</w:t>
      </w:r>
      <w:r w:rsidR="00D203FA">
        <w:rPr>
          <w:rFonts w:ascii="Arial" w:hAnsi="Arial" w:cs="Arial"/>
        </w:rPr>
        <w:t>“</w:t>
      </w:r>
      <w:bookmarkStart w:id="5" w:name="_GoBack"/>
      <w:bookmarkEnd w:id="5"/>
    </w:p>
    <w:p w14:paraId="51869EC5" w14:textId="4F6A9EA8" w:rsidR="000021AA" w:rsidRDefault="001E608A" w:rsidP="00CC47FF">
      <w:pPr>
        <w:pStyle w:val="StandardWeb"/>
        <w:shd w:val="clear" w:color="auto" w:fill="FFFFFF"/>
        <w:tabs>
          <w:tab w:val="left" w:pos="2948"/>
        </w:tabs>
        <w:spacing w:after="0" w:line="360" w:lineRule="auto"/>
        <w:textAlignment w:val="baseline"/>
        <w:rPr>
          <w:rFonts w:ascii="Arial" w:hAnsi="Arial" w:cs="Arial"/>
        </w:rPr>
      </w:pPr>
      <w:r>
        <w:rPr>
          <w:rFonts w:ascii="Arial" w:hAnsi="Arial" w:cs="Arial"/>
        </w:rPr>
        <w:t xml:space="preserve">Die Klassifizierung der Asset-Kategorien finden Sie unter diesem </w:t>
      </w:r>
      <w:hyperlink r:id="rId6" w:history="1">
        <w:r w:rsidR="000021AA" w:rsidRPr="000021AA">
          <w:rPr>
            <w:rStyle w:val="Hyperlink"/>
            <w:rFonts w:ascii="Arial" w:hAnsi="Arial" w:cs="Arial"/>
          </w:rPr>
          <w:t>LINK</w:t>
        </w:r>
      </w:hyperlink>
      <w:r w:rsidR="000021AA">
        <w:rPr>
          <w:rFonts w:ascii="Arial" w:hAnsi="Arial" w:cs="Arial"/>
        </w:rPr>
        <w:t xml:space="preserve">. </w:t>
      </w:r>
    </w:p>
    <w:p w14:paraId="62842CD6" w14:textId="03B8FD50" w:rsidR="00CA76F5" w:rsidRDefault="00CA76F5" w:rsidP="00D850A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3988C991"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lastRenderedPageBreak/>
        <w:t>D</w:t>
      </w:r>
      <w:r w:rsidRPr="006D049D">
        <w:rPr>
          <w:b/>
          <w:sz w:val="20"/>
          <w:szCs w:val="20"/>
        </w:rPr>
        <w:t>er ZIA</w:t>
      </w:r>
    </w:p>
    <w:p w14:paraId="39201A85" w14:textId="06988A17" w:rsidR="00886700"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7"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9">
        <w:r w:rsidR="007F1E5D">
          <w:rPr>
            <w:color w:val="0000FF"/>
            <w:sz w:val="20"/>
            <w:u w:val="single" w:color="0000FF"/>
          </w:rPr>
          <w:t>www.zia</w:t>
        </w:r>
      </w:hyperlink>
      <w:hyperlink r:id="rId10">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5642F99"/>
    <w:multiLevelType w:val="hybridMultilevel"/>
    <w:tmpl w:val="CAD86824"/>
    <w:lvl w:ilvl="0" w:tplc="6F882116">
      <w:start w:val="21"/>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76921851"/>
    <w:multiLevelType w:val="hybridMultilevel"/>
    <w:tmpl w:val="532088B2"/>
    <w:lvl w:ilvl="0" w:tplc="C2303144">
      <w:start w:val="21"/>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6"/>
  </w:num>
  <w:num w:numId="8">
    <w:abstractNumId w:val="14"/>
  </w:num>
  <w:num w:numId="9">
    <w:abstractNumId w:val="5"/>
  </w:num>
  <w:num w:numId="10">
    <w:abstractNumId w:val="9"/>
  </w:num>
  <w:num w:numId="11">
    <w:abstractNumId w:val="10"/>
  </w:num>
  <w:num w:numId="12">
    <w:abstractNumId w:val="12"/>
  </w:num>
  <w:num w:numId="13">
    <w:abstractNumId w:val="4"/>
  </w:num>
  <w:num w:numId="14">
    <w:abstractNumId w:val="0"/>
  </w:num>
  <w:num w:numId="15">
    <w:abstractNumId w:val="7"/>
  </w:num>
  <w:num w:numId="16">
    <w:abstractNumId w:val="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21AA"/>
    <w:rsid w:val="00007058"/>
    <w:rsid w:val="000138FA"/>
    <w:rsid w:val="0002174A"/>
    <w:rsid w:val="000221CD"/>
    <w:rsid w:val="000242EC"/>
    <w:rsid w:val="000435EB"/>
    <w:rsid w:val="0004569F"/>
    <w:rsid w:val="000538AB"/>
    <w:rsid w:val="00074304"/>
    <w:rsid w:val="000A4359"/>
    <w:rsid w:val="000B48F7"/>
    <w:rsid w:val="000B74AE"/>
    <w:rsid w:val="000D0A9E"/>
    <w:rsid w:val="000D6D26"/>
    <w:rsid w:val="000E02D9"/>
    <w:rsid w:val="000E247F"/>
    <w:rsid w:val="000F001D"/>
    <w:rsid w:val="000F372E"/>
    <w:rsid w:val="001031D7"/>
    <w:rsid w:val="00103818"/>
    <w:rsid w:val="0010589B"/>
    <w:rsid w:val="0011006B"/>
    <w:rsid w:val="00120B8D"/>
    <w:rsid w:val="00122ADD"/>
    <w:rsid w:val="00126D09"/>
    <w:rsid w:val="0014259D"/>
    <w:rsid w:val="001436B7"/>
    <w:rsid w:val="00146119"/>
    <w:rsid w:val="00155BB8"/>
    <w:rsid w:val="00167E86"/>
    <w:rsid w:val="00177ABB"/>
    <w:rsid w:val="0018064A"/>
    <w:rsid w:val="00185B51"/>
    <w:rsid w:val="001A58E3"/>
    <w:rsid w:val="001A73EB"/>
    <w:rsid w:val="001B388E"/>
    <w:rsid w:val="001B5226"/>
    <w:rsid w:val="001C24E9"/>
    <w:rsid w:val="001C6E81"/>
    <w:rsid w:val="001D28C6"/>
    <w:rsid w:val="001E2B25"/>
    <w:rsid w:val="001E608A"/>
    <w:rsid w:val="001F3EF9"/>
    <w:rsid w:val="001F4108"/>
    <w:rsid w:val="001F5203"/>
    <w:rsid w:val="001F732C"/>
    <w:rsid w:val="00202DBE"/>
    <w:rsid w:val="00211596"/>
    <w:rsid w:val="002207E7"/>
    <w:rsid w:val="00223626"/>
    <w:rsid w:val="00241E99"/>
    <w:rsid w:val="00246B4F"/>
    <w:rsid w:val="002527CB"/>
    <w:rsid w:val="00254ECE"/>
    <w:rsid w:val="00263335"/>
    <w:rsid w:val="00277ED6"/>
    <w:rsid w:val="00285211"/>
    <w:rsid w:val="00291C78"/>
    <w:rsid w:val="002A7632"/>
    <w:rsid w:val="002C01E6"/>
    <w:rsid w:val="002C4862"/>
    <w:rsid w:val="002C6D7C"/>
    <w:rsid w:val="002D52F9"/>
    <w:rsid w:val="002F6D5E"/>
    <w:rsid w:val="002F7633"/>
    <w:rsid w:val="00303C3D"/>
    <w:rsid w:val="00315752"/>
    <w:rsid w:val="003338DC"/>
    <w:rsid w:val="0034462A"/>
    <w:rsid w:val="00363412"/>
    <w:rsid w:val="00377EE2"/>
    <w:rsid w:val="00386777"/>
    <w:rsid w:val="0039248C"/>
    <w:rsid w:val="00394A83"/>
    <w:rsid w:val="003952E4"/>
    <w:rsid w:val="003B3086"/>
    <w:rsid w:val="003B465E"/>
    <w:rsid w:val="003C44ED"/>
    <w:rsid w:val="003D0B4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6393"/>
    <w:rsid w:val="0049762B"/>
    <w:rsid w:val="004A316A"/>
    <w:rsid w:val="004B2933"/>
    <w:rsid w:val="004C08F8"/>
    <w:rsid w:val="004C3FB9"/>
    <w:rsid w:val="004E060E"/>
    <w:rsid w:val="004E140F"/>
    <w:rsid w:val="004E648E"/>
    <w:rsid w:val="004F05A4"/>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1388"/>
    <w:rsid w:val="005C28F9"/>
    <w:rsid w:val="005C34AF"/>
    <w:rsid w:val="005C5E3A"/>
    <w:rsid w:val="005C6EBB"/>
    <w:rsid w:val="005D1853"/>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543F"/>
    <w:rsid w:val="006E79F6"/>
    <w:rsid w:val="006F1453"/>
    <w:rsid w:val="006F1C55"/>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136D1"/>
    <w:rsid w:val="00821131"/>
    <w:rsid w:val="00822C6D"/>
    <w:rsid w:val="00836D35"/>
    <w:rsid w:val="00840661"/>
    <w:rsid w:val="00852773"/>
    <w:rsid w:val="00870E71"/>
    <w:rsid w:val="008751D2"/>
    <w:rsid w:val="00881098"/>
    <w:rsid w:val="00886700"/>
    <w:rsid w:val="0088773C"/>
    <w:rsid w:val="00893A7C"/>
    <w:rsid w:val="008A0467"/>
    <w:rsid w:val="008A305E"/>
    <w:rsid w:val="008A542E"/>
    <w:rsid w:val="008B0252"/>
    <w:rsid w:val="008C0C03"/>
    <w:rsid w:val="008D366D"/>
    <w:rsid w:val="008E0704"/>
    <w:rsid w:val="008E2821"/>
    <w:rsid w:val="008E3175"/>
    <w:rsid w:val="008E4619"/>
    <w:rsid w:val="008E5D7E"/>
    <w:rsid w:val="008E65A4"/>
    <w:rsid w:val="008F1B30"/>
    <w:rsid w:val="00907AF2"/>
    <w:rsid w:val="009108A1"/>
    <w:rsid w:val="00912CB9"/>
    <w:rsid w:val="00920FD8"/>
    <w:rsid w:val="00921FFB"/>
    <w:rsid w:val="00933CB8"/>
    <w:rsid w:val="009410B9"/>
    <w:rsid w:val="0094512A"/>
    <w:rsid w:val="009511F2"/>
    <w:rsid w:val="00954A7D"/>
    <w:rsid w:val="00955D62"/>
    <w:rsid w:val="00956521"/>
    <w:rsid w:val="00961130"/>
    <w:rsid w:val="00965A4D"/>
    <w:rsid w:val="00973A34"/>
    <w:rsid w:val="00973BCE"/>
    <w:rsid w:val="00973D04"/>
    <w:rsid w:val="00991F1D"/>
    <w:rsid w:val="00994771"/>
    <w:rsid w:val="009A57C7"/>
    <w:rsid w:val="009A70C9"/>
    <w:rsid w:val="009B318F"/>
    <w:rsid w:val="009B7A37"/>
    <w:rsid w:val="009C24C5"/>
    <w:rsid w:val="009C2DF8"/>
    <w:rsid w:val="009E279B"/>
    <w:rsid w:val="009F405A"/>
    <w:rsid w:val="00A40A0D"/>
    <w:rsid w:val="00A45C28"/>
    <w:rsid w:val="00A4688A"/>
    <w:rsid w:val="00A51B9C"/>
    <w:rsid w:val="00A54E5C"/>
    <w:rsid w:val="00A6187E"/>
    <w:rsid w:val="00A649AF"/>
    <w:rsid w:val="00A70560"/>
    <w:rsid w:val="00A9548E"/>
    <w:rsid w:val="00A97B7D"/>
    <w:rsid w:val="00AB6292"/>
    <w:rsid w:val="00AB6391"/>
    <w:rsid w:val="00AD20BE"/>
    <w:rsid w:val="00AF05EE"/>
    <w:rsid w:val="00AF4D78"/>
    <w:rsid w:val="00AF67B3"/>
    <w:rsid w:val="00B010E3"/>
    <w:rsid w:val="00B12816"/>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3361E"/>
    <w:rsid w:val="00C34FEE"/>
    <w:rsid w:val="00C36662"/>
    <w:rsid w:val="00C401B4"/>
    <w:rsid w:val="00C40B6C"/>
    <w:rsid w:val="00C43502"/>
    <w:rsid w:val="00C515B0"/>
    <w:rsid w:val="00C63ED5"/>
    <w:rsid w:val="00C67855"/>
    <w:rsid w:val="00C778AD"/>
    <w:rsid w:val="00C77A29"/>
    <w:rsid w:val="00C8497E"/>
    <w:rsid w:val="00CA38CC"/>
    <w:rsid w:val="00CA76F5"/>
    <w:rsid w:val="00CB0059"/>
    <w:rsid w:val="00CB0F25"/>
    <w:rsid w:val="00CB15A8"/>
    <w:rsid w:val="00CB648E"/>
    <w:rsid w:val="00CC47FF"/>
    <w:rsid w:val="00CD0775"/>
    <w:rsid w:val="00CE3822"/>
    <w:rsid w:val="00CE64A2"/>
    <w:rsid w:val="00D008D9"/>
    <w:rsid w:val="00D07CDA"/>
    <w:rsid w:val="00D114F2"/>
    <w:rsid w:val="00D122D7"/>
    <w:rsid w:val="00D13839"/>
    <w:rsid w:val="00D203FA"/>
    <w:rsid w:val="00D26A9E"/>
    <w:rsid w:val="00D36A51"/>
    <w:rsid w:val="00D4749F"/>
    <w:rsid w:val="00D47FE9"/>
    <w:rsid w:val="00D6089E"/>
    <w:rsid w:val="00D61929"/>
    <w:rsid w:val="00D625DD"/>
    <w:rsid w:val="00D62EBF"/>
    <w:rsid w:val="00D65A5C"/>
    <w:rsid w:val="00D77DF3"/>
    <w:rsid w:val="00D83E4E"/>
    <w:rsid w:val="00D850A2"/>
    <w:rsid w:val="00DB76B1"/>
    <w:rsid w:val="00DC0CA9"/>
    <w:rsid w:val="00DC4911"/>
    <w:rsid w:val="00DD0C78"/>
    <w:rsid w:val="00DD3EEB"/>
    <w:rsid w:val="00DF3543"/>
    <w:rsid w:val="00DF441F"/>
    <w:rsid w:val="00DF67B8"/>
    <w:rsid w:val="00E11E13"/>
    <w:rsid w:val="00E13699"/>
    <w:rsid w:val="00E1723A"/>
    <w:rsid w:val="00E20CD8"/>
    <w:rsid w:val="00E2372D"/>
    <w:rsid w:val="00E26EAB"/>
    <w:rsid w:val="00E27306"/>
    <w:rsid w:val="00E426CF"/>
    <w:rsid w:val="00E50863"/>
    <w:rsid w:val="00E5478B"/>
    <w:rsid w:val="00E730FC"/>
    <w:rsid w:val="00E74F99"/>
    <w:rsid w:val="00E77452"/>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204"/>
    <w:rsid w:val="00F01BBD"/>
    <w:rsid w:val="00F05EC7"/>
    <w:rsid w:val="00F06760"/>
    <w:rsid w:val="00F0691A"/>
    <w:rsid w:val="00F14CDF"/>
    <w:rsid w:val="00F32BBB"/>
    <w:rsid w:val="00F345B9"/>
    <w:rsid w:val="00F3581C"/>
    <w:rsid w:val="00F5463E"/>
    <w:rsid w:val="00F54A93"/>
    <w:rsid w:val="00F63CEC"/>
    <w:rsid w:val="00F663E0"/>
    <w:rsid w:val="00F82AAF"/>
    <w:rsid w:val="00F9078D"/>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UnresolvedMention">
    <w:name w:val="Unresolved Mention"/>
    <w:basedOn w:val="Absatz-Standardschriftart"/>
    <w:uiPriority w:val="99"/>
    <w:semiHidden/>
    <w:unhideWhenUsed/>
    <w:rsid w:val="00002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ndre.hentz@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wp-content/uploads/2021/04/2._Ergebnisbericht_zur_Kategorisierung_von_Wirtschaftsimmobilien.pd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10</cp:revision>
  <cp:lastPrinted>2021-12-15T13:09:00Z</cp:lastPrinted>
  <dcterms:created xsi:type="dcterms:W3CDTF">2021-12-15T13:44:00Z</dcterms:created>
  <dcterms:modified xsi:type="dcterms:W3CDTF">2021-12-15T13:54:00Z</dcterms:modified>
</cp:coreProperties>
</file>