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4359" w14:textId="77777777" w:rsidR="001A39B0" w:rsidRPr="001A39B0" w:rsidRDefault="001A39B0" w:rsidP="001A39B0">
      <w:pPr>
        <w:jc w:val="both"/>
        <w:rPr>
          <w:rFonts w:ascii="Arial" w:hAnsi="Arial" w:cs="Arial"/>
          <w:sz w:val="22"/>
          <w:szCs w:val="22"/>
        </w:rPr>
      </w:pPr>
    </w:p>
    <w:p w14:paraId="3267C05A" w14:textId="77777777" w:rsidR="001A39B0" w:rsidRPr="001A39B0" w:rsidRDefault="001A39B0" w:rsidP="001A39B0">
      <w:pPr>
        <w:jc w:val="both"/>
        <w:rPr>
          <w:rFonts w:ascii="Arial" w:hAnsi="Arial" w:cs="Arial"/>
          <w:sz w:val="22"/>
          <w:szCs w:val="22"/>
        </w:rPr>
      </w:pPr>
    </w:p>
    <w:p w14:paraId="3DF938E0" w14:textId="1CDB4B98" w:rsidR="001A39B0" w:rsidRPr="001A39B0" w:rsidRDefault="001A39B0" w:rsidP="001A39B0">
      <w:pPr>
        <w:jc w:val="both"/>
        <w:rPr>
          <w:rFonts w:ascii="Arial" w:hAnsi="Arial" w:cs="Arial"/>
          <w:b/>
          <w:bCs/>
          <w:sz w:val="22"/>
          <w:szCs w:val="22"/>
        </w:rPr>
      </w:pPr>
      <w:r w:rsidRPr="001A39B0">
        <w:rPr>
          <w:rFonts w:ascii="Arial" w:hAnsi="Arial" w:cs="Arial"/>
          <w:b/>
          <w:bCs/>
          <w:sz w:val="22"/>
          <w:szCs w:val="22"/>
        </w:rPr>
        <w:t>PRESSEINFORMATION</w:t>
      </w:r>
    </w:p>
    <w:p w14:paraId="06DA7D93" w14:textId="77777777" w:rsidR="001A39B0" w:rsidRDefault="001A39B0" w:rsidP="001A39B0">
      <w:pPr>
        <w:jc w:val="both"/>
        <w:rPr>
          <w:rFonts w:ascii="Arial" w:hAnsi="Arial" w:cs="Arial"/>
          <w:sz w:val="22"/>
          <w:szCs w:val="22"/>
        </w:rPr>
      </w:pPr>
      <w:r>
        <w:rPr>
          <w:rFonts w:ascii="Arial" w:hAnsi="Arial" w:cs="Arial"/>
          <w:sz w:val="22"/>
          <w:szCs w:val="22"/>
        </w:rPr>
        <w:t>Oktober 2021</w:t>
      </w:r>
    </w:p>
    <w:p w14:paraId="0FA512C7" w14:textId="77777777" w:rsidR="001A39B0" w:rsidRDefault="001A39B0" w:rsidP="001A39B0">
      <w:pPr>
        <w:jc w:val="both"/>
        <w:rPr>
          <w:rFonts w:ascii="Arial" w:hAnsi="Arial" w:cs="Arial"/>
          <w:sz w:val="22"/>
          <w:szCs w:val="22"/>
        </w:rPr>
      </w:pPr>
    </w:p>
    <w:p w14:paraId="5FA43A33" w14:textId="77777777" w:rsidR="001A39B0" w:rsidRDefault="001A39B0" w:rsidP="001A39B0">
      <w:pPr>
        <w:jc w:val="both"/>
        <w:rPr>
          <w:rFonts w:ascii="Arial" w:hAnsi="Arial" w:cs="Arial"/>
          <w:sz w:val="22"/>
          <w:szCs w:val="22"/>
        </w:rPr>
      </w:pPr>
    </w:p>
    <w:p w14:paraId="0B93DB52" w14:textId="4ACE190F" w:rsidR="001A39B0" w:rsidRPr="001A39B0" w:rsidRDefault="001A39B0" w:rsidP="001A39B0">
      <w:pPr>
        <w:jc w:val="both"/>
        <w:rPr>
          <w:rFonts w:ascii="Arial" w:hAnsi="Arial" w:cs="Arial"/>
          <w:b/>
          <w:bCs/>
          <w:sz w:val="26"/>
          <w:szCs w:val="26"/>
        </w:rPr>
      </w:pPr>
      <w:r w:rsidRPr="001A39B0">
        <w:rPr>
          <w:rFonts w:ascii="Arial" w:hAnsi="Arial" w:cs="Arial"/>
          <w:b/>
          <w:bCs/>
          <w:sz w:val="26"/>
          <w:szCs w:val="26"/>
        </w:rPr>
        <w:t>Der Bundesgerichtshof hat entschieden:</w:t>
      </w:r>
    </w:p>
    <w:p w14:paraId="514B1B41" w14:textId="42519B67" w:rsidR="001A39B0" w:rsidRPr="001A39B0" w:rsidRDefault="001A39B0" w:rsidP="001A39B0">
      <w:pPr>
        <w:jc w:val="both"/>
        <w:rPr>
          <w:rFonts w:ascii="Arial" w:hAnsi="Arial" w:cs="Arial"/>
          <w:b/>
          <w:bCs/>
          <w:sz w:val="26"/>
          <w:szCs w:val="26"/>
        </w:rPr>
      </w:pPr>
      <w:r w:rsidRPr="001A39B0">
        <w:rPr>
          <w:rFonts w:ascii="Arial" w:hAnsi="Arial" w:cs="Arial"/>
          <w:b/>
          <w:bCs/>
          <w:sz w:val="26"/>
          <w:szCs w:val="26"/>
        </w:rPr>
        <w:t>Porsche darf Tuner nicht vom Neuwagen- und Teileerwerb ausschließen</w:t>
      </w:r>
    </w:p>
    <w:p w14:paraId="4FC38440" w14:textId="77777777" w:rsidR="001A39B0" w:rsidRPr="001A39B0" w:rsidRDefault="001A39B0" w:rsidP="001A39B0">
      <w:pPr>
        <w:jc w:val="both"/>
        <w:rPr>
          <w:rFonts w:ascii="Arial" w:hAnsi="Arial" w:cs="Arial"/>
          <w:i/>
          <w:iCs/>
          <w:sz w:val="22"/>
          <w:szCs w:val="22"/>
        </w:rPr>
      </w:pPr>
    </w:p>
    <w:p w14:paraId="49616F4B" w14:textId="60F69DE8" w:rsidR="001A39B0" w:rsidRPr="001A39B0" w:rsidRDefault="001A39B0" w:rsidP="001A39B0">
      <w:pPr>
        <w:jc w:val="both"/>
        <w:rPr>
          <w:rFonts w:ascii="Arial" w:hAnsi="Arial" w:cs="Arial"/>
          <w:i/>
          <w:iCs/>
          <w:sz w:val="22"/>
          <w:szCs w:val="22"/>
        </w:rPr>
      </w:pPr>
      <w:r w:rsidRPr="001A39B0">
        <w:rPr>
          <w:rFonts w:ascii="Arial" w:hAnsi="Arial" w:cs="Arial"/>
          <w:i/>
          <w:iCs/>
          <w:sz w:val="22"/>
          <w:szCs w:val="22"/>
        </w:rPr>
        <w:t xml:space="preserve">Jetzt ist es rechtskräftig: </w:t>
      </w:r>
      <w:r w:rsidR="008222DB">
        <w:rPr>
          <w:rFonts w:ascii="Arial" w:hAnsi="Arial" w:cs="Arial"/>
          <w:i/>
          <w:iCs/>
          <w:sz w:val="22"/>
          <w:szCs w:val="22"/>
        </w:rPr>
        <w:t xml:space="preserve">Sportwagenhersteller </w:t>
      </w:r>
      <w:r w:rsidRPr="001A39B0">
        <w:rPr>
          <w:rFonts w:ascii="Arial" w:hAnsi="Arial" w:cs="Arial"/>
          <w:i/>
          <w:iCs/>
          <w:sz w:val="22"/>
          <w:szCs w:val="22"/>
        </w:rPr>
        <w:t xml:space="preserve">Porsche darf seinen Händlern nicht länger verbieten, Porsche-Neufahrzeuge, Ersatzteile und Zubehör an Tuning-Unternehmen zu verkaufen. Der Bundesgerichtshof </w:t>
      </w:r>
      <w:r w:rsidR="008222DB">
        <w:rPr>
          <w:rFonts w:ascii="Arial" w:hAnsi="Arial" w:cs="Arial"/>
          <w:i/>
          <w:iCs/>
          <w:sz w:val="22"/>
          <w:szCs w:val="22"/>
        </w:rPr>
        <w:t xml:space="preserve">(BGH) </w:t>
      </w:r>
      <w:r w:rsidRPr="001A39B0">
        <w:rPr>
          <w:rFonts w:ascii="Arial" w:hAnsi="Arial" w:cs="Arial"/>
          <w:i/>
          <w:iCs/>
          <w:sz w:val="22"/>
          <w:szCs w:val="22"/>
        </w:rPr>
        <w:t xml:space="preserve">hat mit Urteil vom 6. Juli 2021 (Az. KZR 35/20) die Revision von Porsche gegen ein entsprechendes Urteil des </w:t>
      </w:r>
      <w:r w:rsidR="008222DB">
        <w:rPr>
          <w:rFonts w:ascii="Arial" w:hAnsi="Arial" w:cs="Arial"/>
          <w:i/>
          <w:iCs/>
          <w:sz w:val="22"/>
          <w:szCs w:val="22"/>
        </w:rPr>
        <w:t>Oberlandesgerichts (</w:t>
      </w:r>
      <w:r w:rsidRPr="001A39B0">
        <w:rPr>
          <w:rFonts w:ascii="Arial" w:hAnsi="Arial" w:cs="Arial"/>
          <w:i/>
          <w:iCs/>
          <w:sz w:val="22"/>
          <w:szCs w:val="22"/>
        </w:rPr>
        <w:t>OLG</w:t>
      </w:r>
      <w:r w:rsidR="008222DB">
        <w:rPr>
          <w:rFonts w:ascii="Arial" w:hAnsi="Arial" w:cs="Arial"/>
          <w:i/>
          <w:iCs/>
          <w:sz w:val="22"/>
          <w:szCs w:val="22"/>
        </w:rPr>
        <w:t>)</w:t>
      </w:r>
      <w:r w:rsidRPr="001A39B0">
        <w:rPr>
          <w:rFonts w:ascii="Arial" w:hAnsi="Arial" w:cs="Arial"/>
          <w:i/>
          <w:iCs/>
          <w:sz w:val="22"/>
          <w:szCs w:val="22"/>
        </w:rPr>
        <w:t xml:space="preserve"> Stuttgart (Az. 2 U 88/17) zurückgewiesen.</w:t>
      </w:r>
    </w:p>
    <w:p w14:paraId="3D9D61E3" w14:textId="77777777" w:rsidR="001A39B0" w:rsidRPr="001A39B0" w:rsidRDefault="001A39B0" w:rsidP="001A39B0">
      <w:pPr>
        <w:jc w:val="both"/>
        <w:rPr>
          <w:rFonts w:ascii="Arial" w:hAnsi="Arial" w:cs="Arial"/>
          <w:i/>
          <w:iCs/>
          <w:sz w:val="22"/>
          <w:szCs w:val="22"/>
        </w:rPr>
      </w:pPr>
    </w:p>
    <w:p w14:paraId="39F7728D" w14:textId="45262F82" w:rsidR="001A39B0" w:rsidRDefault="001A39B0" w:rsidP="001A39B0">
      <w:pPr>
        <w:jc w:val="both"/>
        <w:rPr>
          <w:rFonts w:ascii="Arial" w:hAnsi="Arial" w:cs="Arial"/>
          <w:sz w:val="22"/>
          <w:szCs w:val="22"/>
        </w:rPr>
      </w:pPr>
      <w:r w:rsidRPr="001A39B0">
        <w:rPr>
          <w:rFonts w:ascii="Arial" w:hAnsi="Arial" w:cs="Arial"/>
          <w:sz w:val="22"/>
          <w:szCs w:val="22"/>
        </w:rPr>
        <w:t>Der Verband der Automobiltuner e.V. (VDAT) griff mit seiner erfolgreichen Klage gegen Porsche zwei Klauseln in den Porsche-Händlerverträgen an</w:t>
      </w:r>
      <w:r w:rsidR="008222DB">
        <w:rPr>
          <w:rFonts w:ascii="Arial" w:hAnsi="Arial" w:cs="Arial"/>
          <w:sz w:val="22"/>
          <w:szCs w:val="22"/>
        </w:rPr>
        <w:t>. Sie untersagen</w:t>
      </w:r>
      <w:r w:rsidRPr="001A39B0">
        <w:rPr>
          <w:rFonts w:ascii="Arial" w:hAnsi="Arial" w:cs="Arial"/>
          <w:sz w:val="22"/>
          <w:szCs w:val="22"/>
        </w:rPr>
        <w:t xml:space="preserve"> den Porsche-Händlern den Verkauf von Porsche-Neufahrzeugen, Ersatzteilen und Zubehör an Tuning-Unternehmen. Ausnahmen wurden lediglich dann gemacht, wenn sich das Tuning-Unternehmen gegenüber dem jeweiligen Porsche-Händler schriftlich unter Androhung einer Vertragsstrafe verpflichtete, die gelieferten Neuwagen oder Teile nicht zu Tuningzwecken zu verwenden. Das Muster der Verpflichtungserklärung wurde den Händlern von Porsche vorgegeben.</w:t>
      </w:r>
    </w:p>
    <w:p w14:paraId="60C58B0F" w14:textId="77777777" w:rsidR="001A39B0" w:rsidRPr="001A39B0" w:rsidRDefault="001A39B0" w:rsidP="001A39B0">
      <w:pPr>
        <w:jc w:val="both"/>
        <w:rPr>
          <w:rFonts w:ascii="Arial" w:hAnsi="Arial" w:cs="Arial"/>
          <w:sz w:val="22"/>
          <w:szCs w:val="22"/>
        </w:rPr>
      </w:pPr>
    </w:p>
    <w:p w14:paraId="5ECD0607" w14:textId="56E79FCF" w:rsidR="001A39B0" w:rsidRDefault="001A39B0" w:rsidP="001A39B0">
      <w:pPr>
        <w:jc w:val="both"/>
        <w:rPr>
          <w:rFonts w:ascii="Arial" w:hAnsi="Arial" w:cs="Arial"/>
          <w:sz w:val="22"/>
          <w:szCs w:val="22"/>
        </w:rPr>
      </w:pPr>
      <w:r w:rsidRPr="001A39B0">
        <w:rPr>
          <w:rFonts w:ascii="Arial" w:hAnsi="Arial" w:cs="Arial"/>
          <w:sz w:val="22"/>
          <w:szCs w:val="22"/>
        </w:rPr>
        <w:t xml:space="preserve">Der Bundesgerichtshof wertet in seinem </w:t>
      </w:r>
      <w:r w:rsidR="008222DB">
        <w:rPr>
          <w:rFonts w:ascii="Arial" w:hAnsi="Arial" w:cs="Arial"/>
          <w:sz w:val="22"/>
          <w:szCs w:val="22"/>
        </w:rPr>
        <w:t xml:space="preserve">aktuellen </w:t>
      </w:r>
      <w:r w:rsidRPr="001A39B0">
        <w:rPr>
          <w:rFonts w:ascii="Arial" w:hAnsi="Arial" w:cs="Arial"/>
          <w:sz w:val="22"/>
          <w:szCs w:val="22"/>
        </w:rPr>
        <w:t>Urteil die angegriffenen Vertragsklauseln als kartellrechtlich unzulässige Wettbewerbsbeschränkungen. Die Klauseln beschränken nach Ansicht des Gerichts den Wettbewerb der Porsche-Händler untereinander, indem diese generell davon ausgeschlossen werden, Porsche-Neufahrzeuge zu Präsentationszwecken für Tuning-Produkte zu verkaufen. Die Händler werden dadurch gehindert, beim Neuwagenabsatz an Tuning-Unternehmen untereinander in Wettbewerb zu treten. Weiterhin beschränken die Klauseln in unzulässiger Weise den Wettbewerb zwischen Porsche als Anbieter werkseigener Tuningprogramme (</w:t>
      </w:r>
      <w:proofErr w:type="spellStart"/>
      <w:r w:rsidRPr="001A39B0">
        <w:rPr>
          <w:rFonts w:ascii="Arial" w:hAnsi="Arial" w:cs="Arial"/>
          <w:sz w:val="22"/>
          <w:szCs w:val="22"/>
        </w:rPr>
        <w:t>Tequipment</w:t>
      </w:r>
      <w:proofErr w:type="spellEnd"/>
      <w:r w:rsidRPr="001A39B0">
        <w:rPr>
          <w:rFonts w:ascii="Arial" w:hAnsi="Arial" w:cs="Arial"/>
          <w:sz w:val="22"/>
          <w:szCs w:val="22"/>
        </w:rPr>
        <w:t xml:space="preserve">, </w:t>
      </w:r>
      <w:proofErr w:type="spellStart"/>
      <w:r w:rsidRPr="001A39B0">
        <w:rPr>
          <w:rFonts w:ascii="Arial" w:hAnsi="Arial" w:cs="Arial"/>
          <w:sz w:val="22"/>
          <w:szCs w:val="22"/>
        </w:rPr>
        <w:t>Exclusive</w:t>
      </w:r>
      <w:proofErr w:type="spellEnd"/>
      <w:r w:rsidRPr="001A39B0">
        <w:rPr>
          <w:rFonts w:ascii="Arial" w:hAnsi="Arial" w:cs="Arial"/>
          <w:sz w:val="22"/>
          <w:szCs w:val="22"/>
        </w:rPr>
        <w:t>) einerseits und den entsprechenden Angeboten unabhängiger Tuner andererseits.</w:t>
      </w:r>
    </w:p>
    <w:p w14:paraId="64F2710C" w14:textId="3228B5A3" w:rsidR="001A39B0" w:rsidRPr="001A39B0" w:rsidRDefault="001A39B0" w:rsidP="001A39B0">
      <w:pPr>
        <w:jc w:val="both"/>
        <w:rPr>
          <w:rFonts w:ascii="Arial" w:hAnsi="Arial" w:cs="Arial"/>
          <w:sz w:val="22"/>
          <w:szCs w:val="22"/>
        </w:rPr>
      </w:pPr>
      <w:r w:rsidRPr="001A39B0">
        <w:rPr>
          <w:rFonts w:ascii="Arial" w:hAnsi="Arial" w:cs="Arial"/>
          <w:sz w:val="22"/>
          <w:szCs w:val="22"/>
        </w:rPr>
        <w:t xml:space="preserve"> </w:t>
      </w:r>
    </w:p>
    <w:p w14:paraId="43E7D3CB" w14:textId="77777777" w:rsidR="001A39B0" w:rsidRPr="001A39B0" w:rsidRDefault="001A39B0" w:rsidP="001A39B0">
      <w:pPr>
        <w:jc w:val="both"/>
        <w:rPr>
          <w:rFonts w:ascii="Arial" w:hAnsi="Arial" w:cs="Arial"/>
          <w:sz w:val="22"/>
          <w:szCs w:val="22"/>
        </w:rPr>
      </w:pPr>
      <w:r w:rsidRPr="001A39B0">
        <w:rPr>
          <w:rFonts w:ascii="Arial" w:hAnsi="Arial" w:cs="Arial"/>
          <w:sz w:val="22"/>
          <w:szCs w:val="22"/>
        </w:rPr>
        <w:t xml:space="preserve">Dem Versuch von Porsche, die beanstandeten Klauseln als wesentlich für den Bestand des eigenen, selektiven Vertriebssystems zu rechtfertigen, erteilte der Bundesgerichtshof eine Absage. Tuning-Unternehmen, die Neufahrzeuge oder Teile zur Verwendung im eigenen Betrieb erwerben, etwa als Präsentationsfahrzeug oder als Bauteil für eigene Tuningprodukte, sind keine Wiederverkäufer, so das Gericht. </w:t>
      </w:r>
    </w:p>
    <w:p w14:paraId="4AC70AD1" w14:textId="77777777" w:rsidR="001A39B0" w:rsidRDefault="001A39B0" w:rsidP="001A39B0">
      <w:pPr>
        <w:jc w:val="both"/>
        <w:rPr>
          <w:rFonts w:ascii="Arial" w:hAnsi="Arial" w:cs="Arial"/>
          <w:sz w:val="22"/>
          <w:szCs w:val="22"/>
        </w:rPr>
      </w:pPr>
    </w:p>
    <w:p w14:paraId="2FB4E4F2" w14:textId="7A6D363F" w:rsidR="001A39B0" w:rsidRPr="001A39B0" w:rsidRDefault="001A39B0" w:rsidP="001A39B0">
      <w:pPr>
        <w:jc w:val="both"/>
        <w:rPr>
          <w:rFonts w:ascii="Arial" w:hAnsi="Arial" w:cs="Arial"/>
          <w:sz w:val="22"/>
          <w:szCs w:val="22"/>
        </w:rPr>
      </w:pPr>
      <w:r w:rsidRPr="001A39B0">
        <w:rPr>
          <w:rFonts w:ascii="Arial" w:hAnsi="Arial" w:cs="Arial"/>
          <w:sz w:val="22"/>
          <w:szCs w:val="22"/>
        </w:rPr>
        <w:t xml:space="preserve">Mit seinem Urteil hat der Bundesgerichtshof dem jahrelangen Bestreben von Porsche, den Tuningmarkt für sich zu monopolisieren, einen Riegel vorgeschoben. Sollte Porsche weiterhin versuchen, den Verkauf von Neuwagen, Teilen und Zubehör an Tuner zu beschränken, drohen Zwangsgelder, unter Umständen auch Bußgelder des Bundeskartellamtes. </w:t>
      </w:r>
    </w:p>
    <w:p w14:paraId="29C48CE8" w14:textId="77777777" w:rsidR="001A39B0" w:rsidRDefault="001A39B0" w:rsidP="001A39B0">
      <w:pPr>
        <w:jc w:val="both"/>
        <w:rPr>
          <w:rFonts w:ascii="Arial" w:hAnsi="Arial" w:cs="Arial"/>
          <w:sz w:val="22"/>
          <w:szCs w:val="22"/>
        </w:rPr>
      </w:pPr>
    </w:p>
    <w:p w14:paraId="49BFD55B" w14:textId="75C850B0" w:rsidR="001A39B0" w:rsidRPr="001A39B0" w:rsidRDefault="001A39B0" w:rsidP="001A39B0">
      <w:pPr>
        <w:jc w:val="both"/>
        <w:rPr>
          <w:rFonts w:ascii="Arial" w:hAnsi="Arial" w:cs="Arial"/>
          <w:sz w:val="22"/>
          <w:szCs w:val="22"/>
        </w:rPr>
      </w:pPr>
      <w:r w:rsidRPr="001A39B0">
        <w:rPr>
          <w:rFonts w:ascii="Arial" w:hAnsi="Arial" w:cs="Arial"/>
          <w:sz w:val="22"/>
          <w:szCs w:val="22"/>
        </w:rPr>
        <w:t>Für weitere Informationen zu</w:t>
      </w:r>
      <w:r w:rsidR="008222DB">
        <w:rPr>
          <w:rFonts w:ascii="Arial" w:hAnsi="Arial" w:cs="Arial"/>
          <w:sz w:val="22"/>
          <w:szCs w:val="22"/>
        </w:rPr>
        <w:t>m</w:t>
      </w:r>
      <w:r w:rsidRPr="001A39B0">
        <w:rPr>
          <w:rFonts w:ascii="Arial" w:hAnsi="Arial" w:cs="Arial"/>
          <w:sz w:val="22"/>
          <w:szCs w:val="22"/>
        </w:rPr>
        <w:t xml:space="preserve"> Inhalt und </w:t>
      </w:r>
      <w:r w:rsidR="008222DB">
        <w:rPr>
          <w:rFonts w:ascii="Arial" w:hAnsi="Arial" w:cs="Arial"/>
          <w:sz w:val="22"/>
          <w:szCs w:val="22"/>
        </w:rPr>
        <w:t xml:space="preserve">zur </w:t>
      </w:r>
      <w:r w:rsidRPr="001A39B0">
        <w:rPr>
          <w:rFonts w:ascii="Arial" w:hAnsi="Arial" w:cs="Arial"/>
          <w:sz w:val="22"/>
          <w:szCs w:val="22"/>
        </w:rPr>
        <w:t>Reichweite d</w:t>
      </w:r>
      <w:r w:rsidR="008222DB">
        <w:rPr>
          <w:rFonts w:ascii="Arial" w:hAnsi="Arial" w:cs="Arial"/>
          <w:sz w:val="22"/>
          <w:szCs w:val="22"/>
        </w:rPr>
        <w:t>ies</w:t>
      </w:r>
      <w:r w:rsidRPr="001A39B0">
        <w:rPr>
          <w:rFonts w:ascii="Arial" w:hAnsi="Arial" w:cs="Arial"/>
          <w:sz w:val="22"/>
          <w:szCs w:val="22"/>
        </w:rPr>
        <w:t>er Entscheidung stehen Ihnen der VDAT (www.vdat.org) und Rechtsanwalt Berndt Hess (www.berndt-hess.com), der den VDAT in dem Verfahren gegen Porsche vertreten hat, gerne zur Verfügung.</w:t>
      </w:r>
    </w:p>
    <w:p w14:paraId="67128DD9" w14:textId="77777777" w:rsidR="001A39B0" w:rsidRPr="001A39B0" w:rsidRDefault="001A39B0" w:rsidP="001A39B0">
      <w:pPr>
        <w:jc w:val="right"/>
        <w:rPr>
          <w:rFonts w:ascii="Arial" w:hAnsi="Arial" w:cs="Arial"/>
          <w:b/>
          <w:bCs/>
          <w:sz w:val="16"/>
          <w:szCs w:val="16"/>
        </w:rPr>
      </w:pPr>
    </w:p>
    <w:p w14:paraId="5F68DBCC" w14:textId="745E7745" w:rsidR="001A39B0" w:rsidRPr="001A39B0" w:rsidRDefault="001A39B0" w:rsidP="001A39B0">
      <w:pPr>
        <w:jc w:val="right"/>
        <w:rPr>
          <w:rFonts w:ascii="Arial" w:hAnsi="Arial" w:cs="Arial"/>
          <w:b/>
          <w:bCs/>
          <w:sz w:val="16"/>
          <w:szCs w:val="16"/>
        </w:rPr>
      </w:pPr>
      <w:r w:rsidRPr="001A39B0">
        <w:rPr>
          <w:rFonts w:ascii="Arial" w:hAnsi="Arial" w:cs="Arial"/>
          <w:b/>
          <w:bCs/>
          <w:sz w:val="16"/>
          <w:szCs w:val="16"/>
        </w:rPr>
        <w:t>Abdruck honorarfrei * Beleg erbeten</w:t>
      </w:r>
    </w:p>
    <w:p w14:paraId="09A6EE81" w14:textId="77777777" w:rsidR="001A39B0" w:rsidRPr="001A39B0" w:rsidRDefault="001A39B0" w:rsidP="001A39B0">
      <w:pPr>
        <w:jc w:val="right"/>
        <w:rPr>
          <w:rFonts w:ascii="Arial" w:hAnsi="Arial" w:cs="Arial"/>
          <w:b/>
          <w:bCs/>
          <w:sz w:val="16"/>
          <w:szCs w:val="16"/>
        </w:rPr>
      </w:pPr>
    </w:p>
    <w:p w14:paraId="54C515D9" w14:textId="4DD89A5E" w:rsidR="001A39B0" w:rsidRPr="001A39B0" w:rsidRDefault="001A39B0" w:rsidP="001A39B0">
      <w:pPr>
        <w:jc w:val="both"/>
        <w:rPr>
          <w:rFonts w:ascii="Arial" w:hAnsi="Arial" w:cs="Arial"/>
          <w:sz w:val="22"/>
          <w:szCs w:val="22"/>
        </w:rPr>
      </w:pPr>
      <w:r w:rsidRPr="001A39B0">
        <w:rPr>
          <w:rFonts w:ascii="Arial" w:hAnsi="Arial" w:cs="Arial"/>
          <w:sz w:val="22"/>
          <w:szCs w:val="22"/>
        </w:rPr>
        <w:t>Diese Presseinformation finden Sie auch unter www.tuningpresse.de</w:t>
      </w:r>
    </w:p>
    <w:p w14:paraId="1B65D943" w14:textId="77777777" w:rsidR="001A39B0" w:rsidRPr="001A39B0" w:rsidRDefault="001A39B0" w:rsidP="001A39B0">
      <w:pPr>
        <w:jc w:val="both"/>
        <w:rPr>
          <w:rFonts w:ascii="Arial" w:hAnsi="Arial" w:cs="Arial"/>
          <w:sz w:val="16"/>
          <w:szCs w:val="16"/>
        </w:rPr>
      </w:pPr>
    </w:p>
    <w:p w14:paraId="27E3FF86" w14:textId="641882FC" w:rsidR="001A39B0" w:rsidRPr="001A39B0" w:rsidRDefault="001A39B0" w:rsidP="001A39B0">
      <w:pPr>
        <w:jc w:val="both"/>
        <w:rPr>
          <w:rFonts w:ascii="Arial" w:hAnsi="Arial" w:cs="Arial"/>
          <w:b/>
          <w:bCs/>
          <w:sz w:val="16"/>
          <w:szCs w:val="16"/>
          <w:u w:val="single"/>
        </w:rPr>
      </w:pPr>
      <w:r w:rsidRPr="001A39B0">
        <w:rPr>
          <w:rFonts w:ascii="Arial" w:hAnsi="Arial" w:cs="Arial"/>
          <w:b/>
          <w:bCs/>
          <w:sz w:val="16"/>
          <w:szCs w:val="16"/>
          <w:u w:val="single"/>
        </w:rPr>
        <w:t>Kontakt Presse und Belegadresse:</w:t>
      </w:r>
    </w:p>
    <w:p w14:paraId="70CE7B6A" w14:textId="77777777" w:rsidR="001A39B0" w:rsidRPr="001A39B0" w:rsidRDefault="001A39B0" w:rsidP="001A39B0">
      <w:pPr>
        <w:jc w:val="both"/>
        <w:rPr>
          <w:rFonts w:ascii="Arial" w:hAnsi="Arial" w:cs="Arial"/>
          <w:sz w:val="16"/>
          <w:szCs w:val="16"/>
        </w:rPr>
      </w:pPr>
      <w:proofErr w:type="spellStart"/>
      <w:r w:rsidRPr="001A39B0">
        <w:rPr>
          <w:rFonts w:ascii="Arial" w:hAnsi="Arial" w:cs="Arial"/>
          <w:sz w:val="16"/>
          <w:szCs w:val="16"/>
        </w:rPr>
        <w:t>MediaTel</w:t>
      </w:r>
      <w:proofErr w:type="spellEnd"/>
      <w:r w:rsidRPr="001A39B0">
        <w:rPr>
          <w:rFonts w:ascii="Arial" w:hAnsi="Arial" w:cs="Arial"/>
          <w:sz w:val="16"/>
          <w:szCs w:val="16"/>
        </w:rPr>
        <w:t xml:space="preserve"> Kommunikation &amp; PR, Haldenweg 2, 72505 </w:t>
      </w:r>
      <w:proofErr w:type="spellStart"/>
      <w:r w:rsidRPr="001A39B0">
        <w:rPr>
          <w:rFonts w:ascii="Arial" w:hAnsi="Arial" w:cs="Arial"/>
          <w:sz w:val="16"/>
          <w:szCs w:val="16"/>
        </w:rPr>
        <w:t>Krauchenwies-Ablach</w:t>
      </w:r>
      <w:proofErr w:type="spellEnd"/>
      <w:r w:rsidRPr="001A39B0">
        <w:rPr>
          <w:rFonts w:ascii="Arial" w:hAnsi="Arial" w:cs="Arial"/>
          <w:sz w:val="16"/>
          <w:szCs w:val="16"/>
        </w:rPr>
        <w:t>,</w:t>
      </w:r>
    </w:p>
    <w:p w14:paraId="3C617324" w14:textId="77777777" w:rsidR="001A39B0" w:rsidRPr="001A39B0" w:rsidRDefault="001A39B0" w:rsidP="001A39B0">
      <w:pPr>
        <w:jc w:val="both"/>
        <w:rPr>
          <w:rFonts w:ascii="Arial" w:hAnsi="Arial" w:cs="Arial"/>
          <w:sz w:val="16"/>
          <w:szCs w:val="16"/>
        </w:rPr>
      </w:pPr>
      <w:r w:rsidRPr="001A39B0">
        <w:rPr>
          <w:rFonts w:ascii="Arial" w:hAnsi="Arial" w:cs="Arial"/>
          <w:sz w:val="16"/>
          <w:szCs w:val="16"/>
        </w:rPr>
        <w:t>E-Mail: presse@mediatel.biz, Tel. +49 (0) 7576-9616-12</w:t>
      </w:r>
    </w:p>
    <w:p w14:paraId="1A5D7096" w14:textId="65901986" w:rsidR="00A50847" w:rsidRPr="001A39B0" w:rsidRDefault="00A50847" w:rsidP="00A50847">
      <w:pPr>
        <w:jc w:val="both"/>
        <w:rPr>
          <w:rFonts w:ascii="Arial" w:hAnsi="Arial" w:cs="Arial"/>
          <w:sz w:val="22"/>
          <w:szCs w:val="22"/>
        </w:rPr>
      </w:pPr>
    </w:p>
    <w:sectPr w:rsidR="00A50847" w:rsidRPr="001A39B0" w:rsidSect="00D25B94">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65C9" w14:textId="77777777" w:rsidR="0074481A" w:rsidRDefault="0074481A" w:rsidP="004C3B8F">
      <w:r>
        <w:separator/>
      </w:r>
    </w:p>
  </w:endnote>
  <w:endnote w:type="continuationSeparator" w:id="0">
    <w:p w14:paraId="77746261" w14:textId="77777777" w:rsidR="0074481A" w:rsidRDefault="0074481A" w:rsidP="004C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7566" w14:textId="77777777" w:rsidR="0074481A" w:rsidRDefault="0074481A" w:rsidP="004C3B8F">
      <w:r>
        <w:separator/>
      </w:r>
    </w:p>
  </w:footnote>
  <w:footnote w:type="continuationSeparator" w:id="0">
    <w:p w14:paraId="7B097C1D" w14:textId="77777777" w:rsidR="0074481A" w:rsidRDefault="0074481A" w:rsidP="004C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FA21" w14:textId="77777777" w:rsidR="004C3B8F" w:rsidRDefault="001A39B0">
    <w:pPr>
      <w:pStyle w:val="Kopfzeile"/>
    </w:pPr>
    <w:r>
      <w:rPr>
        <w:noProof/>
      </w:rPr>
      <w:drawing>
        <wp:anchor distT="0" distB="0" distL="114300" distR="114300" simplePos="0" relativeHeight="251657728" behindDoc="1" locked="0" layoutInCell="1" allowOverlap="1" wp14:anchorId="5294FCB5" wp14:editId="38AF9507">
          <wp:simplePos x="0" y="0"/>
          <wp:positionH relativeFrom="column">
            <wp:align>center</wp:align>
          </wp:positionH>
          <wp:positionV relativeFrom="paragraph">
            <wp:posOffset>-426085</wp:posOffset>
          </wp:positionV>
          <wp:extent cx="7562215" cy="1059180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59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5C4A"/>
    <w:multiLevelType w:val="hybridMultilevel"/>
    <w:tmpl w:val="B5D67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01"/>
    <w:rsid w:val="00045FB5"/>
    <w:rsid w:val="00106B08"/>
    <w:rsid w:val="001226FD"/>
    <w:rsid w:val="001A39B0"/>
    <w:rsid w:val="001A5583"/>
    <w:rsid w:val="004C3B8F"/>
    <w:rsid w:val="0074481A"/>
    <w:rsid w:val="0076055A"/>
    <w:rsid w:val="007C4F01"/>
    <w:rsid w:val="008222DB"/>
    <w:rsid w:val="00A50847"/>
    <w:rsid w:val="00D25B94"/>
    <w:rsid w:val="00E25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56DEB2"/>
  <w14:defaultImageDpi w14:val="300"/>
  <w15:chartTrackingRefBased/>
  <w15:docId w15:val="{123EF5E6-F0A1-A342-901C-41CE2DF3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A50847"/>
    <w:rPr>
      <w:color w:val="0000FF"/>
      <w:u w:val="single"/>
    </w:rPr>
  </w:style>
  <w:style w:type="paragraph" w:styleId="Kopfzeile">
    <w:name w:val="header"/>
    <w:basedOn w:val="Standard"/>
    <w:link w:val="KopfzeileZchn"/>
    <w:uiPriority w:val="99"/>
    <w:unhideWhenUsed/>
    <w:rsid w:val="004C3B8F"/>
    <w:pPr>
      <w:tabs>
        <w:tab w:val="center" w:pos="4536"/>
        <w:tab w:val="right" w:pos="9072"/>
      </w:tabs>
    </w:pPr>
  </w:style>
  <w:style w:type="character" w:customStyle="1" w:styleId="KopfzeileZchn">
    <w:name w:val="Kopfzeile Zchn"/>
    <w:link w:val="Kopfzeile"/>
    <w:uiPriority w:val="99"/>
    <w:rsid w:val="004C3B8F"/>
    <w:rPr>
      <w:sz w:val="24"/>
      <w:szCs w:val="24"/>
    </w:rPr>
  </w:style>
  <w:style w:type="paragraph" w:styleId="Fuzeile">
    <w:name w:val="footer"/>
    <w:basedOn w:val="Standard"/>
    <w:link w:val="FuzeileZchn"/>
    <w:uiPriority w:val="99"/>
    <w:unhideWhenUsed/>
    <w:rsid w:val="004C3B8F"/>
    <w:pPr>
      <w:tabs>
        <w:tab w:val="center" w:pos="4536"/>
        <w:tab w:val="right" w:pos="9072"/>
      </w:tabs>
    </w:pPr>
  </w:style>
  <w:style w:type="character" w:customStyle="1" w:styleId="FuzeileZchn">
    <w:name w:val="Fußzeile Zchn"/>
    <w:link w:val="Fuzeile"/>
    <w:uiPriority w:val="99"/>
    <w:rsid w:val="004C3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MAV-Verlag</Company>
  <LinksUpToDate>false</LinksUpToDate>
  <CharactersWithSpaces>3107</CharactersWithSpaces>
  <SharedDoc>false</SharedDoc>
  <HLinks>
    <vt:vector size="6" baseType="variant">
      <vt:variant>
        <vt:i4>7471147</vt:i4>
      </vt:variant>
      <vt:variant>
        <vt:i4>0</vt:i4>
      </vt:variant>
      <vt:variant>
        <vt:i4>0</vt:i4>
      </vt:variant>
      <vt:variant>
        <vt:i4>5</vt:i4>
      </vt:variant>
      <vt:variant>
        <vt:lpwstr>http://www.tuningpresse.de/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Peter Hintze</cp:lastModifiedBy>
  <cp:revision>3</cp:revision>
  <dcterms:created xsi:type="dcterms:W3CDTF">2021-09-30T07:00:00Z</dcterms:created>
  <dcterms:modified xsi:type="dcterms:W3CDTF">2021-09-30T07:11:00Z</dcterms:modified>
</cp:coreProperties>
</file>