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DF" w:rsidRPr="00DC4D44" w:rsidRDefault="00DC4D44">
      <w:pPr>
        <w:spacing w:before="0" w:line="240" w:lineRule="auto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 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rPr>
          <w:rFonts w:ascii="Arial" w:eastAsia="Arial" w:hAnsi="Arial" w:cs="Arial"/>
          <w:b/>
          <w:shd w:val="clear" w:color="auto" w:fill="FFFFFF"/>
        </w:rPr>
      </w:pPr>
      <w:r w:rsidRPr="00DC4D44">
        <w:rPr>
          <w:rFonts w:ascii="Arial" w:hAnsi="Arial" w:cs="Arial"/>
          <w:b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Universitä</w:t>
      </w:r>
      <w:r w:rsidRPr="00DC4D44">
        <w:rPr>
          <w:rFonts w:ascii="Arial" w:hAnsi="Arial" w:cs="Arial"/>
          <w:b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 Koblenz und Jugendzentrum </w:t>
      </w:r>
      <w:proofErr w:type="spellStart"/>
      <w:r w:rsidRPr="00DC4D44">
        <w:rPr>
          <w:rFonts w:ascii="Arial" w:hAnsi="Arial" w:cs="Arial"/>
          <w:b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HoT</w:t>
      </w:r>
      <w:proofErr w:type="spellEnd"/>
      <w:r w:rsidRPr="00DC4D44">
        <w:rPr>
          <w:rFonts w:ascii="Arial" w:hAnsi="Arial" w:cs="Arial"/>
          <w:b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starten das </w:t>
      </w:r>
      <w:r w:rsidRPr="00DC4D44">
        <w:rPr>
          <w:rFonts w:ascii="Arial" w:hAnsi="Arial" w:cs="Arial"/>
          <w:b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„</w:t>
      </w:r>
      <w:proofErr w:type="spellStart"/>
      <w:r w:rsidRPr="00DC4D44">
        <w:rPr>
          <w:rFonts w:ascii="Arial" w:hAnsi="Arial" w:cs="Arial"/>
          <w:b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PowerGame</w:t>
      </w:r>
      <w:proofErr w:type="spellEnd"/>
      <w:r w:rsidRPr="00DC4D44">
        <w:rPr>
          <w:rFonts w:ascii="Arial" w:hAnsi="Arial" w:cs="Arial"/>
          <w:b/>
          <w:shd w:val="clear" w:color="auto" w:fill="FFFFFF"/>
          <w:rtl/>
          <w:lang w:val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 w:rsidRPr="00DC4D44">
        <w:rPr>
          <w:rFonts w:ascii="Arial" w:hAnsi="Arial" w:cs="Arial"/>
          <w:b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-Projekt</w:t>
      </w:r>
      <w:r w:rsidRPr="00DC4D44">
        <w:rPr>
          <w:rFonts w:ascii="Arial" w:hAnsi="Arial" w:cs="Arial"/>
          <w:b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Die erfolgreiche Integration </w:t>
      </w:r>
      <w:proofErr w:type="gram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von Migrant</w:t>
      </w:r>
      <w:proofErr w:type="gram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*innen stellt eine zentrale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gesellschaftliche Aufgabe dar. Die Universit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 Koblenz geht hier einen innovativen Weg und hat in Kooperation mit dem Jugendzentrum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„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Haus der Offenen 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“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(HOT) das Projekt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„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PowerGame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“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ins Leben gerufen. Ziel dieses Projekts ist das Empowerment von M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dchen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mit Migrationsgeschichte durch die Auseinandersetzung mit Brettspielen. Beim Spielen erfolgt die F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rderung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der kognitiven, sprachlichen und sozialen Kompetenzen von M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dchen mit Migrationsgeschichte. Das Projekt ist Teil der DATI-Sprint-Ausschreibung und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wird vom Bundesministerium f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 Bildung und Forschung (BMBF) unterst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tzt. Die F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rdersumme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betr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gt 230.000 Euro.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Das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„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PowerGame</w:t>
      </w:r>
      <w:proofErr w:type="spellEnd"/>
      <w:r w:rsidRPr="00DC4D44">
        <w:rPr>
          <w:rFonts w:ascii="Arial" w:hAnsi="Arial" w:cs="Arial"/>
          <w:shd w:val="clear" w:color="auto" w:fill="FFFFFF"/>
          <w:rtl/>
          <w:lang w:val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-Projekt bietet einen interdisziplin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ren Ansatz,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der sich auf die Etablierung von Chancengleichheit unter Ber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cksichtigung kultureller Diversit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 konzentriert. Unter der Leitung von Prof. Dr. Wiebke 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Waburg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und Prof. Dr. Claudia 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Quaiser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-Pohl vom Fachbereich Bildungswissenschaften</w:t>
      </w:r>
      <w:r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der Universität Koblenz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in Zusammenarbeit mit de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 offenen Kinder- und Jugendarbeit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wird den Teilnehmerinnen eine einzigartige M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glichkeit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geboten, sich auszuprobieren und Game Guides zu werden. Dabei spielen Brett- und Gesellschaftsspiele aus ihren Herkunftsl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ndern sowie aktuell erschienene Spiele eine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zentrale Rolle. Diese Herangehensweise f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rdert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nicht nur kognitive und sprachliche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lastRenderedPageBreak/>
        <w:t>F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higkeiten, sondern auch interkulturelle Kompetenzen und soziale Fertigkeiten.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rPr>
          <w:rFonts w:ascii="Arial" w:eastAsia="Arial" w:hAnsi="Arial" w:cs="Arial"/>
          <w:b/>
          <w:bCs/>
          <w:shd w:val="clear" w:color="auto" w:fill="FFFFFF"/>
        </w:rPr>
      </w:pPr>
      <w:r w:rsidRPr="00DC4D44">
        <w:rPr>
          <w:rFonts w:ascii="Arial" w:hAnsi="Arial" w:cs="Arial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Wissenschaftlicher Transfer: Br</w:t>
      </w:r>
      <w:r w:rsidRPr="00DC4D44">
        <w:rPr>
          <w:rFonts w:ascii="Arial" w:hAnsi="Arial" w:cs="Arial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cke zwischen Forschung und Praxis</w:t>
      </w:r>
      <w:r w:rsidRPr="00DC4D44">
        <w:rPr>
          <w:rFonts w:ascii="Arial" w:hAnsi="Arial" w:cs="Arial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„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PowerGame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“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stellt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nicht nur ein Bildungsprojekt dar, sondern ist zugleich ein bedeutendes Transferprojekt des Fachbereichs Bildungswissenschaften der Universit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 Koblenz. Es 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verk</w:t>
      </w:r>
      <w:proofErr w:type="spellEnd"/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rpert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die Verkn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pfung von wissenschaftlicher Forschung und praktischer Umsetzung. Der Fachberei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ch bringt seine Expertise in der Migrations- und Bildungsforschung ein und arbeitet dabei eng mit dem Jugendzentrum 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HoT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zusammen, um das theoretische Wissen direkt in die Praxis zu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berf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hren. Diese enge Kooperation 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erm</w:t>
      </w:r>
      <w:proofErr w:type="spellEnd"/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glicht es, wissenschaftlich fundiert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 Methoden zur St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rkung von Kompetenzen und zur sozialen Integration von M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dchen anzuwenden und gleichzeitig wertvolle Erkenntnisse f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 die Forschung im Bereich der heterogenit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tssensiblen Bildung zu gewinnen. Die begleitende wissenschaftliche Evaluation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wird wichtige Erkenntnisse zur Wirksamkeit von Spieleprojekten in Bildungsprozessen liefern, die in weitere empirische Forschungen m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nden. "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PowerGame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reiht sich damit hervorragend in die Transferstrategie der Universit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 Koblenz ein, die das Ziel verfolgt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wissenschaftliche Erkenntnisse in gesellschaftlich relevante Handlungsfelder zu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berf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hren und praktische L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sungen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f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 aktuelle gesellschaftliche Herausforderungen zu erarbeiten.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Das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„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PowerGame</w:t>
      </w:r>
      <w:proofErr w:type="spellEnd"/>
      <w:r w:rsidRPr="00DC4D44">
        <w:rPr>
          <w:rFonts w:ascii="Arial" w:hAnsi="Arial" w:cs="Arial"/>
          <w:shd w:val="clear" w:color="auto" w:fill="FFFFFF"/>
          <w:rtl/>
          <w:lang w:val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-Projekt leistet einen bedeutenden Beitrag zur sozialen Integration und zur F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rderung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von Bildungsgerechtigkeit. Es st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rkt nicht nur die F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higkeiten der beteiligten M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dchen, sondern auch ihre Selbstwahrnehmung als aktive Gestalterinnen ihrer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Zukunft. Besonders hervorzuheben ist, dass die M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dchen durch das Projekt in einem gesch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tzten Raum agieren k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nnen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, frei von gesellschaftlichen Rollenzuschreibungen, und somit die Chance bekommen, ihre F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higkeiten und ihr Selbstbewusstsein zu entwickeln. Di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es tr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gt nachhaltig zur Chancengleichheit bei und unterst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tzt den Abbau von Diskriminierungen im Bildungsbereich.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lastRenderedPageBreak/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Dar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ber hinaus bietet das Projekt au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ß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erschulischen Jugendeinrichtungen wie dem Jugendzentrum 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HoT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die M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glichkeit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ihre Bildungsangebote zu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erweitern und durch die Zusammenarbeit mit der Universit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 wissenschaftlich gest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tzte Ans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tze in der p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dagogischen Arbeit zu integrieren. Auf diese Weise entsteht ein wertvoller Austausch zwischen Wissenschaft und Praxis, der beiden Seiten zugutekommt.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rPr>
          <w:rFonts w:ascii="Arial" w:eastAsia="Arial" w:hAnsi="Arial" w:cs="Arial"/>
          <w:b/>
          <w:bCs/>
          <w:shd w:val="clear" w:color="auto" w:fill="FFFFFF"/>
        </w:rPr>
      </w:pPr>
      <w:r w:rsidRPr="00DC4D44">
        <w:rPr>
          <w:rFonts w:ascii="Arial" w:hAnsi="Arial" w:cs="Arial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Spielerische Bildungsstrategien und Empowerment</w:t>
      </w:r>
      <w:r w:rsidRPr="00DC4D44">
        <w:rPr>
          <w:rFonts w:ascii="Arial" w:hAnsi="Arial" w:cs="Arial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Im Anschluss an die zweimonatige Startphase, in der das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Team </w:t>
      </w:r>
      <w:r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der Universität Koblenz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die wissenschaftlichen Grundlagen aufbereitet, steigt das 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HoT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-Team im Dezember in die Projektarbeit ein. Ab Januar 2025 werden vier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Spielangebote eingerichtet, die regelm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äß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ig im 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HoT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und drei weiteren Partnereinrichtungen stattfinden sollen. Besondere H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hepunkte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werden die f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 Sommer- und Herbstferien geplanten Projekttage sein. An diesen k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nnen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die M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dchen ihre Spielkompetenzen in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Turnieren unter Beweis stellen. Au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ß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erdem wird es Workshops mit bekannten Akteurinnen aus der Brettspielcommunity geben.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Default="00DC4D44">
      <w:pPr>
        <w:spacing w:before="0" w:line="240" w:lineRule="auto"/>
        <w:jc w:val="both"/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„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PowerGame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“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f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rdert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nicht nur die individuelle Entwicklung der M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dchen, sondern tr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gt auch dazu bei, Netzwerke zu schaffen und soziale Strukturen zu st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rken. Durch die gezielte und dennoch spielerische F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rderung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werden wichtige Grundlagen f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eine durch 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Pluralit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proofErr w:type="spellEnd"/>
      <w:r w:rsidRPr="00DC4D44">
        <w:rPr>
          <w:rFonts w:ascii="Arial" w:hAnsi="Arial" w:cs="Arial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t gepr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gte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inklusive Gesellschaft gelegt. Langfristig er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ffnet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das Projekt 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neue Perspektiven f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 M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dchen mit Migrationsgeschichte und bietet ihnen die M</w:t>
      </w:r>
      <w:r w:rsidRPr="00DC4D44">
        <w:rPr>
          <w:rFonts w:ascii="Arial" w:hAnsi="Arial" w:cs="Arial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ö</w:t>
      </w:r>
      <w:proofErr w:type="spellStart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glichkeit</w:t>
      </w:r>
      <w:proofErr w:type="spellEnd"/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, sich in der Gesellschaft zu verankern und aktiv zu partizipieren.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DC4D44" w:rsidRDefault="00DC4D44">
      <w:pPr>
        <w:spacing w:before="0" w:line="240" w:lineRule="auto"/>
        <w:jc w:val="both"/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:rsidR="00DC4D44" w:rsidRPr="00DC4D44" w:rsidRDefault="00DC4D44" w:rsidP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Weitere Informationen finden sich unter</w:t>
      </w: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DC4D44" w:rsidRPr="00DC4D44" w:rsidRDefault="00DC4D44" w:rsidP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https://www.uni-koblenz.de/de/bildungswissenschaften/institut-fuer-paedagogik/arbeitsbereiche-institut-fuer-paedagogik/migration-und-heterogenitaet/forschung/power-game-interdisziplinaeres-projekt-zur-staerkung-von-maedchen-mit-migrationshintergrund </w:t>
      </w:r>
    </w:p>
    <w:p w:rsidR="00DC4D44" w:rsidRPr="00DC4D44" w:rsidRDefault="00DC4D44" w:rsidP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</w:p>
    <w:p w:rsid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Fachliche Ansprechpartnerin</w:t>
      </w:r>
    </w:p>
    <w:p w:rsid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Prof. Dr. Wiebke </w:t>
      </w:r>
      <w:proofErr w:type="spellStart"/>
      <w:r>
        <w:rPr>
          <w:rFonts w:ascii="Arial" w:eastAsia="Arial" w:hAnsi="Arial" w:cs="Arial"/>
          <w:shd w:val="clear" w:color="auto" w:fill="FFFFFF"/>
        </w:rPr>
        <w:t>Waburg</w:t>
      </w:r>
      <w:proofErr w:type="spellEnd"/>
    </w:p>
    <w:p w:rsid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Universität Koblenz</w:t>
      </w:r>
    </w:p>
    <w:p w:rsid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Arbeitsbereich Pädagogik mit Schwerpunkt Migration und Heterogenität   </w:t>
      </w:r>
    </w:p>
    <w:p w:rsid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Universitätsstraße 1</w:t>
      </w:r>
    </w:p>
    <w:p w:rsid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56070 Koblenz</w:t>
      </w:r>
    </w:p>
    <w:p w:rsid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</w:p>
    <w:p w:rsid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Tel.: 0261 287 1856</w:t>
      </w:r>
    </w:p>
    <w:p w:rsidR="00DC4D44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E-Mail: </w:t>
      </w:r>
      <w:r w:rsidRPr="00DC4D44">
        <w:rPr>
          <w:rFonts w:ascii="Arial" w:eastAsia="Arial" w:hAnsi="Arial" w:cs="Arial"/>
          <w:shd w:val="clear" w:color="auto" w:fill="FFFFFF"/>
        </w:rPr>
        <w:t>waburg@uni-koblenz.de</w:t>
      </w:r>
    </w:p>
    <w:p w:rsidR="004342DF" w:rsidRPr="00DC4D44" w:rsidRDefault="00DC4D44">
      <w:pPr>
        <w:spacing w:before="0" w:line="240" w:lineRule="auto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:rsidR="004342DF" w:rsidRPr="00DC4D44" w:rsidRDefault="00DC4D44">
      <w:pPr>
        <w:spacing w:before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C4D44">
        <w:rPr>
          <w:rFonts w:ascii="Arial" w:hAnsi="Arial" w:cs="Arial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bookmarkStart w:id="0" w:name="_GoBack"/>
      <w:bookmarkEnd w:id="0"/>
    </w:p>
    <w:sectPr w:rsidR="004342DF" w:rsidRPr="00DC4D4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4D44">
      <w:pPr>
        <w:spacing w:before="0" w:line="240" w:lineRule="auto"/>
      </w:pPr>
      <w:r>
        <w:separator/>
      </w:r>
    </w:p>
  </w:endnote>
  <w:endnote w:type="continuationSeparator" w:id="0">
    <w:p w:rsidR="00000000" w:rsidRDefault="00DC4D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2DF" w:rsidRDefault="004342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4D44">
      <w:pPr>
        <w:spacing w:before="0" w:line="240" w:lineRule="auto"/>
      </w:pPr>
      <w:r>
        <w:separator/>
      </w:r>
    </w:p>
  </w:footnote>
  <w:footnote w:type="continuationSeparator" w:id="0">
    <w:p w:rsidR="00000000" w:rsidRDefault="00DC4D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2DF" w:rsidRDefault="004342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DF"/>
    <w:rsid w:val="004342DF"/>
    <w:rsid w:val="00DC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B2E5"/>
  <w15:docId w15:val="{4FAC6E64-DB97-4861-9C55-C9F9A37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9DF7FB8A</Template>
  <TotalTime>0</TotalTime>
  <Pages>2</Pages>
  <Words>757</Words>
  <Characters>4775</Characters>
  <Application>Microsoft Office Word</Application>
  <DocSecurity>4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Birgit Förg</dc:creator>
  <cp:lastModifiedBy>Dr. Birgit Förg</cp:lastModifiedBy>
  <cp:revision>2</cp:revision>
  <dcterms:created xsi:type="dcterms:W3CDTF">2024-12-02T11:58:00Z</dcterms:created>
  <dcterms:modified xsi:type="dcterms:W3CDTF">2024-12-02T11:58:00Z</dcterms:modified>
</cp:coreProperties>
</file>