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BA4D47" w14:paraId="707C356D" w14:textId="77777777" w:rsidTr="00040684">
        <w:trPr>
          <w:trHeight w:val="227"/>
        </w:trPr>
        <w:tc>
          <w:tcPr>
            <w:tcW w:w="5000" w:type="pct"/>
            <w:gridSpan w:val="2"/>
          </w:tcPr>
          <w:p w14:paraId="198A7A22" w14:textId="65B41A22" w:rsidR="0031158E" w:rsidRPr="007711FD" w:rsidRDefault="00CA4CC1" w:rsidP="00A95E94">
            <w:pPr>
              <w:pStyle w:val="Titel"/>
              <w:framePr w:hSpace="0" w:wrap="auto" w:yAlign="inline"/>
              <w:suppressOverlap w:val="0"/>
              <w:rPr>
                <w:highlight w:val="yellow"/>
                <w:lang w:val="de-DE"/>
              </w:rPr>
            </w:pPr>
            <w:r w:rsidRPr="00CA4CC1">
              <w:rPr>
                <w:lang w:val="de-DE"/>
              </w:rPr>
              <w:t xml:space="preserve">Innovationen im Bereich automatischer Schiebetüren von dormakaba: neue Schiebetürgeneration ST PRO Green mit neuem Antrieb ES PROLINE </w:t>
            </w:r>
            <w:r w:rsidR="00A95E94" w:rsidRPr="00A95E94">
              <w:rPr>
                <w:lang w:val="de-DE"/>
              </w:rPr>
              <w:t xml:space="preserve"> </w:t>
            </w:r>
          </w:p>
        </w:tc>
      </w:tr>
      <w:tr w:rsidR="0031158E" w:rsidRPr="00BA4D47"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1965BB51" w:rsidR="00593430" w:rsidRPr="00593430" w:rsidRDefault="00593430" w:rsidP="00593430">
      <w:pPr>
        <w:rPr>
          <w:lang w:val="de-DE"/>
        </w:rPr>
      </w:pPr>
      <w:r w:rsidRPr="00A95E94">
        <w:rPr>
          <w:lang w:val="de-DE"/>
        </w:rPr>
        <w:t xml:space="preserve">Ennepetal, </w:t>
      </w:r>
      <w:r w:rsidR="00E77EC8">
        <w:rPr>
          <w:lang w:val="de-DE"/>
        </w:rPr>
        <w:t>03</w:t>
      </w:r>
      <w:r w:rsidRPr="00A95E94">
        <w:rPr>
          <w:lang w:val="de-DE"/>
        </w:rPr>
        <w:t xml:space="preserve">. </w:t>
      </w:r>
      <w:r w:rsidR="00E77EC8">
        <w:rPr>
          <w:lang w:val="de-DE"/>
        </w:rPr>
        <w:t>Dez</w:t>
      </w:r>
      <w:r w:rsidR="00F6656B">
        <w:rPr>
          <w:lang w:val="de-DE"/>
        </w:rPr>
        <w:t>ember</w:t>
      </w:r>
      <w:r w:rsidRPr="00A95E94">
        <w:rPr>
          <w:lang w:val="de-DE"/>
        </w:rPr>
        <w:t xml:space="preserve"> 2020</w:t>
      </w:r>
      <w:r w:rsidRPr="00593430">
        <w:rPr>
          <w:lang w:val="de-DE"/>
        </w:rPr>
        <w:t xml:space="preserve"> – </w:t>
      </w:r>
      <w:r w:rsidR="00E77EC8" w:rsidRPr="00E77EC8">
        <w:rPr>
          <w:lang w:val="de-DE"/>
        </w:rPr>
        <w:t>Langjährige Erfahrung im Bereich der automatischen Schiebetüren sowie die stetige Weiterentwicklung und Verbesserung von technischen Lösungen zeichnen dormakaba aus. Diese Innovationskraft zeigt sich auch in der neuen Schiebetürgeneration ST PRO Green mit dem neuen Antriebssystem ES PROLINE</w:t>
      </w:r>
      <w:r w:rsidR="00E57EF8" w:rsidRPr="00E57EF8">
        <w:rPr>
          <w:lang w:val="de-DE"/>
        </w:rPr>
        <w:t xml:space="preserve">. </w:t>
      </w:r>
    </w:p>
    <w:p w14:paraId="7A71EEA6" w14:textId="77777777" w:rsidR="00593430" w:rsidRPr="00593430" w:rsidRDefault="00593430" w:rsidP="00593430">
      <w:pPr>
        <w:rPr>
          <w:lang w:val="de-DE"/>
        </w:rPr>
      </w:pPr>
    </w:p>
    <w:p w14:paraId="7FDD3E3A" w14:textId="4DCEB091" w:rsidR="00593430" w:rsidRPr="00593430" w:rsidRDefault="0001359C" w:rsidP="00593430">
      <w:pPr>
        <w:rPr>
          <w:lang w:val="de-DE"/>
        </w:rPr>
      </w:pPr>
      <w:r w:rsidRPr="0001359C">
        <w:rPr>
          <w:lang w:val="de-DE"/>
        </w:rPr>
        <w:t>Dieser Antrieb eignet sich für nahezu alle Anwendungsgebiete und Einsatzbereiche und vereint neueste Technologie, Energieeffizienz und Nachhaltigkeit. Der modulare Aufbau des Systems ermöglicht den Einsatz bei klassischen Schiebetüren, Schiebetüren mit Fluchtwegfunktion und auch bei Teleskopschiebetüren. Durch die eingesetzte, bürstenlose Motorentechnik neuester Generation arbeitet der Antrieb sehr leise, ist dabei überaus schnell und bewegt Türen mit einem Flügelgewicht von bis zu 2</w:t>
      </w:r>
      <w:r w:rsidR="00BA4D47">
        <w:rPr>
          <w:lang w:val="de-DE"/>
        </w:rPr>
        <w:t>x 200</w:t>
      </w:r>
      <w:r w:rsidRPr="0001359C">
        <w:rPr>
          <w:lang w:val="de-DE"/>
        </w:rPr>
        <w:t xml:space="preserve"> kg. Die eingesetzten Elektronikbauteile entsprechen dem neuesten Stand der Technik und verbrauchen wesentlich weniger Energie als die des Vorgängermodells. Durch die in die Verkleidung integrierte Sensorik muss auf der Innenseite der Tür kein störender Melder angebracht werden. So fügt sich die Türlösung harmonisch in die Gebäudearchitektur ein.</w:t>
      </w:r>
      <w:r w:rsidR="00E57EF8" w:rsidRPr="00E57EF8">
        <w:rPr>
          <w:lang w:val="de-DE"/>
        </w:rPr>
        <w:t xml:space="preserve"> </w:t>
      </w:r>
    </w:p>
    <w:p w14:paraId="65A934DF" w14:textId="77777777" w:rsidR="00593430" w:rsidRPr="00593430" w:rsidRDefault="00593430" w:rsidP="00593430">
      <w:pPr>
        <w:rPr>
          <w:lang w:val="de-DE"/>
        </w:rPr>
      </w:pPr>
    </w:p>
    <w:p w14:paraId="1B9D7349" w14:textId="5427B270" w:rsidR="00D03487" w:rsidRDefault="00F277AA" w:rsidP="00D03487">
      <w:pPr>
        <w:rPr>
          <w:lang w:val="de-DE"/>
        </w:rPr>
      </w:pPr>
      <w:r w:rsidRPr="00F277AA">
        <w:rPr>
          <w:lang w:val="de-DE"/>
        </w:rPr>
        <w:t xml:space="preserve">Für dormakaba ist Nachhaltigkeit einer der zentralen Erfolgsfaktoren und wurde deshalb als Grundpfeiler der Unternehmensstrategie verankert. Daher steht sowohl bei der Produktion als auch bei der Nutzung der Produkte die Nachhaltigkeit im Fokus. Beim neuen Schiebetürsystem ST PRO Green wurde bereits bei der Auswahl der eingesetzten Materialien und im gesamten Produktionsprozess auf Energieeffizienz und Ressourcenschonung geachtet. Das System leistet durch diese Eigenschaften schon vor dem Einbau einen Beitrag zur Nachhaltigkeit von Gebäuden. So lässt sich die mit thermisch getrennten Profilen erstellte Schiebetür mit 3-fach Verglasung umsetzen und erreicht somit einen sehr niedrigen UD-Wert (Wärmedurchgangskoeffizient). </w:t>
      </w:r>
      <w:r w:rsidR="00A95E94" w:rsidRPr="00A95E94">
        <w:rPr>
          <w:lang w:val="de-DE"/>
        </w:rPr>
        <w:t xml:space="preserve"> </w:t>
      </w:r>
    </w:p>
    <w:p w14:paraId="30647495" w14:textId="77777777" w:rsidR="00D03487" w:rsidRDefault="00D03487" w:rsidP="00593430">
      <w:pPr>
        <w:rPr>
          <w:lang w:val="de-DE"/>
        </w:rPr>
      </w:pPr>
    </w:p>
    <w:p w14:paraId="275E4E51" w14:textId="4EFE1765" w:rsidR="00593430" w:rsidRDefault="00F277AA" w:rsidP="00593430">
      <w:pPr>
        <w:rPr>
          <w:lang w:val="de-DE"/>
        </w:rPr>
      </w:pPr>
      <w:r w:rsidRPr="00F277AA">
        <w:rPr>
          <w:lang w:val="de-DE"/>
        </w:rPr>
        <w:t>Das System ist geeignet für ein- und zweiflügelige Anlagen mit und ohne Fluchtwegfunktion.</w:t>
      </w:r>
      <w:r>
        <w:rPr>
          <w:lang w:val="de-DE"/>
        </w:rPr>
        <w:t xml:space="preserve"> D</w:t>
      </w:r>
      <w:r w:rsidRPr="00F277AA">
        <w:rPr>
          <w:lang w:val="de-DE"/>
        </w:rPr>
        <w:t xml:space="preserve">urchgangsweiten bis zu 3.000 mm sind realisierbar. Ausgestattet mit dem Antriebssystem ES PROLINE zeichnet sich die Schiebetür durch Kraft, Größe, Zuverlässigkeit, Nachhaltigkeit und Effizienz aus. Es können insgesamt bis zu 400 kg Türflügelgewicht bewegt werden. Dank der langen Lebensdauer (1,5 Mio. Zyklen) trägt auch der Antrieb zur Nachhaltigkeit der Tür bei. Die ST PRO Green Schiebetür ist in zwei Ausführungen </w:t>
      </w:r>
      <w:r w:rsidRPr="00F277AA">
        <w:rPr>
          <w:lang w:val="de-DE"/>
        </w:rPr>
        <w:lastRenderedPageBreak/>
        <w:t xml:space="preserve">erhältlich, ohne Einbruchschutz als ST PRO Green und mit Einbruchschutz der Klasse RC2 als ST PRO Green RC2. </w:t>
      </w:r>
      <w:r w:rsidR="00D03487" w:rsidRPr="00D03487">
        <w:rPr>
          <w:lang w:val="de-DE"/>
        </w:rPr>
        <w:t xml:space="preserve">  </w:t>
      </w:r>
    </w:p>
    <w:p w14:paraId="04D4542A" w14:textId="77777777" w:rsidR="0051664C" w:rsidRPr="00593430" w:rsidRDefault="0051664C" w:rsidP="00593430">
      <w:pPr>
        <w:rPr>
          <w:lang w:val="de-DE"/>
        </w:rPr>
      </w:pPr>
    </w:p>
    <w:p w14:paraId="67EF4434" w14:textId="77777777" w:rsidR="00593430" w:rsidRPr="00593430" w:rsidRDefault="00593430" w:rsidP="00593430">
      <w:pPr>
        <w:rPr>
          <w:lang w:val="de-DE"/>
        </w:rPr>
      </w:pPr>
    </w:p>
    <w:p w14:paraId="60C42406" w14:textId="4F49153A" w:rsidR="00593430" w:rsidRPr="00A95E94" w:rsidRDefault="00A95E94" w:rsidP="00593430">
      <w:pPr>
        <w:rPr>
          <w:u w:val="single"/>
          <w:lang w:val="de-DE"/>
        </w:rPr>
      </w:pPr>
      <w:r w:rsidRPr="00A95E94">
        <w:rPr>
          <w:u w:val="single"/>
          <w:lang w:val="de-DE"/>
        </w:rPr>
        <w:t xml:space="preserve">Bildunterschrift </w:t>
      </w:r>
    </w:p>
    <w:p w14:paraId="21BE2BD9" w14:textId="2BD4F4EB" w:rsidR="00593430" w:rsidRDefault="00F277AA" w:rsidP="00593430">
      <w:pPr>
        <w:rPr>
          <w:lang w:val="de-DE"/>
        </w:rPr>
      </w:pPr>
      <w:r>
        <w:rPr>
          <w:lang w:val="de-DE"/>
        </w:rPr>
        <w:t xml:space="preserve">Neues Antriebssystem ES PROLINE </w:t>
      </w:r>
      <w:r w:rsidR="00474665">
        <w:rPr>
          <w:lang w:val="de-DE"/>
        </w:rPr>
        <w:t>von dormakaba</w:t>
      </w:r>
      <w:r>
        <w:rPr>
          <w:lang w:val="de-DE"/>
        </w:rPr>
        <w:t xml:space="preserve"> für automatische Schiebetüren</w:t>
      </w:r>
    </w:p>
    <w:p w14:paraId="12774212" w14:textId="77777777" w:rsidR="00474665" w:rsidRDefault="00474665"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77777777" w:rsidR="00F6656B" w:rsidRPr="002E3238" w:rsidRDefault="00F6656B" w:rsidP="00566625">
      <w:pPr>
        <w:rPr>
          <w:lang w:val="de-DE"/>
        </w:rPr>
      </w:pPr>
    </w:p>
    <w:p w14:paraId="07AECAEB" w14:textId="77777777"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1B0F48B6" w14:textId="3DD6063F" w:rsidR="0075272C" w:rsidRDefault="004508CE" w:rsidP="0075272C">
      <w:pPr>
        <w:rPr>
          <w:lang w:val="de-DE"/>
        </w:rPr>
      </w:pPr>
      <w:r w:rsidRPr="004508CE">
        <w:rPr>
          <w:lang w:val="de-DE"/>
        </w:rPr>
        <w:t>Wir sind eines der Top 3 Unternehmen in unserer Branche und weltweit führend bei intelligenten und sicheren Zugangslösungen. Wir bieten alles, was Sie für den sicheren Zugang zu Gebäuden und Räumen benötigen, alles aus einer Hand</w:t>
      </w:r>
      <w:r>
        <w:rPr>
          <w:lang w:val="de-DE"/>
        </w:rPr>
        <w:t xml:space="preserve">. </w:t>
      </w:r>
      <w:r w:rsidR="00245C85">
        <w:rPr>
          <w:lang w:val="de-DE"/>
        </w:rPr>
        <w:t>Z</w:t>
      </w:r>
      <w:r w:rsidR="0075272C" w:rsidRPr="0075272C">
        <w:rPr>
          <w:lang w:val="de-DE"/>
        </w:rPr>
        <w:t xml:space="preserve">usammen mit zahlreichen Kooperationspartnern </w:t>
      </w:r>
      <w:r w:rsidR="00245C85">
        <w:rPr>
          <w:lang w:val="de-DE"/>
        </w:rPr>
        <w:t xml:space="preserve">sind wir </w:t>
      </w:r>
      <w:r w:rsidR="0075272C" w:rsidRPr="0075272C">
        <w:rPr>
          <w:lang w:val="de-DE"/>
        </w:rPr>
        <w:t>in über 130 Ländern weltweit vertreten.</w:t>
      </w:r>
    </w:p>
    <w:p w14:paraId="34652B09" w14:textId="15129866"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w:t>
      </w:r>
      <w:r w:rsidR="007F34A6">
        <w:rPr>
          <w:lang w:val="de-DE"/>
        </w:rPr>
        <w:t>5</w:t>
      </w:r>
      <w:r w:rsidRPr="0075272C">
        <w:rPr>
          <w:lang w:val="de-DE"/>
        </w:rPr>
        <w:t xml:space="preserve">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3525CAD" w14:textId="0458F6D9"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 enthält bestimmte, in die Zukunft gerichtete Aussagen,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w:t>
      </w:r>
      <w:r w:rsidRPr="00FE31BA">
        <w:rPr>
          <w:rFonts w:ascii="Arial" w:hAnsi="Arial" w:cs="Arial"/>
          <w:sz w:val="15"/>
          <w:szCs w:val="15"/>
          <w:lang w:val="de-DE"/>
        </w:rPr>
        <w:lastRenderedPageBreak/>
        <w:t xml:space="preserve">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dormakaba®,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F5BA" w14:textId="77777777" w:rsidR="00013C78" w:rsidRDefault="00013C78" w:rsidP="00E207FD">
      <w:pPr>
        <w:spacing w:line="240" w:lineRule="auto"/>
      </w:pPr>
      <w:r>
        <w:separator/>
      </w:r>
    </w:p>
  </w:endnote>
  <w:endnote w:type="continuationSeparator" w:id="0">
    <w:p w14:paraId="6AD5B21C" w14:textId="77777777" w:rsidR="00013C78" w:rsidRDefault="00013C7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ABA6" w14:textId="77777777" w:rsidR="00013C78" w:rsidRDefault="00013C78" w:rsidP="00E207FD">
      <w:pPr>
        <w:spacing w:line="240" w:lineRule="auto"/>
      </w:pPr>
      <w:r>
        <w:separator/>
      </w:r>
    </w:p>
  </w:footnote>
  <w:footnote w:type="continuationSeparator" w:id="0">
    <w:p w14:paraId="09A43DAB" w14:textId="77777777" w:rsidR="00013C78" w:rsidRDefault="00013C7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6477" w14:textId="77777777" w:rsidR="008273E1" w:rsidRPr="008273E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273E1" w14:paraId="0E119CC3" w14:textId="77777777" w:rsidTr="00FB5C11">
      <w:tc>
        <w:tcPr>
          <w:tcW w:w="3544" w:type="dxa"/>
        </w:tcPr>
        <w:p w14:paraId="6A02808F" w14:textId="7EE320D4" w:rsidR="008273E1" w:rsidRDefault="008273E1">
          <w:pPr>
            <w:pStyle w:val="Kopfzeile"/>
          </w:pPr>
        </w:p>
      </w:tc>
      <w:tc>
        <w:tcPr>
          <w:tcW w:w="1276" w:type="dxa"/>
        </w:tcPr>
        <w:p w14:paraId="7D0AE335" w14:textId="77777777" w:rsidR="008273E1" w:rsidRDefault="008273E1" w:rsidP="00773DE1">
          <w:pPr>
            <w:pStyle w:val="Kopfzeile"/>
            <w:jc w:val="right"/>
          </w:pPr>
        </w:p>
      </w:tc>
      <w:tc>
        <w:tcPr>
          <w:tcW w:w="1171" w:type="dxa"/>
        </w:tcPr>
        <w:p w14:paraId="25BB72B9" w14:textId="77777777" w:rsidR="008273E1" w:rsidRDefault="008273E1" w:rsidP="00773DE1">
          <w:pPr>
            <w:pStyle w:val="Kopfzeile"/>
            <w:jc w:val="right"/>
          </w:pPr>
        </w:p>
      </w:tc>
      <w:sdt>
        <w:sdtPr>
          <w:alias w:val="Logo"/>
          <w:tag w:val="Logo"/>
          <w:id w:val="-1552146146"/>
          <w:lock w:val="sdtLocked"/>
          <w:docPartList>
            <w:docPartGallery w:val="Custom AutoText"/>
            <w:docPartCategory w:val="Logo"/>
          </w:docPartList>
        </w:sdtPr>
        <w:sdtEndPr/>
        <w:sdtContent>
          <w:tc>
            <w:tcPr>
              <w:tcW w:w="3302" w:type="dxa"/>
            </w:tcPr>
            <w:p w14:paraId="232CF076" w14:textId="77777777" w:rsidR="008273E1" w:rsidRDefault="008273E1" w:rsidP="00C05C5B">
              <w:pPr>
                <w:pStyle w:val="Kopfzeile"/>
                <w:jc w:val="right"/>
              </w:pPr>
              <w:r>
                <w:rPr>
                  <w:noProof/>
                  <w:lang w:val="de-DE" w:eastAsia="de-DE"/>
                </w:rPr>
                <w:drawing>
                  <wp:inline distT="0" distB="0" distL="0" distR="0" wp14:anchorId="228EEAC6" wp14:editId="5FD1638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21F12162" w14:textId="77777777" w:rsidR="0051664C" w:rsidRPr="009A410B" w:rsidRDefault="0051664C" w:rsidP="0051664C">
    <w:pPr>
      <w:pStyle w:val="Headertextsmall"/>
      <w:rPr>
        <w:lang w:val="de-DE"/>
      </w:rPr>
    </w:pPr>
    <w:r>
      <w:rPr>
        <w:lang w:val="de-DE"/>
      </w:rPr>
      <w:t xml:space="preserve">Automatische Schiebetüren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67ED4164" w:rsidR="001360F2" w:rsidRPr="009A410B" w:rsidRDefault="0051664C" w:rsidP="0032694F">
    <w:pPr>
      <w:pStyle w:val="Headertextsmall"/>
      <w:rPr>
        <w:lang w:val="de-DE"/>
      </w:rPr>
    </w:pPr>
    <w:r>
      <w:rPr>
        <w:lang w:val="de-DE"/>
      </w:rPr>
      <w:t xml:space="preserve">Automatische Schiebetüren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359C"/>
    <w:rsid w:val="00013C78"/>
    <w:rsid w:val="0001605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203773"/>
    <w:rsid w:val="00213AE2"/>
    <w:rsid w:val="00213F16"/>
    <w:rsid w:val="00215538"/>
    <w:rsid w:val="00234E1C"/>
    <w:rsid w:val="00236A34"/>
    <w:rsid w:val="00245C85"/>
    <w:rsid w:val="0025653A"/>
    <w:rsid w:val="00261312"/>
    <w:rsid w:val="00265514"/>
    <w:rsid w:val="00266447"/>
    <w:rsid w:val="002856C8"/>
    <w:rsid w:val="002935CE"/>
    <w:rsid w:val="00296479"/>
    <w:rsid w:val="002A029B"/>
    <w:rsid w:val="002E2EA4"/>
    <w:rsid w:val="002E3238"/>
    <w:rsid w:val="002E6D82"/>
    <w:rsid w:val="002F617A"/>
    <w:rsid w:val="00305A55"/>
    <w:rsid w:val="0030735B"/>
    <w:rsid w:val="0031158E"/>
    <w:rsid w:val="00314716"/>
    <w:rsid w:val="0032694F"/>
    <w:rsid w:val="00334CD9"/>
    <w:rsid w:val="00335AC9"/>
    <w:rsid w:val="0034436C"/>
    <w:rsid w:val="00356B56"/>
    <w:rsid w:val="003652EE"/>
    <w:rsid w:val="003809C4"/>
    <w:rsid w:val="00383A9C"/>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B0A2F"/>
    <w:rsid w:val="004B4A9C"/>
    <w:rsid w:val="004B78AC"/>
    <w:rsid w:val="004C234A"/>
    <w:rsid w:val="004D27F4"/>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3B60"/>
    <w:rsid w:val="00584017"/>
    <w:rsid w:val="0058429A"/>
    <w:rsid w:val="00587560"/>
    <w:rsid w:val="00593430"/>
    <w:rsid w:val="005A4970"/>
    <w:rsid w:val="005A56EF"/>
    <w:rsid w:val="005B7BD1"/>
    <w:rsid w:val="005E2D19"/>
    <w:rsid w:val="005F6ADB"/>
    <w:rsid w:val="005F752A"/>
    <w:rsid w:val="006042C3"/>
    <w:rsid w:val="00605E80"/>
    <w:rsid w:val="006104DC"/>
    <w:rsid w:val="006242F3"/>
    <w:rsid w:val="00644A41"/>
    <w:rsid w:val="006505A0"/>
    <w:rsid w:val="00662323"/>
    <w:rsid w:val="00663EC1"/>
    <w:rsid w:val="0067070E"/>
    <w:rsid w:val="00677B81"/>
    <w:rsid w:val="0068214D"/>
    <w:rsid w:val="00684DD5"/>
    <w:rsid w:val="00697182"/>
    <w:rsid w:val="006B2C55"/>
    <w:rsid w:val="006C033C"/>
    <w:rsid w:val="006D0D1A"/>
    <w:rsid w:val="006D2374"/>
    <w:rsid w:val="006E5691"/>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C57C7"/>
    <w:rsid w:val="007C7CCA"/>
    <w:rsid w:val="007D2A8B"/>
    <w:rsid w:val="007D780F"/>
    <w:rsid w:val="007D78EA"/>
    <w:rsid w:val="007E5F77"/>
    <w:rsid w:val="007F34A6"/>
    <w:rsid w:val="0080305B"/>
    <w:rsid w:val="008075E9"/>
    <w:rsid w:val="00812385"/>
    <w:rsid w:val="00816733"/>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5AEF"/>
    <w:rsid w:val="008C7349"/>
    <w:rsid w:val="008E274A"/>
    <w:rsid w:val="0091163A"/>
    <w:rsid w:val="009135BE"/>
    <w:rsid w:val="0092565A"/>
    <w:rsid w:val="009267B7"/>
    <w:rsid w:val="009268CD"/>
    <w:rsid w:val="00967220"/>
    <w:rsid w:val="00982F6F"/>
    <w:rsid w:val="00983514"/>
    <w:rsid w:val="00991BD8"/>
    <w:rsid w:val="009975FC"/>
    <w:rsid w:val="009A410B"/>
    <w:rsid w:val="009B2FCF"/>
    <w:rsid w:val="009B55DB"/>
    <w:rsid w:val="009C2A33"/>
    <w:rsid w:val="009C5814"/>
    <w:rsid w:val="009D16B2"/>
    <w:rsid w:val="009D63F1"/>
    <w:rsid w:val="009E09E4"/>
    <w:rsid w:val="009E6F0A"/>
    <w:rsid w:val="00A0334F"/>
    <w:rsid w:val="00A150C2"/>
    <w:rsid w:val="00A172F2"/>
    <w:rsid w:val="00A24DDF"/>
    <w:rsid w:val="00A448DC"/>
    <w:rsid w:val="00A62E0A"/>
    <w:rsid w:val="00A822A9"/>
    <w:rsid w:val="00A86145"/>
    <w:rsid w:val="00A87DC9"/>
    <w:rsid w:val="00A90BE7"/>
    <w:rsid w:val="00A936CB"/>
    <w:rsid w:val="00A95E94"/>
    <w:rsid w:val="00AA693B"/>
    <w:rsid w:val="00AB519C"/>
    <w:rsid w:val="00AC1790"/>
    <w:rsid w:val="00AD06AD"/>
    <w:rsid w:val="00AD7084"/>
    <w:rsid w:val="00AE4869"/>
    <w:rsid w:val="00AF003C"/>
    <w:rsid w:val="00AF5DA5"/>
    <w:rsid w:val="00AF7FC8"/>
    <w:rsid w:val="00B17C38"/>
    <w:rsid w:val="00B17FE1"/>
    <w:rsid w:val="00B22911"/>
    <w:rsid w:val="00B23025"/>
    <w:rsid w:val="00BA0E4F"/>
    <w:rsid w:val="00BA4D47"/>
    <w:rsid w:val="00BB06F3"/>
    <w:rsid w:val="00BB10DA"/>
    <w:rsid w:val="00BC147F"/>
    <w:rsid w:val="00BD5FFA"/>
    <w:rsid w:val="00BF023E"/>
    <w:rsid w:val="00C05C5B"/>
    <w:rsid w:val="00C24EFB"/>
    <w:rsid w:val="00C27E23"/>
    <w:rsid w:val="00C30742"/>
    <w:rsid w:val="00C330D1"/>
    <w:rsid w:val="00C43B39"/>
    <w:rsid w:val="00C443D0"/>
    <w:rsid w:val="00C51536"/>
    <w:rsid w:val="00C53EDA"/>
    <w:rsid w:val="00C72F4D"/>
    <w:rsid w:val="00C94D88"/>
    <w:rsid w:val="00C95A95"/>
    <w:rsid w:val="00CA143F"/>
    <w:rsid w:val="00CA4CC1"/>
    <w:rsid w:val="00CB48A1"/>
    <w:rsid w:val="00CC0D10"/>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903</Words>
  <Characters>5696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2020-12-07T09:15:00Z</dcterms:created>
  <dcterms:modified xsi:type="dcterms:W3CDTF">2020-12-07T09:15:00Z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