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Arial"/>
          <w:b/>
          <w:color w:val="E00428"/>
          <w:sz w:val="40"/>
        </w:rPr>
      </w:pPr>
      <w:r>
        <w:rPr>
          <w:rFonts w:cs="Arial"/>
          <w:b/>
          <w:color w:val="E00428"/>
          <w:sz w:val="40"/>
        </w:rPr>
        <w:t>Lindner Group auf der BAU 25</w:t>
      </w:r>
      <w:r>
        <w:rPr>
          <w:rFonts w:cs="Arial"/>
          <w:b/>
          <w:color w:val="E00428"/>
          <w:sz w:val="40"/>
        </w:rPr>
        <w:br/>
      </w:r>
      <w:proofErr w:type="spellStart"/>
      <w:r>
        <w:rPr>
          <w:rFonts w:cs="Arial"/>
          <w:b/>
          <w:color w:val="E00428"/>
          <w:sz w:val="40"/>
        </w:rPr>
        <w:t>Rethinking</w:t>
      </w:r>
      <w:proofErr w:type="spellEnd"/>
      <w:r>
        <w:rPr>
          <w:rFonts w:cs="Arial"/>
          <w:b/>
          <w:color w:val="E00428"/>
          <w:sz w:val="40"/>
        </w:rPr>
        <w:t xml:space="preserve"> Products &amp; </w:t>
      </w:r>
      <w:proofErr w:type="spellStart"/>
      <w:r>
        <w:rPr>
          <w:rFonts w:cs="Arial"/>
          <w:b/>
          <w:color w:val="E00428"/>
          <w:sz w:val="40"/>
        </w:rPr>
        <w:t>Processes</w:t>
      </w:r>
      <w:proofErr w:type="spellEnd"/>
      <w:r>
        <w:rPr>
          <w:rFonts w:cs="Arial"/>
          <w:b/>
          <w:color w:val="E00428"/>
          <w:sz w:val="40"/>
        </w:rPr>
        <w:br/>
      </w:r>
    </w:p>
    <w:p>
      <w:pPr>
        <w:rPr>
          <w:rFonts w:cs="Arial"/>
          <w:sz w:val="24"/>
        </w:rPr>
      </w:pPr>
      <w:bookmarkStart w:id="0" w:name="_GoBack"/>
      <w:proofErr w:type="spellStart"/>
      <w:r>
        <w:rPr>
          <w:rFonts w:cs="Arial"/>
          <w:sz w:val="24"/>
          <w:lang w:val="en-GB"/>
        </w:rPr>
        <w:t>Unter</w:t>
      </w:r>
      <w:proofErr w:type="spellEnd"/>
      <w:r>
        <w:rPr>
          <w:rFonts w:cs="Arial"/>
          <w:sz w:val="24"/>
          <w:lang w:val="en-GB"/>
        </w:rPr>
        <w:t xml:space="preserve"> </w:t>
      </w:r>
      <w:proofErr w:type="spellStart"/>
      <w:r>
        <w:rPr>
          <w:rFonts w:cs="Arial"/>
          <w:sz w:val="24"/>
          <w:lang w:val="en-GB"/>
        </w:rPr>
        <w:t>dem</w:t>
      </w:r>
      <w:proofErr w:type="spellEnd"/>
      <w:r>
        <w:rPr>
          <w:rFonts w:cs="Arial"/>
          <w:sz w:val="24"/>
          <w:lang w:val="en-GB"/>
        </w:rPr>
        <w:t xml:space="preserve"> Motto</w:t>
      </w:r>
      <w:r>
        <w:rPr>
          <w:rFonts w:cs="Arial"/>
          <w:b/>
          <w:sz w:val="24"/>
          <w:lang w:val="en-GB"/>
        </w:rPr>
        <w:t xml:space="preserve"> </w:t>
      </w:r>
      <w:r>
        <w:rPr>
          <w:rFonts w:cs="Arial"/>
          <w:b/>
          <w:sz w:val="24"/>
          <w:lang w:val="en-GB"/>
        </w:rPr>
        <w:t xml:space="preserve">Future of Construction: Circular. </w:t>
      </w:r>
      <w:r>
        <w:rPr>
          <w:rFonts w:cs="Arial"/>
          <w:b/>
          <w:sz w:val="24"/>
        </w:rPr>
        <w:t>Collaborative. Digital.</w:t>
      </w:r>
      <w:r>
        <w:rPr>
          <w:rFonts w:cs="Arial"/>
          <w:sz w:val="24"/>
        </w:rPr>
        <w:t xml:space="preserve"> zeigte die Lindner Group auf der BAU25 in München eine Vielzahl an nachhaltigen Produkt- und Prozessoptimierungen für den Innenausbau und die Gebäudehülle sowie digitale Lösungen für eine effizientere Baustellenabwicklung. </w:t>
      </w:r>
      <w:bookmarkEnd w:id="0"/>
      <w:r>
        <w:rPr>
          <w:rFonts w:cs="Arial"/>
          <w:sz w:val="24"/>
        </w:rPr>
        <w:br/>
      </w:r>
    </w:p>
    <w:p>
      <w:pPr>
        <w:rPr>
          <w:rFonts w:cs="Arial"/>
          <w:sz w:val="24"/>
        </w:rPr>
      </w:pPr>
      <w:r>
        <w:rPr>
          <w:rFonts w:cs="Arial"/>
          <w:sz w:val="24"/>
        </w:rPr>
        <w:t>Die guten Umwelteigenschaften der Lindner Ausbauprodukte wurden gleich mit mehreren Auszeichnungen auf der BAU bestätigt:</w:t>
      </w:r>
    </w:p>
    <w:p>
      <w:pPr>
        <w:rPr>
          <w:rFonts w:cs="Arial"/>
          <w:sz w:val="24"/>
        </w:rPr>
      </w:pPr>
    </w:p>
    <w:p>
      <w:pPr>
        <w:pStyle w:val="Listenabsatz"/>
        <w:numPr>
          <w:ilvl w:val="0"/>
          <w:numId w:val="12"/>
        </w:numPr>
        <w:rPr>
          <w:rFonts w:cs="Arial"/>
          <w:sz w:val="24"/>
        </w:rPr>
      </w:pPr>
      <w:r>
        <w:rPr>
          <w:rFonts w:cs="Arial"/>
          <w:sz w:val="24"/>
        </w:rPr>
        <w:t xml:space="preserve">Das Institut für Bauen und Umwelt (IBU e.V.) überreichte Lindner zwei EPDs (Environmental </w:t>
      </w:r>
      <w:proofErr w:type="spellStart"/>
      <w:r>
        <w:rPr>
          <w:rFonts w:cs="Arial"/>
          <w:sz w:val="24"/>
        </w:rPr>
        <w:t>Product</w:t>
      </w:r>
      <w:proofErr w:type="spellEnd"/>
      <w:r>
        <w:rPr>
          <w:rFonts w:cs="Arial"/>
          <w:sz w:val="24"/>
        </w:rPr>
        <w:t xml:space="preserve"> </w:t>
      </w:r>
      <w:proofErr w:type="spellStart"/>
      <w:r>
        <w:rPr>
          <w:rFonts w:cs="Arial"/>
          <w:sz w:val="24"/>
        </w:rPr>
        <w:t>Declaration</w:t>
      </w:r>
      <w:proofErr w:type="spellEnd"/>
      <w:r>
        <w:rPr>
          <w:rFonts w:cs="Arial"/>
          <w:sz w:val="24"/>
        </w:rPr>
        <w:t xml:space="preserve">): die erste </w:t>
      </w:r>
      <w:proofErr w:type="spellStart"/>
      <w:r>
        <w:rPr>
          <w:rFonts w:cs="Arial"/>
          <w:b/>
          <w:sz w:val="24"/>
        </w:rPr>
        <w:t>ReUse</w:t>
      </w:r>
      <w:proofErr w:type="spellEnd"/>
      <w:r>
        <w:rPr>
          <w:rFonts w:cs="Arial"/>
          <w:b/>
          <w:sz w:val="24"/>
        </w:rPr>
        <w:t xml:space="preserve"> EPD</w:t>
      </w:r>
      <w:r>
        <w:rPr>
          <w:rFonts w:cs="Arial"/>
          <w:sz w:val="24"/>
        </w:rPr>
        <w:t xml:space="preserve"> für </w:t>
      </w:r>
      <w:r>
        <w:rPr>
          <w:rFonts w:cs="Arial"/>
          <w:b/>
          <w:sz w:val="24"/>
        </w:rPr>
        <w:t>LOOP Doppelbodensysteme</w:t>
      </w:r>
      <w:r>
        <w:rPr>
          <w:rFonts w:cs="Arial"/>
          <w:sz w:val="24"/>
        </w:rPr>
        <w:t xml:space="preserve"> aus aufbereiteten Calciumsulfat sowie eine </w:t>
      </w:r>
      <w:r>
        <w:rPr>
          <w:rFonts w:cs="Arial"/>
          <w:b/>
          <w:sz w:val="24"/>
        </w:rPr>
        <w:t>EPD-</w:t>
      </w:r>
      <w:proofErr w:type="spellStart"/>
      <w:r>
        <w:rPr>
          <w:rFonts w:cs="Arial"/>
          <w:b/>
          <w:sz w:val="24"/>
        </w:rPr>
        <w:t>Reverifizierung</w:t>
      </w:r>
      <w:proofErr w:type="spellEnd"/>
      <w:r>
        <w:rPr>
          <w:rFonts w:cs="Arial"/>
          <w:b/>
          <w:sz w:val="24"/>
        </w:rPr>
        <w:t xml:space="preserve"> </w:t>
      </w:r>
      <w:r>
        <w:rPr>
          <w:rFonts w:cs="Arial"/>
          <w:sz w:val="24"/>
        </w:rPr>
        <w:t>für</w:t>
      </w:r>
      <w:r>
        <w:rPr>
          <w:rFonts w:cs="Arial"/>
          <w:b/>
          <w:sz w:val="24"/>
        </w:rPr>
        <w:t xml:space="preserve"> LIGNA </w:t>
      </w:r>
      <w:r>
        <w:rPr>
          <w:rFonts w:cs="Arial"/>
          <w:sz w:val="24"/>
        </w:rPr>
        <w:t xml:space="preserve">aus Holzwerkstoffplatten. Hierzu Ralph Peckmann, Geschäftsbereichsleiter Boden: „Die erste EPD für unsere </w:t>
      </w:r>
      <w:proofErr w:type="spellStart"/>
      <w:r>
        <w:rPr>
          <w:rFonts w:cs="Arial"/>
          <w:sz w:val="24"/>
        </w:rPr>
        <w:t>ReUse</w:t>
      </w:r>
      <w:proofErr w:type="spellEnd"/>
      <w:r>
        <w:rPr>
          <w:rFonts w:cs="Arial"/>
          <w:sz w:val="24"/>
        </w:rPr>
        <w:t>-Bodenplatte LOOP bestätigt nicht nur die faktisch guten Umwelteigenschaften unserer LOOP, sondern auch unser Engagement als Vorreiter für Kreislaufwirtschaft in der Baubranche.“</w:t>
      </w:r>
      <w:r>
        <w:rPr>
          <w:rFonts w:cs="Arial"/>
          <w:sz w:val="24"/>
        </w:rPr>
        <w:br/>
      </w:r>
    </w:p>
    <w:p>
      <w:pPr>
        <w:pStyle w:val="Listenabsatz"/>
        <w:numPr>
          <w:ilvl w:val="0"/>
          <w:numId w:val="12"/>
        </w:numPr>
        <w:rPr>
          <w:rFonts w:cs="Arial"/>
          <w:sz w:val="24"/>
        </w:rPr>
      </w:pPr>
      <w:r>
        <w:rPr>
          <w:rFonts w:cs="Arial"/>
          <w:sz w:val="24"/>
        </w:rPr>
        <w:t xml:space="preserve">Auch das Fußbodenheizungssystem </w:t>
      </w:r>
      <w:r>
        <w:rPr>
          <w:rFonts w:cs="Arial"/>
          <w:b/>
          <w:sz w:val="24"/>
        </w:rPr>
        <w:t xml:space="preserve">NORIT-TE 20 </w:t>
      </w:r>
      <w:proofErr w:type="spellStart"/>
      <w:r>
        <w:rPr>
          <w:rFonts w:cs="Arial"/>
          <w:b/>
          <w:sz w:val="24"/>
        </w:rPr>
        <w:t>Therm</w:t>
      </w:r>
      <w:proofErr w:type="spellEnd"/>
      <w:r>
        <w:rPr>
          <w:rFonts w:cs="Arial"/>
          <w:sz w:val="24"/>
        </w:rPr>
        <w:t xml:space="preserve"> aus Gipsfaser konnte sich mit dem SHI Produktpass über die Bestätigung der Tauglichkeit für schadstofffreies Bauen seitens des </w:t>
      </w:r>
      <w:proofErr w:type="spellStart"/>
      <w:r>
        <w:rPr>
          <w:rFonts w:cs="Arial"/>
          <w:sz w:val="24"/>
        </w:rPr>
        <w:t>Sentinel</w:t>
      </w:r>
      <w:proofErr w:type="spellEnd"/>
      <w:r>
        <w:rPr>
          <w:rFonts w:cs="Arial"/>
          <w:sz w:val="24"/>
        </w:rPr>
        <w:t xml:space="preserve"> Holding Instituts freuen. </w:t>
      </w:r>
      <w:r>
        <w:rPr>
          <w:rFonts w:cs="Arial"/>
          <w:sz w:val="24"/>
        </w:rPr>
        <w:br/>
      </w:r>
    </w:p>
    <w:p>
      <w:pPr>
        <w:pStyle w:val="Listenabsatz"/>
        <w:numPr>
          <w:ilvl w:val="0"/>
          <w:numId w:val="12"/>
        </w:numPr>
        <w:rPr>
          <w:rFonts w:cs="Arial"/>
          <w:sz w:val="24"/>
        </w:rPr>
      </w:pPr>
      <w:r>
        <w:rPr>
          <w:rFonts w:cs="Arial"/>
          <w:sz w:val="24"/>
        </w:rPr>
        <w:t xml:space="preserve">Besondere Wertschätzung erhielt das Glastrennwandsystem </w:t>
      </w:r>
      <w:r>
        <w:rPr>
          <w:rFonts w:cs="Arial"/>
          <w:b/>
          <w:sz w:val="24"/>
        </w:rPr>
        <w:t xml:space="preserve">Lindner Life </w:t>
      </w:r>
      <w:proofErr w:type="spellStart"/>
      <w:r>
        <w:rPr>
          <w:rFonts w:cs="Arial"/>
          <w:b/>
          <w:sz w:val="24"/>
        </w:rPr>
        <w:t>Stereo_GCC</w:t>
      </w:r>
      <w:proofErr w:type="spellEnd"/>
      <w:r>
        <w:rPr>
          <w:rFonts w:cs="Arial"/>
          <w:sz w:val="24"/>
        </w:rPr>
        <w:t xml:space="preserve">, dessen Profile aus 75 % Naturfasern und 25 % High-Performance-Polymeren aus recycelten Kunststoff bestehen. Der innovative Materialeinsatz sowie die modulare, rückbaubare Konstruktion des Systems kombiniert mit eleganter Optik wurde mit dem AIT Innovationspreis Architektur + Bauwesen ausgezeichnet. Oliver </w:t>
      </w:r>
      <w:proofErr w:type="spellStart"/>
      <w:r>
        <w:rPr>
          <w:rFonts w:cs="Arial"/>
          <w:sz w:val="24"/>
        </w:rPr>
        <w:t>Wieselhuber</w:t>
      </w:r>
      <w:proofErr w:type="spellEnd"/>
      <w:r>
        <w:rPr>
          <w:rFonts w:cs="Arial"/>
          <w:sz w:val="24"/>
        </w:rPr>
        <w:t xml:space="preserve">, Bereichsleiter Wand, zur Produktentwicklung: </w:t>
      </w:r>
      <w:r>
        <w:rPr>
          <w:rFonts w:cs="Arial"/>
          <w:sz w:val="24"/>
        </w:rPr>
        <w:br/>
        <w:t xml:space="preserve">„Entscheidend für uns ist nicht nur die Zirkularität des Materials, sondern die Verfügbarkeit auf dem Markt, bauphysikalische Eigenschaften, Materialgesundheit und Wirtschaftlichkeit von Produkten. Hierzu sind Partnerschaften zwischen Materialhersteller und Produkthersteller bzw. Verarbeiter notwendig. Genauso wichtig ist die Bereitschaft der Kunden, Architekten und Planer, sich auf neue Entwicklungen und Produktvorschläge einzulassen, um gemeinsam zirkuläre Bauweisen in die Praxis zu bringen. </w:t>
      </w:r>
    </w:p>
    <w:p>
      <w:pPr>
        <w:pStyle w:val="Listenabsatz"/>
        <w:ind w:left="720"/>
        <w:rPr>
          <w:rFonts w:cs="Arial"/>
          <w:sz w:val="24"/>
        </w:rPr>
      </w:pPr>
    </w:p>
    <w:p>
      <w:pPr>
        <w:rPr>
          <w:rFonts w:cs="Arial"/>
          <w:sz w:val="24"/>
        </w:rPr>
      </w:pPr>
    </w:p>
    <w:p>
      <w:pPr>
        <w:rPr>
          <w:rFonts w:cs="Arial"/>
          <w:sz w:val="24"/>
        </w:rPr>
      </w:pPr>
      <w:r>
        <w:rPr>
          <w:rFonts w:cs="Arial"/>
          <w:sz w:val="24"/>
        </w:rPr>
        <w:t xml:space="preserve">Architekturschaffende, Planer und Bauherren erhielten in verschiedenen Rundgängen, u. a. von der DGNB, Einblick in das umfassende Angebot der Lindner Group mit eigenen Produkten, Ausbauleistungen und verschiedenen Services. Zentrales Thema war dabei Lindners Vorsatz, „zirkuläres Bauen bereits heute in die Praxis bringen“. </w:t>
      </w:r>
    </w:p>
    <w:p>
      <w:pPr>
        <w:rPr>
          <w:rFonts w:cs="Arial"/>
          <w:sz w:val="24"/>
        </w:rPr>
      </w:pPr>
    </w:p>
    <w:p>
      <w:pPr>
        <w:rPr>
          <w:rFonts w:cs="Arial"/>
          <w:sz w:val="24"/>
        </w:rPr>
      </w:pPr>
      <w:r>
        <w:rPr>
          <w:rFonts w:cs="Arial"/>
          <w:sz w:val="24"/>
        </w:rPr>
        <w:t xml:space="preserve">Hierfür hat Lindner nicht nur eigene Geschäftsmodelle für Miete und Rückgabe entwickelt, sondern unterstützt bereits in der Planung, z. B. im Mieterausbau mit dem Design &amp; </w:t>
      </w:r>
      <w:proofErr w:type="spellStart"/>
      <w:r>
        <w:rPr>
          <w:rFonts w:cs="Arial"/>
          <w:sz w:val="24"/>
        </w:rPr>
        <w:t>Build</w:t>
      </w:r>
      <w:proofErr w:type="spellEnd"/>
      <w:r>
        <w:rPr>
          <w:rFonts w:cs="Arial"/>
          <w:sz w:val="24"/>
        </w:rPr>
        <w:t xml:space="preserve"> Konzept. Auch hierzu wurde am Stand der Lindner Group umfassend informiert und beraten.</w:t>
      </w:r>
    </w:p>
    <w:p>
      <w:pPr>
        <w:rPr>
          <w:rFonts w:cs="Arial"/>
          <w:sz w:val="24"/>
        </w:rPr>
      </w:pPr>
    </w:p>
    <w:p>
      <w:pPr>
        <w:rPr>
          <w:rFonts w:eastAsiaTheme="minorEastAsia"/>
          <w:szCs w:val="22"/>
        </w:rPr>
      </w:pPr>
    </w:p>
    <w:p>
      <w:pPr>
        <w:rPr>
          <w:rFonts w:eastAsiaTheme="minorEastAsia"/>
          <w:szCs w:val="22"/>
        </w:rPr>
      </w:pPr>
    </w:p>
    <w:p>
      <w:pPr>
        <w:autoSpaceDE w:val="0"/>
        <w:autoSpaceDN w:val="0"/>
        <w:adjustRightInd w:val="0"/>
        <w:rPr>
          <w:rFonts w:cs="Arial"/>
        </w:rPr>
      </w:pPr>
    </w:p>
    <w:p>
      <w:pPr>
        <w:spacing w:line="240" w:lineRule="auto"/>
        <w:rPr>
          <w:rFonts w:cs="Arial"/>
          <w:b/>
          <w:color w:val="E00428"/>
        </w:rPr>
      </w:pPr>
      <w:r>
        <w:rPr>
          <w:rFonts w:cs="Arial"/>
          <w:b/>
          <w:color w:val="E00428"/>
        </w:rPr>
        <w:t>Bilder</w:t>
      </w:r>
    </w:p>
    <w:p>
      <w:pPr>
        <w:rPr>
          <w:rFonts w:cs="Arial"/>
        </w:rPr>
      </w:pPr>
    </w:p>
    <w:p>
      <w:pPr>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283.65pt">
            <v:imagedata r:id="rId8" o:title="Lindner_BAU2025-628552_©www"/>
          </v:shape>
        </w:pict>
      </w:r>
    </w:p>
    <w:p>
      <w:pPr>
        <w:rPr>
          <w:rFonts w:cs="Arial"/>
        </w:rPr>
      </w:pPr>
      <w:r>
        <w:rPr>
          <w:rFonts w:cs="Arial"/>
        </w:rPr>
        <w:t>Lindner_BAU2025-628552_©www.Lindner-Group.com.jpg</w:t>
      </w:r>
    </w:p>
    <w:p>
      <w:pPr>
        <w:rPr>
          <w:rFonts w:cs="Arial"/>
          <w:sz w:val="20"/>
        </w:rPr>
      </w:pPr>
      <w:r>
        <w:rPr>
          <w:rFonts w:cs="Arial"/>
          <w:sz w:val="20"/>
        </w:rPr>
        <w:t>Bildnachweis: © www.Lindner-Group.com</w:t>
      </w:r>
    </w:p>
    <w:p>
      <w:pPr>
        <w:rPr>
          <w:rFonts w:cs="Arial"/>
        </w:rPr>
      </w:pPr>
    </w:p>
    <w:p>
      <w:pPr>
        <w:rPr>
          <w:rFonts w:cs="Arial"/>
        </w:rPr>
      </w:pPr>
      <w:r>
        <w:rPr>
          <w:rFonts w:cs="Arial"/>
          <w:noProof/>
        </w:rPr>
        <w:lastRenderedPageBreak/>
        <w:drawing>
          <wp:inline distT="0" distB="0" distL="0" distR="0">
            <wp:extent cx="3238106" cy="2160000"/>
            <wp:effectExtent l="0" t="0" r="635" b="0"/>
            <wp:docPr id="1" name="Grafik 1" descr="C:\Users\crieger02\AppData\Local\Microsoft\Windows\INetCache\Content.Word\Lindner_BAU2025-628379_©www.Lindner-Group.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rieger02\AppData\Local\Microsoft\Windows\INetCache\Content.Word\Lindner_BAU2025-628379_©www.Lindner-Group.com.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238106" cy="2160000"/>
                    </a:xfrm>
                    <a:prstGeom prst="rect">
                      <a:avLst/>
                    </a:prstGeom>
                    <a:noFill/>
                    <a:ln>
                      <a:noFill/>
                    </a:ln>
                  </pic:spPr>
                </pic:pic>
              </a:graphicData>
            </a:graphic>
          </wp:inline>
        </w:drawing>
      </w:r>
    </w:p>
    <w:p>
      <w:pPr>
        <w:rPr>
          <w:rFonts w:cs="Arial"/>
        </w:rPr>
      </w:pPr>
      <w:r>
        <w:rPr>
          <w:rFonts w:cs="Arial"/>
        </w:rPr>
        <w:t>Lindner_BAU2025-</w:t>
      </w:r>
      <w:r>
        <w:t xml:space="preserve"> </w:t>
      </w:r>
      <w:r>
        <w:rPr>
          <w:rFonts w:cs="Arial"/>
        </w:rPr>
        <w:t>628379_©www.Lindner-Group.com.jpg</w:t>
      </w:r>
    </w:p>
    <w:p>
      <w:pPr>
        <w:rPr>
          <w:rFonts w:cs="Arial"/>
          <w:sz w:val="20"/>
        </w:rPr>
      </w:pPr>
      <w:r>
        <w:rPr>
          <w:rFonts w:cs="Arial"/>
          <w:sz w:val="20"/>
        </w:rPr>
        <w:t>Bildnachweis: © www.Lindner-Group.com</w:t>
      </w:r>
    </w:p>
    <w:p>
      <w:pPr>
        <w:rPr>
          <w:rFonts w:cs="Arial"/>
        </w:rPr>
      </w:pPr>
    </w:p>
    <w:p>
      <w:pPr>
        <w:rPr>
          <w:rFonts w:cs="Arial"/>
        </w:rPr>
      </w:pPr>
      <w:r>
        <w:rPr>
          <w:rFonts w:cs="Arial"/>
        </w:rPr>
        <w:pict>
          <v:shape id="_x0000_i1026" type="#_x0000_t75" style="width:254.2pt;height:169.65pt">
            <v:imagedata r:id="rId10" o:title="Lindner_BAU2025-1©Messe München"/>
          </v:shape>
        </w:pict>
      </w:r>
    </w:p>
    <w:p>
      <w:pPr>
        <w:rPr>
          <w:rFonts w:cs="Arial"/>
        </w:rPr>
      </w:pPr>
      <w:r>
        <w:rPr>
          <w:rFonts w:cs="Arial"/>
        </w:rPr>
        <w:t>Lindner_BAU2025-1©Messe München.jpg</w:t>
      </w:r>
    </w:p>
    <w:p>
      <w:pPr>
        <w:rPr>
          <w:rFonts w:cs="Arial"/>
          <w:sz w:val="20"/>
        </w:rPr>
      </w:pPr>
      <w:r>
        <w:rPr>
          <w:rFonts w:cs="Arial"/>
          <w:sz w:val="20"/>
        </w:rPr>
        <w:t>Bildnachweis: © Messe München</w:t>
      </w:r>
    </w:p>
    <w:p>
      <w:pPr>
        <w:rPr>
          <w:rFonts w:cs="Arial"/>
          <w:sz w:val="20"/>
        </w:rPr>
      </w:pPr>
    </w:p>
    <w:p>
      <w:pPr>
        <w:rPr>
          <w:rFonts w:cs="Arial"/>
          <w:sz w:val="20"/>
        </w:rPr>
      </w:pPr>
      <w:r>
        <w:rPr>
          <w:rFonts w:cs="Arial"/>
          <w:sz w:val="20"/>
        </w:rPr>
        <w:pict>
          <v:shape id="_x0000_i1027" type="#_x0000_t75" style="width:254.2pt;height:169.65pt">
            <v:imagedata r:id="rId11" o:title="Lindner_BAU2025-2©Messe München"/>
          </v:shape>
        </w:pict>
      </w:r>
    </w:p>
    <w:p>
      <w:pPr>
        <w:rPr>
          <w:rFonts w:cs="Arial"/>
        </w:rPr>
      </w:pPr>
      <w:r>
        <w:rPr>
          <w:rFonts w:cs="Arial"/>
        </w:rPr>
        <w:t>Lindner_BAU2025-2©Messe München.jpg</w:t>
      </w:r>
    </w:p>
    <w:p>
      <w:pPr>
        <w:rPr>
          <w:rFonts w:cs="Arial"/>
          <w:sz w:val="20"/>
        </w:rPr>
      </w:pPr>
      <w:r>
        <w:rPr>
          <w:rFonts w:cs="Arial"/>
          <w:sz w:val="20"/>
        </w:rPr>
        <w:t>Bildnachweis: © Messe München</w:t>
      </w:r>
    </w:p>
    <w:p>
      <w:pPr>
        <w:rPr>
          <w:rFonts w:cs="Arial"/>
        </w:rPr>
      </w:pPr>
    </w:p>
    <w:p>
      <w:pPr>
        <w:rPr>
          <w:rFonts w:cs="Arial"/>
        </w:rPr>
      </w:pPr>
    </w:p>
    <w:p>
      <w:pPr>
        <w:rPr>
          <w:rFonts w:cs="Arial"/>
          <w:b/>
          <w:color w:val="E00428"/>
        </w:rPr>
      </w:pPr>
      <w:r>
        <w:rPr>
          <w:rFonts w:cs="Arial"/>
          <w:b/>
          <w:color w:val="E00428"/>
        </w:rPr>
        <w:t>Lindner Group</w:t>
      </w:r>
    </w:p>
    <w:p>
      <w:pPr>
        <w:rPr>
          <w:rFonts w:cs="Arial"/>
        </w:rPr>
      </w:pPr>
      <w:r>
        <w:rPr>
          <w:rFonts w:cs="Arial"/>
        </w:rPr>
        <w:t xml:space="preserve">Die Lindner Group ist Europas führender Komplettanbieter in den Bereichen Innenausbau, Gebäudehülle, Gebäudetechnik und Isoliertechnik. Das Familienunternehmen verfügt über mehr als 60 Jahre Erfahrung im „Bauen mit neuen Lösungen“, der Entwicklung und Ausführung von individuellen und fortschrittlichen Projektlösungen, die </w:t>
      </w:r>
      <w:proofErr w:type="spellStart"/>
      <w:r>
        <w:rPr>
          <w:rFonts w:cs="Arial"/>
        </w:rPr>
        <w:t>Mehr.Wert</w:t>
      </w:r>
      <w:proofErr w:type="spellEnd"/>
      <w:r>
        <w:rPr>
          <w:rFonts w:cs="Arial"/>
        </w:rPr>
        <w:t xml:space="preserve"> bieten. Mit weltweit gut 7.500 Mitarbeitern betreibt Lindner vom bayerischen </w:t>
      </w:r>
      <w:proofErr w:type="spellStart"/>
      <w:r>
        <w:rPr>
          <w:rFonts w:cs="Arial"/>
        </w:rPr>
        <w:t>Arnstorf</w:t>
      </w:r>
      <w:proofErr w:type="spellEnd"/>
      <w:r>
        <w:rPr>
          <w:rFonts w:cs="Arial"/>
        </w:rPr>
        <w:t xml:space="preserve"> aus Produktionsstätten und Tochtergesellschaften in mehr als 20 Ländern.</w:t>
      </w:r>
    </w:p>
    <w:p>
      <w:pPr>
        <w:rPr>
          <w:rFonts w:cs="Arial"/>
        </w:rPr>
      </w:pPr>
    </w:p>
    <w:p>
      <w:pPr>
        <w:rPr>
          <w:rFonts w:cs="Arial"/>
        </w:rPr>
      </w:pPr>
    </w:p>
    <w:p>
      <w:pPr>
        <w:rPr>
          <w:rFonts w:eastAsiaTheme="minorEastAsia" w:cs="Arial"/>
          <w:b/>
          <w:color w:val="E40428"/>
        </w:rPr>
      </w:pPr>
      <w:r>
        <w:rPr>
          <w:rFonts w:eastAsiaTheme="minorEastAsia" w:cs="Arial"/>
          <w:b/>
          <w:color w:val="E40428"/>
        </w:rPr>
        <w:t xml:space="preserve">Weitere Infos unter </w:t>
      </w:r>
      <w:hyperlink r:id="rId12" w:history="1">
        <w:r>
          <w:rPr>
            <w:rStyle w:val="Hyperlink"/>
            <w:rFonts w:eastAsiaTheme="minorEastAsia" w:cs="Arial"/>
            <w:b/>
            <w:color w:val="E40428"/>
            <w:u w:val="none"/>
          </w:rPr>
          <w:t>www.Lindner-Group.com</w:t>
        </w:r>
      </w:hyperlink>
    </w:p>
    <w:p>
      <w:pPr>
        <w:pStyle w:val="EinfAbs"/>
        <w:rPr>
          <w:lang w:val="en-GB"/>
        </w:rPr>
      </w:pPr>
      <w:hyperlink r:id="rId13" w:history="1">
        <w:r>
          <w:rPr>
            <w:rStyle w:val="Hyperlink"/>
            <w:rFonts w:ascii="Arial" w:hAnsi="Arial" w:cs="Arial"/>
            <w:color w:val="auto"/>
            <w:sz w:val="20"/>
            <w:szCs w:val="16"/>
            <w:lang w:val="en-GB"/>
          </w:rPr>
          <w:t>LinkedIn</w:t>
        </w:r>
      </w:hyperlink>
      <w:r>
        <w:rPr>
          <w:rFonts w:ascii="Arial" w:hAnsi="Arial" w:cs="Arial"/>
          <w:color w:val="auto"/>
          <w:sz w:val="20"/>
          <w:szCs w:val="16"/>
          <w:lang w:val="en-GB"/>
        </w:rPr>
        <w:t xml:space="preserve"> | </w:t>
      </w:r>
      <w:hyperlink r:id="rId14" w:history="1">
        <w:r>
          <w:rPr>
            <w:rStyle w:val="Hyperlink"/>
            <w:rFonts w:ascii="Arial" w:hAnsi="Arial" w:cs="Arial"/>
            <w:color w:val="auto"/>
            <w:sz w:val="20"/>
            <w:szCs w:val="16"/>
            <w:lang w:val="en-GB"/>
          </w:rPr>
          <w:t>Pinterest</w:t>
        </w:r>
      </w:hyperlink>
      <w:r>
        <w:rPr>
          <w:rFonts w:ascii="Arial" w:hAnsi="Arial" w:cs="Arial"/>
          <w:color w:val="auto"/>
          <w:sz w:val="20"/>
          <w:szCs w:val="16"/>
          <w:lang w:val="en-GB"/>
        </w:rPr>
        <w:t xml:space="preserve"> | </w:t>
      </w:r>
      <w:hyperlink r:id="rId15" w:history="1">
        <w:r>
          <w:rPr>
            <w:rStyle w:val="Hyperlink"/>
            <w:rFonts w:ascii="Arial" w:hAnsi="Arial" w:cs="Arial"/>
            <w:color w:val="auto"/>
            <w:sz w:val="20"/>
            <w:szCs w:val="16"/>
            <w:lang w:val="en-GB"/>
          </w:rPr>
          <w:t>Instagram</w:t>
        </w:r>
      </w:hyperlink>
      <w:r>
        <w:rPr>
          <w:rStyle w:val="Hyperlink"/>
          <w:rFonts w:ascii="Arial" w:hAnsi="Arial" w:cs="Arial"/>
          <w:color w:val="auto"/>
          <w:sz w:val="20"/>
          <w:szCs w:val="16"/>
          <w:u w:val="none"/>
          <w:lang w:val="en-GB"/>
        </w:rPr>
        <w:t xml:space="preserve"> | </w:t>
      </w:r>
      <w:hyperlink r:id="rId16" w:history="1">
        <w:r>
          <w:rPr>
            <w:rStyle w:val="Hyperlink"/>
            <w:rFonts w:ascii="Arial" w:hAnsi="Arial" w:cs="Arial"/>
            <w:color w:val="auto"/>
            <w:sz w:val="20"/>
            <w:szCs w:val="16"/>
            <w:lang w:val="en-GB"/>
          </w:rPr>
          <w:t>Facebook</w:t>
        </w:r>
      </w:hyperlink>
      <w:r>
        <w:rPr>
          <w:rStyle w:val="Hyperlink"/>
          <w:rFonts w:ascii="Arial" w:hAnsi="Arial" w:cs="Arial"/>
          <w:color w:val="auto"/>
          <w:sz w:val="20"/>
          <w:szCs w:val="16"/>
          <w:u w:val="none"/>
          <w:lang w:val="en-GB"/>
        </w:rPr>
        <w:t xml:space="preserve"> | </w:t>
      </w:r>
      <w:proofErr w:type="spellStart"/>
      <w:r>
        <w:rPr>
          <w:rStyle w:val="Hyperlink"/>
          <w:rFonts w:ascii="Arial" w:hAnsi="Arial" w:cs="Arial"/>
          <w:color w:val="auto"/>
          <w:sz w:val="20"/>
          <w:szCs w:val="16"/>
          <w:lang w:val="en-GB"/>
        </w:rPr>
        <w:t>Youtube</w:t>
      </w:r>
      <w:proofErr w:type="spellEnd"/>
      <w:r>
        <w:rPr>
          <w:rStyle w:val="Hyperlink"/>
          <w:rFonts w:ascii="Arial" w:hAnsi="Arial" w:cs="Arial"/>
          <w:color w:val="auto"/>
          <w:sz w:val="20"/>
          <w:szCs w:val="16"/>
          <w:u w:val="none"/>
          <w:lang w:val="en-GB"/>
        </w:rPr>
        <w:t xml:space="preserve"> </w:t>
      </w:r>
    </w:p>
    <w:sectPr>
      <w:headerReference w:type="default" r:id="rId17"/>
      <w:footerReference w:type="default" r:id="rId18"/>
      <w:headerReference w:type="first" r:id="rId19"/>
      <w:footerReference w:type="first" r:id="rId20"/>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4</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4</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4</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Pressekontakt: Christina Rieger</w:t>
    </w:r>
  </w:p>
  <w:p>
    <w:pPr>
      <w:tabs>
        <w:tab w:val="left" w:pos="6663"/>
      </w:tabs>
      <w:ind w:left="6237"/>
      <w:jc w:val="right"/>
      <w:rPr>
        <w:sz w:val="18"/>
      </w:rPr>
    </w:pPr>
    <w:r>
      <w:rPr>
        <w:sz w:val="18"/>
      </w:rPr>
      <w:t xml:space="preserve">Bahnhofstraße 29, 94424 </w:t>
    </w:r>
    <w:proofErr w:type="spellStart"/>
    <w:r>
      <w:rPr>
        <w:sz w:val="18"/>
      </w:rPr>
      <w:t>Arnstorf</w:t>
    </w:r>
    <w:proofErr w:type="spellEnd"/>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rStyle w:val="Hyperlink"/>
        <w:color w:val="auto"/>
        <w:sz w:val="18"/>
        <w:u w:val="none"/>
      </w:rPr>
      <w:t>Christina.Rieger@Lindner-Group.com</w:t>
    </w:r>
  </w:p>
  <w:p>
    <w:pPr>
      <w:tabs>
        <w:tab w:val="left" w:pos="6663"/>
      </w:tabs>
      <w:rPr>
        <w:sz w:val="18"/>
      </w:rPr>
    </w:pPr>
  </w:p>
  <w:p>
    <w:pPr>
      <w:tabs>
        <w:tab w:val="left" w:pos="666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DF1040"/>
    <w:multiLevelType w:val="hybridMultilevel"/>
    <w:tmpl w:val="222C5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0650AF"/>
    <w:multiLevelType w:val="hybridMultilevel"/>
    <w:tmpl w:val="2B3E6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9573D2"/>
    <w:multiLevelType w:val="hybridMultilevel"/>
    <w:tmpl w:val="CD46782A"/>
    <w:lvl w:ilvl="0" w:tplc="083096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BC4476"/>
    <w:multiLevelType w:val="hybridMultilevel"/>
    <w:tmpl w:val="77D4622A"/>
    <w:lvl w:ilvl="0" w:tplc="746E1FE2">
      <w:numFmt w:val="bullet"/>
      <w:lvlText w:val=""/>
      <w:lvlJc w:val="left"/>
      <w:pPr>
        <w:ind w:left="720" w:hanging="360"/>
      </w:pPr>
      <w:rPr>
        <w:rFonts w:ascii="Wingdings" w:eastAsia="Aptos" w:hAnsi="Wingdings" w:cs="Apto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7"/>
  </w:num>
  <w:num w:numId="9">
    <w:abstractNumId w:val="8"/>
  </w:num>
  <w:num w:numId="10">
    <w:abstractNumId w:val="9"/>
  </w:num>
  <w:num w:numId="11">
    <w:abstractNumId w:val="2"/>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rPr>
      <w:rFonts w:ascii="Arial" w:hAnsi="Arial"/>
      <w:b/>
      <w:bCs/>
      <w:sz w:val="22"/>
    </w:rPr>
  </w:style>
  <w:style w:type="paragraph" w:styleId="Listenabsatz">
    <w:name w:val="List Paragraph"/>
    <w:basedOn w:val="Standard"/>
    <w:uiPriority w:val="34"/>
    <w:qFormat/>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after="160" w:line="240" w:lineRule="auto"/>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Pr>
      <w:rFonts w:asciiTheme="minorHAnsi" w:eastAsiaTheme="minorHAnsi" w:hAnsiTheme="minorHAnsi" w:cstheme="minorBidi"/>
      <w:lang w:val="de-DE" w:eastAsia="en-US"/>
    </w:rPr>
  </w:style>
  <w:style w:type="paragraph" w:styleId="Kommentarthema">
    <w:name w:val="annotation subject"/>
    <w:basedOn w:val="Kommentartext"/>
    <w:next w:val="Kommentartext"/>
    <w:link w:val="KommentarthemaZchn"/>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rPr>
      <w:rFonts w:ascii="Arial" w:eastAsiaTheme="minorHAnsi" w:hAnsi="Arial" w:cstheme="minorBidi"/>
      <w:b/>
      <w:bCs/>
      <w:lang w:val="de-DE" w:eastAsia="de-DE"/>
    </w:rPr>
  </w:style>
  <w:style w:type="paragraph" w:customStyle="1" w:styleId="mb-2">
    <w:name w:val="mb-2"/>
    <w:basedOn w:val="Standar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11749">
      <w:bodyDiv w:val="1"/>
      <w:marLeft w:val="0"/>
      <w:marRight w:val="0"/>
      <w:marTop w:val="0"/>
      <w:marBottom w:val="0"/>
      <w:divBdr>
        <w:top w:val="none" w:sz="0" w:space="0" w:color="auto"/>
        <w:left w:val="none" w:sz="0" w:space="0" w:color="auto"/>
        <w:bottom w:val="none" w:sz="0" w:space="0" w:color="auto"/>
        <w:right w:val="none" w:sz="0" w:space="0" w:color="auto"/>
      </w:divBdr>
    </w:div>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028532637">
      <w:bodyDiv w:val="1"/>
      <w:marLeft w:val="0"/>
      <w:marRight w:val="0"/>
      <w:marTop w:val="0"/>
      <w:marBottom w:val="0"/>
      <w:divBdr>
        <w:top w:val="none" w:sz="0" w:space="0" w:color="auto"/>
        <w:left w:val="none" w:sz="0" w:space="0" w:color="auto"/>
        <w:bottom w:val="none" w:sz="0" w:space="0" w:color="auto"/>
        <w:right w:val="none" w:sz="0" w:space="0" w:color="auto"/>
      </w:divBdr>
      <w:divsChild>
        <w:div w:id="1834249202">
          <w:marLeft w:val="0"/>
          <w:marRight w:val="0"/>
          <w:marTop w:val="0"/>
          <w:marBottom w:val="0"/>
          <w:divBdr>
            <w:top w:val="none" w:sz="0" w:space="0" w:color="auto"/>
            <w:left w:val="none" w:sz="0" w:space="0" w:color="auto"/>
            <w:bottom w:val="none" w:sz="0" w:space="0" w:color="auto"/>
            <w:right w:val="none" w:sz="0" w:space="0" w:color="auto"/>
          </w:divBdr>
          <w:divsChild>
            <w:div w:id="1898589467">
              <w:marLeft w:val="0"/>
              <w:marRight w:val="0"/>
              <w:marTop w:val="0"/>
              <w:marBottom w:val="0"/>
              <w:divBdr>
                <w:top w:val="none" w:sz="0" w:space="0" w:color="auto"/>
                <w:left w:val="none" w:sz="0" w:space="0" w:color="auto"/>
                <w:bottom w:val="none" w:sz="0" w:space="0" w:color="auto"/>
                <w:right w:val="none" w:sz="0" w:space="0" w:color="auto"/>
              </w:divBdr>
              <w:divsChild>
                <w:div w:id="1062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0385">
      <w:bodyDiv w:val="1"/>
      <w:marLeft w:val="0"/>
      <w:marRight w:val="0"/>
      <w:marTop w:val="0"/>
      <w:marBottom w:val="0"/>
      <w:divBdr>
        <w:top w:val="none" w:sz="0" w:space="0" w:color="auto"/>
        <w:left w:val="none" w:sz="0" w:space="0" w:color="auto"/>
        <w:bottom w:val="none" w:sz="0" w:space="0" w:color="auto"/>
        <w:right w:val="none" w:sz="0" w:space="0" w:color="auto"/>
      </w:divBdr>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 w:id="1708216815">
      <w:bodyDiv w:val="1"/>
      <w:marLeft w:val="0"/>
      <w:marRight w:val="0"/>
      <w:marTop w:val="0"/>
      <w:marBottom w:val="0"/>
      <w:divBdr>
        <w:top w:val="none" w:sz="0" w:space="0" w:color="auto"/>
        <w:left w:val="none" w:sz="0" w:space="0" w:color="auto"/>
        <w:bottom w:val="none" w:sz="0" w:space="0" w:color="auto"/>
        <w:right w:val="none" w:sz="0" w:space="0" w:color="auto"/>
      </w:divBdr>
    </w:div>
    <w:div w:id="1889342429">
      <w:bodyDiv w:val="1"/>
      <w:marLeft w:val="0"/>
      <w:marRight w:val="0"/>
      <w:marTop w:val="0"/>
      <w:marBottom w:val="0"/>
      <w:divBdr>
        <w:top w:val="none" w:sz="0" w:space="0" w:color="auto"/>
        <w:left w:val="none" w:sz="0" w:space="0" w:color="auto"/>
        <w:bottom w:val="none" w:sz="0" w:space="0" w:color="auto"/>
        <w:right w:val="none" w:sz="0" w:space="0" w:color="auto"/>
      </w:divBdr>
    </w:div>
    <w:div w:id="20579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nkedin.com/company/lindner-grou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dner-Group.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LindnerGroup.Karrie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nstagram.com/lindner_group"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interest.de/lindnergrou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0209E-E802-43AD-825D-BC3B10D8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3537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3974</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12</cp:revision>
  <cp:lastPrinted>2025-01-27T12:21:00Z</cp:lastPrinted>
  <dcterms:created xsi:type="dcterms:W3CDTF">2025-01-24T07:19:00Z</dcterms:created>
  <dcterms:modified xsi:type="dcterms:W3CDTF">2025-01-27T12:22:00Z</dcterms:modified>
</cp:coreProperties>
</file>