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53" w:rsidRPr="00EA3102" w:rsidRDefault="00A30053" w:rsidP="00A30053">
      <w:pPr>
        <w:pStyle w:val="Pressemitteilung21pt"/>
        <w:rPr>
          <w:rFonts w:cs="Arial"/>
        </w:rPr>
      </w:pPr>
      <w:r w:rsidRPr="00EA3102">
        <w:rPr>
          <w:rFonts w:cs="Arial"/>
          <w:bCs w:val="0"/>
        </w:rPr>
        <w:t>Pressemitteilung</w:t>
      </w:r>
      <w:r w:rsidRPr="00EA3102">
        <w:rPr>
          <w:rFonts w:cs="Arial"/>
        </w:rPr>
        <w:t xml:space="preserve"> </w:t>
      </w:r>
    </w:p>
    <w:p w:rsidR="00105F57" w:rsidRDefault="00105F57" w:rsidP="00105F57">
      <w:pPr>
        <w:pStyle w:val="Bundesland"/>
      </w:pPr>
      <w:r w:rsidRPr="008433C2">
        <w:t>Welche Krebs-Früherkennungsuntersuchungen können gesetzlich Versicherte ab welchem Alter als GKV-Leistung in Anspruch nehmen?</w:t>
      </w:r>
    </w:p>
    <w:p w:rsidR="00105F57" w:rsidRPr="008433C2" w:rsidRDefault="00105F57" w:rsidP="00105F57">
      <w:pPr>
        <w:rPr>
          <w:rFonts w:ascii="Arial" w:hAnsi="Arial" w:cs="Arial"/>
          <w:b/>
          <w:color w:val="004E33"/>
        </w:rPr>
      </w:pPr>
      <w:bookmarkStart w:id="0" w:name="_GoBack"/>
      <w:bookmarkEnd w:id="0"/>
    </w:p>
    <w:tbl>
      <w:tblPr>
        <w:tblW w:w="9778" w:type="dxa"/>
        <w:tblCellSpacing w:w="15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779"/>
        <w:gridCol w:w="5667"/>
      </w:tblGrid>
      <w:tr w:rsidR="00105F57" w:rsidRPr="008433C2" w:rsidTr="00105F57">
        <w:trPr>
          <w:trHeight w:val="646"/>
          <w:tblHeader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2" w:space="0" w:color="FFFFFF"/>
              <w:bottom w:val="outset" w:sz="2" w:space="0" w:color="auto"/>
              <w:right w:val="outset" w:sz="2" w:space="0" w:color="auto"/>
            </w:tcBorders>
            <w:shd w:val="clear" w:color="auto" w:fill="5EB345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before="450" w:line="240" w:lineRule="auto"/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  <w:t>Anspruchsalter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5EB345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before="450" w:line="240" w:lineRule="auto"/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  <w:t>Rhythmus</w:t>
            </w:r>
          </w:p>
        </w:tc>
        <w:tc>
          <w:tcPr>
            <w:tcW w:w="579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5EB345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before="450" w:line="240" w:lineRule="auto"/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bCs/>
                <w:color w:val="161616"/>
                <w:spacing w:val="11"/>
                <w:szCs w:val="20"/>
                <w:lang w:eastAsia="de-DE"/>
              </w:rPr>
              <w:t>Erläuterungen</w:t>
            </w:r>
          </w:p>
        </w:tc>
      </w:tr>
      <w:tr w:rsidR="00105F57" w:rsidRPr="008433C2" w:rsidTr="00105F57">
        <w:trPr>
          <w:trHeight w:val="63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20 bis 34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jährlich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Krebsfrüherkennung für Frauen: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 xml:space="preserve"> gezielte Anamnese, Abstrich vom Gebärmutterhals, Untersuchung der inneren und äußeren Geschlechtsorgane</w:t>
            </w:r>
          </w:p>
        </w:tc>
      </w:tr>
      <w:tr w:rsidR="00105F57" w:rsidRPr="008433C2" w:rsidTr="00105F57">
        <w:trPr>
          <w:trHeight w:val="85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ab 35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alle 3 Jahre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Krebsfrüherkennung für Frauen:</w:t>
            </w:r>
            <w:r w:rsidRPr="00105F57">
              <w:rPr>
                <w:rFonts w:asciiTheme="majorHAnsi" w:eastAsia="Times New Roman" w:hAnsiTheme="majorHAnsi" w:cs="Arial"/>
                <w:color w:val="004E33"/>
                <w:spacing w:val="11"/>
                <w:szCs w:val="20"/>
                <w:lang w:eastAsia="de-DE"/>
              </w:rPr>
              <w:t xml:space="preserve"> 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gezielte Anamnese, Abstrich vom Gebärmutterhals in Kombination mit einem Test auf Infektion mit Humanen Papillomviren (HPV), Untersuchung der inneren und äußeren Geschlechtsorgane</w:t>
            </w:r>
          </w:p>
        </w:tc>
      </w:tr>
      <w:tr w:rsidR="00105F57" w:rsidRPr="008433C2" w:rsidTr="00105F57">
        <w:trPr>
          <w:trHeight w:val="85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ab 30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jährlich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Erweiterte Krebsfrüherkennung für Frauen: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 xml:space="preserve"> Fragen nach einer Veränderung von Haut oder Brust, zusätzliches Abtasten von Brust und Achselhöhlen, Anleitung zur regelmäßigen Selbstuntersuchung der Brust</w:t>
            </w:r>
          </w:p>
        </w:tc>
      </w:tr>
      <w:tr w:rsidR="00105F57" w:rsidRPr="008433C2" w:rsidTr="00105F57">
        <w:trPr>
          <w:trHeight w:val="21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ab 35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alle 2 Jahre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b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Hautkrebs-Screening für Frauen und Männer</w:t>
            </w:r>
          </w:p>
        </w:tc>
      </w:tr>
      <w:tr w:rsidR="00105F57" w:rsidRPr="008433C2" w:rsidTr="00105F57">
        <w:trPr>
          <w:trHeight w:val="63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ab 45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jährlich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Krebsfrüherkennung für Männer: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 xml:space="preserve"> gezielte Anamnese, Tastuntersuchung der Prostata, der regionären Lymphknoten und der äußeren Genitale</w:t>
            </w:r>
          </w:p>
        </w:tc>
      </w:tr>
      <w:tr w:rsidR="00105F57" w:rsidRPr="008433C2" w:rsidTr="00105F57">
        <w:trPr>
          <w:trHeight w:val="85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50 bis 69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alle 2 Jahre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Brustkrebsfrüherkennung durch das Mammographie-Screening: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 xml:space="preserve"> Einladung zum Screening in einer zertifizierten medizinischen Einrichtung, Röntgen der Brüste durch Mammographie</w:t>
            </w:r>
          </w:p>
        </w:tc>
      </w:tr>
      <w:tr w:rsidR="00105F57" w:rsidRPr="008433C2" w:rsidTr="00105F57">
        <w:trPr>
          <w:trHeight w:val="10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lastRenderedPageBreak/>
              <w:t>ab 50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jährlich,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br/>
              <w:t>alternativ für Männer: alle 10 Jahre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Darmkrebsfrüherkennung:</w:t>
            </w:r>
            <w:r w:rsidRPr="00105F57">
              <w:rPr>
                <w:rFonts w:asciiTheme="majorHAnsi" w:eastAsia="Times New Roman" w:hAnsiTheme="majorHAnsi" w:cs="Arial"/>
                <w:color w:val="004E33"/>
                <w:spacing w:val="11"/>
                <w:szCs w:val="20"/>
                <w:lang w:eastAsia="de-DE"/>
              </w:rPr>
              <w:t xml:space="preserve"> 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Männer von 50 bis 54 Jahren können zwischen einem jährlichen Test auf occultes Blut im Stuhl und einer Darmspiegelung (Koloskopie) entscheiden.</w:t>
            </w:r>
          </w:p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br/>
              <w:t>Frauen von 50 bis 54 Jahren können sich für einen jährlichen Test auf occultes Blut im Stuhl entscheiden.</w:t>
            </w:r>
          </w:p>
        </w:tc>
      </w:tr>
      <w:tr w:rsidR="00105F57" w:rsidRPr="008433C2" w:rsidTr="00105F57">
        <w:trPr>
          <w:trHeight w:val="10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ab 55 Jahre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alle 2 Jahre,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br/>
              <w:t>alternativ: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br/>
              <w:t>alle 10 Jahre</w:t>
            </w:r>
          </w:p>
        </w:tc>
        <w:tc>
          <w:tcPr>
            <w:tcW w:w="57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13" w:type="dxa"/>
              <w:left w:w="225" w:type="dxa"/>
              <w:bottom w:w="113" w:type="dxa"/>
              <w:right w:w="225" w:type="dxa"/>
            </w:tcMar>
            <w:hideMark/>
          </w:tcPr>
          <w:p w:rsidR="00105F57" w:rsidRPr="00105F57" w:rsidRDefault="00105F57" w:rsidP="003432C9">
            <w:pPr>
              <w:spacing w:line="240" w:lineRule="auto"/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</w:pPr>
            <w:r w:rsidRPr="00105F57">
              <w:rPr>
                <w:rFonts w:asciiTheme="majorHAnsi" w:eastAsia="Times New Roman" w:hAnsiTheme="majorHAnsi" w:cs="Arial"/>
                <w:b/>
                <w:color w:val="004E33"/>
                <w:spacing w:val="11"/>
                <w:szCs w:val="20"/>
                <w:lang w:eastAsia="de-DE"/>
              </w:rPr>
              <w:t>Darmkrebsfrüherkennung:</w:t>
            </w:r>
            <w:r w:rsidRPr="00105F57">
              <w:rPr>
                <w:rFonts w:asciiTheme="majorHAnsi" w:eastAsia="Times New Roman" w:hAnsiTheme="majorHAnsi" w:cs="Arial"/>
                <w:color w:val="004E33"/>
                <w:spacing w:val="11"/>
                <w:szCs w:val="20"/>
                <w:lang w:eastAsia="de-DE"/>
              </w:rPr>
              <w:t xml:space="preserve"> </w:t>
            </w:r>
            <w:r w:rsidRPr="00105F57">
              <w:rPr>
                <w:rFonts w:asciiTheme="majorHAnsi" w:eastAsia="Times New Roman" w:hAnsiTheme="majorHAnsi" w:cs="Arial"/>
                <w:color w:val="161616"/>
                <w:spacing w:val="11"/>
                <w:szCs w:val="20"/>
                <w:lang w:eastAsia="de-DE"/>
              </w:rPr>
              <w:t>Frauen und Männer ab 55 Jahren können zwischen einem Test auf occultes Blut im Stuhl, der alle 2 Jahre durchgeführt wird, und maximal 2 Früherkennungs-Darmspiegelungen (Koloskopien) im Abstand von 10 Jahren entscheiden.</w:t>
            </w:r>
          </w:p>
        </w:tc>
      </w:tr>
    </w:tbl>
    <w:p w:rsidR="00105F57" w:rsidRPr="008433C2" w:rsidRDefault="00105F57" w:rsidP="00105F57"/>
    <w:p w:rsidR="00E14BC2" w:rsidRPr="00EA3102" w:rsidRDefault="00E14BC2" w:rsidP="00EA72F4">
      <w:pPr>
        <w:rPr>
          <w:rFonts w:asciiTheme="majorHAnsi" w:hAnsiTheme="majorHAnsi"/>
          <w:lang w:val="en-US"/>
        </w:rPr>
      </w:pPr>
    </w:p>
    <w:p w:rsidR="00841125" w:rsidRPr="00EA3102" w:rsidRDefault="00841125" w:rsidP="00EA72F4">
      <w:pPr>
        <w:rPr>
          <w:rFonts w:asciiTheme="majorHAnsi" w:hAnsiTheme="majorHAnsi"/>
          <w:lang w:val="en-US"/>
        </w:rPr>
      </w:pPr>
    </w:p>
    <w:p w:rsidR="005C2557" w:rsidRPr="004A43E7" w:rsidRDefault="007B0CB1" w:rsidP="00CF44BF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:rsidR="004A43E7" w:rsidRPr="004A43E7" w:rsidRDefault="004A43E7" w:rsidP="00CF44BF">
      <w:pPr>
        <w:pStyle w:val="InfokastenvollflchigFlietext"/>
        <w:pBdr>
          <w:left w:val="single" w:sz="2" w:space="15" w:color="E8F4F2"/>
        </w:pBdr>
      </w:pPr>
    </w:p>
    <w:p w:rsidR="007B1358" w:rsidRPr="00EA3102" w:rsidRDefault="007B0CB1" w:rsidP="00CF44BF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 w:rsidR="00705EED">
        <w:t>0</w:t>
      </w:r>
      <w:r w:rsidR="00277F31">
        <w:t>0</w:t>
      </w:r>
      <w:r w:rsidRPr="00EA3102">
        <w:t xml:space="preserve">.000 Versicherte und 50.000 Arbeitgeber in 44 regionalen Kundencentern. Mit einem Marktanteil von </w:t>
      </w:r>
      <w:r w:rsidR="007D02B9" w:rsidRPr="00EA3102">
        <w:t>40</w:t>
      </w:r>
      <w:r w:rsidRPr="00EA3102">
        <w:t xml:space="preserve"> Prozent und einem Beitragssatz von 15,</w:t>
      </w:r>
      <w:r w:rsidR="00AF54E3">
        <w:t>4</w:t>
      </w:r>
      <w:r w:rsidRPr="00EA3102">
        <w:t xml:space="preserve"> Prozent ist sie die größte und eine der günstigsten Krankenkassen in Sachsen-Anhalt.</w:t>
      </w:r>
    </w:p>
    <w:p w:rsidR="00546B57" w:rsidRPr="00EA3102" w:rsidRDefault="00546B57" w:rsidP="00546B57">
      <w:pPr>
        <w:rPr>
          <w:rFonts w:asciiTheme="majorHAnsi" w:hAnsiTheme="majorHAnsi"/>
          <w:b/>
        </w:rPr>
      </w:pPr>
    </w:p>
    <w:p w:rsidR="0039313A" w:rsidRPr="00EA3102" w:rsidRDefault="0039313A" w:rsidP="002D4A5E">
      <w:pPr>
        <w:rPr>
          <w:rFonts w:asciiTheme="majorHAnsi" w:hAnsiTheme="majorHAnsi"/>
        </w:rPr>
      </w:pPr>
    </w:p>
    <w:sectPr w:rsidR="0039313A" w:rsidRPr="00EA3102" w:rsidSect="00A3005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7489DAF8-3CA9-4352-95FB-A5205E544735}"/>
    <w:embedBold r:id="rId2" w:fontKey="{D175C662-ECA8-4BFB-8656-B6D6AD6AB72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34913314-B95B-4976-8780-7F3622265A34}"/>
    <w:embedBold r:id="rId4" w:fontKey="{D22A7D19-434D-4E14-B125-7FD969EBE6C9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5A9615A4-5F6D-4AE6-B656-C0A961717C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105F57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105F57">
                            <w:fldChar w:fldCharType="begin"/>
                          </w:r>
                          <w:r w:rsidR="00105F57">
                            <w:instrText>NUMPAGES  \* Arabic  \* MERGEFORMAT</w:instrText>
                          </w:r>
                          <w:r w:rsidR="00105F57">
                            <w:fldChar w:fldCharType="separate"/>
                          </w:r>
                          <w:r w:rsidR="00105F57">
                            <w:rPr>
                              <w:noProof/>
                            </w:rPr>
                            <w:t>2</w:t>
                          </w:r>
                          <w:r w:rsidR="00105F5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105F57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105F57">
                      <w:fldChar w:fldCharType="begin"/>
                    </w:r>
                    <w:r w:rsidR="00105F57">
                      <w:instrText>NUMPAGES  \* Arabic  \* MERGEFORMAT</w:instrText>
                    </w:r>
                    <w:r w:rsidR="00105F57">
                      <w:fldChar w:fldCharType="separate"/>
                    </w:r>
                    <w:r w:rsidR="00105F57">
                      <w:rPr>
                        <w:noProof/>
                      </w:rPr>
                      <w:t>2</w:t>
                    </w:r>
                    <w:r w:rsidR="00105F57">
                      <w:rPr>
                        <w:noProof/>
                      </w:rPr>
                      <w:fldChar w:fldCharType="end"/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105F57">
                            <w:fldChar w:fldCharType="begin"/>
                          </w:r>
                          <w:r w:rsidR="00105F57">
                            <w:instrText>NUMPAGES  \* Arabic  \* MERGEFORMAT</w:instrText>
                          </w:r>
                          <w:r w:rsidR="00105F57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105F5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8A795F">
                      <w:fldChar w:fldCharType="begin"/>
                    </w:r>
                    <w:r w:rsidR="008A795F">
                      <w:instrText>NUMPAGES  \* Arabic  \* MERGEFORMAT</w:instrText>
                    </w:r>
                    <w:r w:rsidR="008A795F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8A795F">
                      <w:rPr>
                        <w:noProof/>
                      </w:rPr>
                      <w:fldChar w:fldCharType="end"/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2"/>
    <w:rsid w:val="000141B1"/>
    <w:rsid w:val="00034288"/>
    <w:rsid w:val="00041A9A"/>
    <w:rsid w:val="00056437"/>
    <w:rsid w:val="000C36DF"/>
    <w:rsid w:val="000C55E3"/>
    <w:rsid w:val="000C64CF"/>
    <w:rsid w:val="000F5F66"/>
    <w:rsid w:val="00105F57"/>
    <w:rsid w:val="001177B4"/>
    <w:rsid w:val="00163B98"/>
    <w:rsid w:val="00192EA1"/>
    <w:rsid w:val="001A28CD"/>
    <w:rsid w:val="001F19D6"/>
    <w:rsid w:val="0020308C"/>
    <w:rsid w:val="00250AEE"/>
    <w:rsid w:val="00251BA4"/>
    <w:rsid w:val="00277F31"/>
    <w:rsid w:val="00280BF2"/>
    <w:rsid w:val="00281BD7"/>
    <w:rsid w:val="002A0684"/>
    <w:rsid w:val="002C1D55"/>
    <w:rsid w:val="002D1BE9"/>
    <w:rsid w:val="002D4A5E"/>
    <w:rsid w:val="002D6039"/>
    <w:rsid w:val="002E5187"/>
    <w:rsid w:val="00317A02"/>
    <w:rsid w:val="0039313A"/>
    <w:rsid w:val="003947C5"/>
    <w:rsid w:val="003B1F8F"/>
    <w:rsid w:val="003C2126"/>
    <w:rsid w:val="003D4C21"/>
    <w:rsid w:val="00427FA6"/>
    <w:rsid w:val="004916CA"/>
    <w:rsid w:val="004A43E7"/>
    <w:rsid w:val="004B5915"/>
    <w:rsid w:val="004C3E4B"/>
    <w:rsid w:val="004C40D6"/>
    <w:rsid w:val="004D34C1"/>
    <w:rsid w:val="004D7F82"/>
    <w:rsid w:val="0053682A"/>
    <w:rsid w:val="005430E3"/>
    <w:rsid w:val="00546B57"/>
    <w:rsid w:val="005679EA"/>
    <w:rsid w:val="005B6A95"/>
    <w:rsid w:val="005C2557"/>
    <w:rsid w:val="005C40E7"/>
    <w:rsid w:val="00611B96"/>
    <w:rsid w:val="006307FC"/>
    <w:rsid w:val="00647CC8"/>
    <w:rsid w:val="006770FD"/>
    <w:rsid w:val="00682602"/>
    <w:rsid w:val="0068598E"/>
    <w:rsid w:val="00695827"/>
    <w:rsid w:val="006D2418"/>
    <w:rsid w:val="006E7F96"/>
    <w:rsid w:val="00705EED"/>
    <w:rsid w:val="00725049"/>
    <w:rsid w:val="007557F8"/>
    <w:rsid w:val="007B0CB1"/>
    <w:rsid w:val="007B1358"/>
    <w:rsid w:val="007D02B9"/>
    <w:rsid w:val="007E7A9A"/>
    <w:rsid w:val="008050D8"/>
    <w:rsid w:val="00805F7B"/>
    <w:rsid w:val="00841125"/>
    <w:rsid w:val="00883717"/>
    <w:rsid w:val="008A795F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D3726"/>
    <w:rsid w:val="00A30053"/>
    <w:rsid w:val="00A6369E"/>
    <w:rsid w:val="00A91B34"/>
    <w:rsid w:val="00AE71AC"/>
    <w:rsid w:val="00AF2D16"/>
    <w:rsid w:val="00AF54E3"/>
    <w:rsid w:val="00B06E94"/>
    <w:rsid w:val="00B43790"/>
    <w:rsid w:val="00B73C1B"/>
    <w:rsid w:val="00B870B4"/>
    <w:rsid w:val="00B9271F"/>
    <w:rsid w:val="00B94B60"/>
    <w:rsid w:val="00BE201D"/>
    <w:rsid w:val="00C022C7"/>
    <w:rsid w:val="00C376D1"/>
    <w:rsid w:val="00C64220"/>
    <w:rsid w:val="00CC707C"/>
    <w:rsid w:val="00CE4623"/>
    <w:rsid w:val="00CF44BF"/>
    <w:rsid w:val="00D402B2"/>
    <w:rsid w:val="00D51170"/>
    <w:rsid w:val="00D534CC"/>
    <w:rsid w:val="00D702AE"/>
    <w:rsid w:val="00D83CC2"/>
    <w:rsid w:val="00DC3869"/>
    <w:rsid w:val="00DE0BFA"/>
    <w:rsid w:val="00DE1405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D3734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Kirmeß, Sascha</cp:lastModifiedBy>
  <cp:revision>2</cp:revision>
  <cp:lastPrinted>2021-11-25T11:51:00Z</cp:lastPrinted>
  <dcterms:created xsi:type="dcterms:W3CDTF">2022-01-28T11:19:00Z</dcterms:created>
  <dcterms:modified xsi:type="dcterms:W3CDTF">2022-01-28T11:19:00Z</dcterms:modified>
</cp:coreProperties>
</file>