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BF640C" w:rsidP="004E6AAF">
            <w:pPr>
              <w:pStyle w:val="Headertextsmall"/>
            </w:pPr>
            <w:r>
              <w:rPr>
                <w:noProof/>
                <w:lang w:val="de-DE"/>
              </w:rPr>
              <w:drawing>
                <wp:anchor distT="0" distB="0" distL="114300" distR="114300" simplePos="0" relativeHeight="251658240" behindDoc="1" locked="0" layoutInCell="1" allowOverlap="1">
                  <wp:simplePos x="0" y="0"/>
                  <wp:positionH relativeFrom="column">
                    <wp:posOffset>-933450</wp:posOffset>
                  </wp:positionH>
                  <wp:positionV relativeFrom="paragraph">
                    <wp:posOffset>-11430</wp:posOffset>
                  </wp:positionV>
                  <wp:extent cx="3147060" cy="2095080"/>
                  <wp:effectExtent l="0" t="0" r="0" b="635"/>
                  <wp:wrapNone/>
                  <wp:docPr id="1" name="Grafik 1" descr="C:\Users\priebema\AppData\Local\Microsoft\Windows\INetCache\Content.Word\G5QL5401_mit Eb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ebema\AppData\Local\Microsoft\Windows\INetCache\Content.Word\G5QL5401_mit Ebe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060" cy="209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040684">
        <w:trPr>
          <w:trHeight w:hRule="exact" w:val="1191"/>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734318" w:rsidTr="00040684">
        <w:trPr>
          <w:trHeight w:val="227"/>
        </w:trPr>
        <w:tc>
          <w:tcPr>
            <w:tcW w:w="5000" w:type="pct"/>
            <w:gridSpan w:val="2"/>
          </w:tcPr>
          <w:p w:rsidR="0031158E" w:rsidRPr="0031158E" w:rsidRDefault="00F52989" w:rsidP="0015186B">
            <w:pPr>
              <w:pStyle w:val="Titel"/>
              <w:framePr w:hSpace="0" w:wrap="auto" w:yAlign="inline"/>
              <w:spacing w:line="480" w:lineRule="auto"/>
              <w:suppressOverlap w:val="0"/>
              <w:rPr>
                <w:lang w:val="de-DE"/>
              </w:rPr>
            </w:pPr>
            <w:r w:rsidRPr="00F52989">
              <w:rPr>
                <w:lang w:val="de-DE"/>
              </w:rPr>
              <w:t xml:space="preserve">Herstellerinitiative </w:t>
            </w:r>
            <w:r w:rsidR="00684468">
              <w:rPr>
                <w:lang w:val="de-DE"/>
              </w:rPr>
              <w:t>„Bauprodukte Digital“</w:t>
            </w:r>
            <w:r>
              <w:rPr>
                <w:lang w:val="de-DE"/>
              </w:rPr>
              <w:t xml:space="preserve"> </w:t>
            </w:r>
            <w:r w:rsidR="007A44E3">
              <w:rPr>
                <w:lang w:val="de-DE"/>
              </w:rPr>
              <w:t>will wachsen</w:t>
            </w:r>
            <w:r w:rsidR="007A412B" w:rsidRPr="007A412B">
              <w:rPr>
                <w:lang w:val="de-DE"/>
              </w:rPr>
              <w:t xml:space="preserve"> </w:t>
            </w:r>
          </w:p>
        </w:tc>
      </w:tr>
      <w:tr w:rsidR="0031158E" w:rsidRPr="00734318" w:rsidTr="00040684">
        <w:trPr>
          <w:trHeight w:val="340"/>
        </w:trPr>
        <w:tc>
          <w:tcPr>
            <w:tcW w:w="5000" w:type="pct"/>
            <w:gridSpan w:val="2"/>
          </w:tcPr>
          <w:p w:rsidR="0031158E" w:rsidRPr="0031158E" w:rsidRDefault="0031158E" w:rsidP="0031158E">
            <w:pPr>
              <w:rPr>
                <w:lang w:val="de-DE"/>
              </w:rPr>
            </w:pPr>
          </w:p>
        </w:tc>
      </w:tr>
    </w:tbl>
    <w:p w:rsidR="007A44E3" w:rsidRDefault="00A85710" w:rsidP="007A44E3">
      <w:pPr>
        <w:rPr>
          <w:lang w:val="de-DE"/>
        </w:rPr>
      </w:pPr>
      <w:r>
        <w:rPr>
          <w:lang w:val="de-DE"/>
        </w:rPr>
        <w:t>Ennepetal</w:t>
      </w:r>
      <w:r w:rsidR="00562835" w:rsidRPr="00705198">
        <w:rPr>
          <w:lang w:val="de-DE"/>
        </w:rPr>
        <w:t xml:space="preserve">, </w:t>
      </w:r>
      <w:r w:rsidR="00734318">
        <w:rPr>
          <w:lang w:val="de-DE"/>
        </w:rPr>
        <w:t>21</w:t>
      </w:r>
      <w:bookmarkStart w:id="0" w:name="_GoBack"/>
      <w:bookmarkEnd w:id="0"/>
      <w:r w:rsidR="00980FAD">
        <w:rPr>
          <w:lang w:val="de-DE"/>
        </w:rPr>
        <w:t>.0</w:t>
      </w:r>
      <w:r w:rsidR="00D041AB">
        <w:rPr>
          <w:lang w:val="de-DE"/>
        </w:rPr>
        <w:t>3</w:t>
      </w:r>
      <w:r w:rsidR="00980FAD">
        <w:rPr>
          <w:lang w:val="de-DE"/>
        </w:rPr>
        <w:t xml:space="preserve">.2018 </w:t>
      </w:r>
      <w:r w:rsidR="00D041AB">
        <w:rPr>
          <w:lang w:val="de-DE"/>
        </w:rPr>
        <w:t>–</w:t>
      </w:r>
      <w:r w:rsidR="00FD7353" w:rsidRPr="00FD7353">
        <w:rPr>
          <w:lang w:val="de-DE"/>
        </w:rPr>
        <w:t xml:space="preserve"> </w:t>
      </w:r>
      <w:r w:rsidR="00D041AB">
        <w:rPr>
          <w:lang w:val="de-DE"/>
        </w:rPr>
        <w:t>In der Zusammenarbeit mit Architekten und Bauplanern spielt BIM, die digitale Bauwerksmodellierung, eine immer bedeutendere Rolle. Allerdings fehlen in Europa noch einheitliche Standards</w:t>
      </w:r>
      <w:r w:rsidR="00471564">
        <w:rPr>
          <w:lang w:val="de-DE"/>
        </w:rPr>
        <w:t xml:space="preserve"> und praxistaugliche Implementierungsansätze</w:t>
      </w:r>
      <w:r w:rsidR="00D041AB">
        <w:rPr>
          <w:lang w:val="de-DE"/>
        </w:rPr>
        <w:t xml:space="preserve">. </w:t>
      </w:r>
      <w:r w:rsidR="00671D52">
        <w:rPr>
          <w:lang w:val="de-DE"/>
        </w:rPr>
        <w:t xml:space="preserve">Um hier aktiv mitzuarbeiten, haben Hersteller von Bauprodukten </w:t>
      </w:r>
      <w:r w:rsidR="007A44E3">
        <w:rPr>
          <w:lang w:val="de-DE"/>
        </w:rPr>
        <w:t xml:space="preserve">2017 </w:t>
      </w:r>
      <w:r w:rsidR="00671D52">
        <w:rPr>
          <w:lang w:val="de-DE"/>
        </w:rPr>
        <w:t xml:space="preserve">die Herstellerinitiative </w:t>
      </w:r>
      <w:r w:rsidR="00671D52" w:rsidRPr="00671D52">
        <w:rPr>
          <w:lang w:val="de-DE"/>
        </w:rPr>
        <w:t>„</w:t>
      </w:r>
      <w:r w:rsidR="00684468">
        <w:rPr>
          <w:lang w:val="de-DE"/>
        </w:rPr>
        <w:t>Bauprodukte Digital</w:t>
      </w:r>
      <w:r w:rsidR="00671D52" w:rsidRPr="00671D52">
        <w:rPr>
          <w:lang w:val="de-DE"/>
        </w:rPr>
        <w:t>“</w:t>
      </w:r>
      <w:r w:rsidR="00671D52">
        <w:rPr>
          <w:lang w:val="de-DE"/>
        </w:rPr>
        <w:t xml:space="preserve"> gegründet.</w:t>
      </w:r>
      <w:r w:rsidR="00671D52" w:rsidRPr="00671D52">
        <w:rPr>
          <w:lang w:val="de-DE"/>
        </w:rPr>
        <w:t xml:space="preserve"> Das Ziel der Initiative ist die Sicherstellung der praxisnahen </w:t>
      </w:r>
      <w:r w:rsidR="0015186B">
        <w:rPr>
          <w:lang w:val="de-DE"/>
        </w:rPr>
        <w:t xml:space="preserve">Umsetzung </w:t>
      </w:r>
      <w:r w:rsidR="00671D52" w:rsidRPr="00671D52">
        <w:rPr>
          <w:lang w:val="de-DE"/>
        </w:rPr>
        <w:t>von digitalen Herstellerinformationen, um die digitalen Prozesse für Planer,</w:t>
      </w:r>
      <w:r w:rsidR="00F617AC">
        <w:rPr>
          <w:lang w:val="de-DE"/>
        </w:rPr>
        <w:t xml:space="preserve"> </w:t>
      </w:r>
      <w:r w:rsidR="00671D52" w:rsidRPr="00671D52">
        <w:rPr>
          <w:lang w:val="de-DE"/>
        </w:rPr>
        <w:t>Verarbeiter, Produkthersteller und Betreiber von Gebäuden voranzutreiben.</w:t>
      </w:r>
      <w:r w:rsidR="00671D52">
        <w:rPr>
          <w:lang w:val="de-DE"/>
        </w:rPr>
        <w:t xml:space="preserve"> Mitglieder bisher sind die Unternehmen </w:t>
      </w:r>
      <w:proofErr w:type="spellStart"/>
      <w:r w:rsidR="00671D52">
        <w:rPr>
          <w:lang w:val="de-DE"/>
        </w:rPr>
        <w:t>dormakaba</w:t>
      </w:r>
      <w:proofErr w:type="spellEnd"/>
      <w:r w:rsidR="00671D52">
        <w:rPr>
          <w:lang w:val="de-DE"/>
        </w:rPr>
        <w:t>, Hilti, Hörmann, Jansen Building Systems, Knauf, Schüco</w:t>
      </w:r>
      <w:r w:rsidR="00471564">
        <w:rPr>
          <w:lang w:val="de-DE"/>
        </w:rPr>
        <w:t xml:space="preserve">, </w:t>
      </w:r>
      <w:proofErr w:type="spellStart"/>
      <w:r w:rsidR="00671D52">
        <w:rPr>
          <w:lang w:val="de-DE"/>
        </w:rPr>
        <w:t>Xella</w:t>
      </w:r>
      <w:proofErr w:type="spellEnd"/>
      <w:r w:rsidR="000702F1">
        <w:rPr>
          <w:lang w:val="de-DE"/>
        </w:rPr>
        <w:t xml:space="preserve"> und </w:t>
      </w:r>
      <w:proofErr w:type="spellStart"/>
      <w:r w:rsidR="000702F1">
        <w:rPr>
          <w:lang w:val="de-DE"/>
        </w:rPr>
        <w:t>F</w:t>
      </w:r>
      <w:r w:rsidR="00471564">
        <w:rPr>
          <w:lang w:val="de-DE"/>
        </w:rPr>
        <w:t>orbo</w:t>
      </w:r>
      <w:proofErr w:type="spellEnd"/>
      <w:r w:rsidR="000702F1">
        <w:rPr>
          <w:lang w:val="de-DE"/>
        </w:rPr>
        <w:t xml:space="preserve"> </w:t>
      </w:r>
      <w:proofErr w:type="spellStart"/>
      <w:r w:rsidR="000702F1">
        <w:rPr>
          <w:lang w:val="de-DE"/>
        </w:rPr>
        <w:t>Flooring</w:t>
      </w:r>
      <w:proofErr w:type="spellEnd"/>
      <w:r w:rsidR="00671D52">
        <w:rPr>
          <w:lang w:val="de-DE"/>
        </w:rPr>
        <w:t>.</w:t>
      </w:r>
      <w:r w:rsidR="007A44E3" w:rsidRPr="007A44E3">
        <w:rPr>
          <w:lang w:val="de-DE"/>
        </w:rPr>
        <w:t xml:space="preserve"> </w:t>
      </w:r>
      <w:r w:rsidR="007A44E3">
        <w:rPr>
          <w:lang w:val="de-DE"/>
        </w:rPr>
        <w:t>Am 16. März fand eine Informationsveranstaltung</w:t>
      </w:r>
      <w:r w:rsidR="007A44E3" w:rsidRPr="00980FAD">
        <w:rPr>
          <w:lang w:val="de-DE"/>
        </w:rPr>
        <w:t xml:space="preserve"> </w:t>
      </w:r>
      <w:r w:rsidR="007A44E3">
        <w:rPr>
          <w:lang w:val="de-DE"/>
        </w:rPr>
        <w:t>in</w:t>
      </w:r>
      <w:r w:rsidR="00471564">
        <w:rPr>
          <w:lang w:val="de-DE"/>
        </w:rPr>
        <w:t xml:space="preserve"> Steinhagen</w:t>
      </w:r>
      <w:r w:rsidR="007A44E3">
        <w:rPr>
          <w:lang w:val="de-DE"/>
        </w:rPr>
        <w:t xml:space="preserve"> </w:t>
      </w:r>
      <w:r w:rsidR="0015186B">
        <w:rPr>
          <w:lang w:val="de-DE"/>
        </w:rPr>
        <w:t xml:space="preserve">bei Hörmann </w:t>
      </w:r>
      <w:r w:rsidR="007A44E3">
        <w:rPr>
          <w:lang w:val="de-DE"/>
        </w:rPr>
        <w:t>statt, um weitere interessierte Hersteller zu gewinnen.</w:t>
      </w:r>
    </w:p>
    <w:p w:rsidR="007A44E3" w:rsidRDefault="007A44E3" w:rsidP="007A44E3">
      <w:pPr>
        <w:rPr>
          <w:lang w:val="de-DE"/>
        </w:rPr>
      </w:pPr>
    </w:p>
    <w:p w:rsidR="00FD7353" w:rsidRDefault="00671D52" w:rsidP="00671D52">
      <w:pPr>
        <w:rPr>
          <w:lang w:val="de-DE"/>
        </w:rPr>
      </w:pPr>
      <w:r>
        <w:rPr>
          <w:lang w:val="de-DE"/>
        </w:rPr>
        <w:t xml:space="preserve">  </w:t>
      </w:r>
      <w:r w:rsidR="0071011C" w:rsidRPr="0071011C">
        <w:rPr>
          <w:lang w:val="de-DE"/>
        </w:rPr>
        <w:t xml:space="preserve">  </w:t>
      </w:r>
      <w:r w:rsidR="002C106F" w:rsidRPr="002C106F">
        <w:rPr>
          <w:lang w:val="de-DE"/>
        </w:rPr>
        <w:t xml:space="preserve"> </w:t>
      </w:r>
      <w:r w:rsidR="000234B9" w:rsidRPr="000234B9">
        <w:rPr>
          <w:lang w:val="de-DE"/>
        </w:rPr>
        <w:t xml:space="preserve"> </w:t>
      </w:r>
      <w:r w:rsidR="00CF4C85">
        <w:rPr>
          <w:lang w:val="de-DE"/>
        </w:rPr>
        <w:t xml:space="preserve"> </w:t>
      </w:r>
    </w:p>
    <w:p w:rsidR="000144BF" w:rsidRDefault="007A44E3" w:rsidP="007A44E3">
      <w:pPr>
        <w:rPr>
          <w:lang w:val="de-DE"/>
        </w:rPr>
      </w:pPr>
      <w:r>
        <w:rPr>
          <w:lang w:val="de-DE"/>
        </w:rPr>
        <w:t>Hinter der Herstellerinitiative steht die Erkenntnis, dass nur gemeinsam die digitalen Chancen und Herausforderungen besser erschlossen werden können. So geht es</w:t>
      </w:r>
      <w:r w:rsidRPr="007A44E3">
        <w:rPr>
          <w:lang w:val="de-DE"/>
        </w:rPr>
        <w:t xml:space="preserve"> um einen ganzheitlichen Ansatz, nicht nur um einzelne Produkte</w:t>
      </w:r>
      <w:r>
        <w:rPr>
          <w:lang w:val="de-DE"/>
        </w:rPr>
        <w:t xml:space="preserve">. Die Herstellerinitiative, die Teil des Bundesverbandes Bausysteme e.V. ist, </w:t>
      </w:r>
      <w:r w:rsidR="00F50924">
        <w:rPr>
          <w:lang w:val="de-DE"/>
        </w:rPr>
        <w:t xml:space="preserve">möchte </w:t>
      </w:r>
      <w:r w:rsidRPr="007A44E3">
        <w:rPr>
          <w:lang w:val="de-DE"/>
        </w:rPr>
        <w:t>praxiskonforme</w:t>
      </w:r>
      <w:r w:rsidR="00F50924">
        <w:rPr>
          <w:lang w:val="de-DE"/>
        </w:rPr>
        <w:t xml:space="preserve"> </w:t>
      </w:r>
      <w:r w:rsidRPr="007A44E3">
        <w:rPr>
          <w:lang w:val="de-DE"/>
        </w:rPr>
        <w:t>digitale Produktdaten und Services</w:t>
      </w:r>
      <w:r w:rsidR="00F50924">
        <w:rPr>
          <w:lang w:val="de-DE"/>
        </w:rPr>
        <w:t xml:space="preserve"> gestalten, </w:t>
      </w:r>
      <w:r w:rsidRPr="007A44E3">
        <w:rPr>
          <w:lang w:val="de-DE"/>
        </w:rPr>
        <w:t>Informationen</w:t>
      </w:r>
      <w:r w:rsidR="00F50924">
        <w:rPr>
          <w:lang w:val="de-DE"/>
        </w:rPr>
        <w:t xml:space="preserve"> </w:t>
      </w:r>
      <w:r w:rsidRPr="007A44E3">
        <w:rPr>
          <w:lang w:val="de-DE"/>
        </w:rPr>
        <w:t>und Erfahrungen</w:t>
      </w:r>
      <w:r w:rsidR="00F50924">
        <w:rPr>
          <w:lang w:val="de-DE"/>
        </w:rPr>
        <w:t xml:space="preserve"> untereinander austauschen, </w:t>
      </w:r>
      <w:r w:rsidRPr="007A44E3">
        <w:rPr>
          <w:lang w:val="de-DE"/>
        </w:rPr>
        <w:t>Hersteller</w:t>
      </w:r>
      <w:r w:rsidR="00F50924">
        <w:rPr>
          <w:lang w:val="de-DE"/>
        </w:rPr>
        <w:t xml:space="preserve"> und </w:t>
      </w:r>
      <w:r w:rsidRPr="007A44E3">
        <w:rPr>
          <w:lang w:val="de-DE"/>
        </w:rPr>
        <w:t>Kunden</w:t>
      </w:r>
      <w:r w:rsidR="00F50924">
        <w:rPr>
          <w:lang w:val="de-DE"/>
        </w:rPr>
        <w:t xml:space="preserve"> vernetzen und </w:t>
      </w:r>
      <w:r w:rsidRPr="007A44E3">
        <w:rPr>
          <w:lang w:val="de-DE"/>
        </w:rPr>
        <w:t>digitale</w:t>
      </w:r>
      <w:r w:rsidR="00F50924">
        <w:rPr>
          <w:lang w:val="de-DE"/>
        </w:rPr>
        <w:t xml:space="preserve"> </w:t>
      </w:r>
      <w:r w:rsidRPr="007A44E3">
        <w:rPr>
          <w:lang w:val="de-DE"/>
        </w:rPr>
        <w:t>Wertschöpfungsketten</w:t>
      </w:r>
      <w:r w:rsidR="00F50924">
        <w:rPr>
          <w:lang w:val="de-DE"/>
        </w:rPr>
        <w:t xml:space="preserve"> erweitern. So hat man das Ziel, </w:t>
      </w:r>
      <w:r w:rsidR="00F50924" w:rsidRPr="00F50924">
        <w:rPr>
          <w:lang w:val="de-DE"/>
        </w:rPr>
        <w:t>die Entwicklung von den meist noch klassischen, noch nicht durchgängig digital unterstützten Abläufen hin zu einer durchgängigen Methode BIM mit großem Erfolg mitzugestalten. Um dies zu erreichen, müssen reale Produkt-Planungsdaten erstellt und anwendergerecht verfügbar gemacht werden. Dabei müssen die Vorteile ihrer Verwendung herausgearbeitet werden, so dass die Anwender der Planungsdaten diese gut verstehen und nutzen können.</w:t>
      </w:r>
      <w:r w:rsidR="00F50924">
        <w:rPr>
          <w:lang w:val="de-DE"/>
        </w:rPr>
        <w:t xml:space="preserve"> </w:t>
      </w:r>
      <w:r w:rsidR="00F50924" w:rsidRPr="00F50924">
        <w:rPr>
          <w:lang w:val="de-DE"/>
        </w:rPr>
        <w:t>Zwischen den beteiligten Akteuren in Planung, Bauen und Betrieb, aber auch zwischen den verschiedenen Gewerken, müssen klare Arbeitsweisen und Regeln etabliert werden, wie Produktinformationen genutzt werden sollen</w:t>
      </w:r>
      <w:r w:rsidR="000144BF">
        <w:rPr>
          <w:lang w:val="de-DE"/>
        </w:rPr>
        <w:t>.</w:t>
      </w:r>
    </w:p>
    <w:p w:rsidR="000144BF" w:rsidRDefault="000144BF" w:rsidP="007A44E3">
      <w:pPr>
        <w:rPr>
          <w:lang w:val="de-DE"/>
        </w:rPr>
      </w:pPr>
    </w:p>
    <w:p w:rsidR="000144BF" w:rsidRDefault="000144BF" w:rsidP="007A44E3">
      <w:pPr>
        <w:rPr>
          <w:lang w:val="de-DE"/>
        </w:rPr>
      </w:pPr>
      <w:r w:rsidRPr="000144BF">
        <w:rPr>
          <w:lang w:val="de-DE"/>
        </w:rPr>
        <w:t>Übergeordnetes Ziel der Herstellerinitiative „Bauprodukte Digital“ ist es, dem jeweils Verantwortlichen einen optimalen Umgang mit den Bauprodukten während Planung, Ausführung und Bewirtschaftung zu ermöglichen. Alle Teilnehmer stellen sich den Herausforderungen der Digitalisierung und blicken gemeinsam in die Richtung einheitlicher Produktdaten, einfacher Zugänglichkeit und praxisnaher Gestaltung. Mit dem Label „</w:t>
      </w:r>
      <w:proofErr w:type="spellStart"/>
      <w:r w:rsidR="00D05A4F">
        <w:rPr>
          <w:lang w:val="de-DE"/>
        </w:rPr>
        <w:t>p</w:t>
      </w:r>
      <w:r w:rsidRPr="000144BF">
        <w:rPr>
          <w:lang w:val="de-DE"/>
        </w:rPr>
        <w:t>roductsforbim</w:t>
      </w:r>
      <w:proofErr w:type="spellEnd"/>
      <w:r w:rsidRPr="000144BF">
        <w:rPr>
          <w:lang w:val="de-DE"/>
        </w:rPr>
        <w:t xml:space="preserve">“ steht die neue Initiative konsequent für die Nutzung der Methode BIM, im konkreten Bezug zu den realen Produkten. Mit den gemeinsamen Erfahrungen soll auch viel zukünftiges Neuland von BIM </w:t>
      </w:r>
      <w:r w:rsidRPr="000144BF">
        <w:rPr>
          <w:lang w:val="de-DE"/>
        </w:rPr>
        <w:lastRenderedPageBreak/>
        <w:t>erkundet und die aktive Mitarbeit an der erfolgreichen Entwicklung von BIM mit den Produktdaten der Hersteller gefördert werden.</w:t>
      </w:r>
    </w:p>
    <w:p w:rsidR="007A44E3" w:rsidRDefault="007A44E3" w:rsidP="00CF4C85">
      <w:pPr>
        <w:rPr>
          <w:lang w:val="de-DE"/>
        </w:rPr>
      </w:pPr>
    </w:p>
    <w:p w:rsidR="00CF4C85" w:rsidRDefault="00F50924" w:rsidP="00CF4C85">
      <w:pPr>
        <w:rPr>
          <w:lang w:val="de-DE"/>
        </w:rPr>
      </w:pPr>
      <w:r>
        <w:rPr>
          <w:lang w:val="de-DE"/>
        </w:rPr>
        <w:t>Bei der Informationsveranstaltung</w:t>
      </w:r>
      <w:r w:rsidRPr="00980FAD">
        <w:rPr>
          <w:lang w:val="de-DE"/>
        </w:rPr>
        <w:t xml:space="preserve"> </w:t>
      </w:r>
      <w:r>
        <w:rPr>
          <w:lang w:val="de-DE"/>
        </w:rPr>
        <w:t>a</w:t>
      </w:r>
      <w:r w:rsidR="00671D52">
        <w:rPr>
          <w:lang w:val="de-DE"/>
        </w:rPr>
        <w:t xml:space="preserve">m 16. März </w:t>
      </w:r>
      <w:r>
        <w:rPr>
          <w:lang w:val="de-DE"/>
        </w:rPr>
        <w:t xml:space="preserve">stellte sich </w:t>
      </w:r>
      <w:r w:rsidR="00671D52">
        <w:rPr>
          <w:lang w:val="de-DE"/>
        </w:rPr>
        <w:t xml:space="preserve">die Herstellerinitiative </w:t>
      </w:r>
      <w:r>
        <w:rPr>
          <w:lang w:val="de-DE"/>
        </w:rPr>
        <w:t xml:space="preserve">mit ihren Zielen und Projekten interessierten Unternehmen vor. </w:t>
      </w:r>
      <w:r w:rsidR="00F617AC">
        <w:rPr>
          <w:lang w:val="de-DE"/>
        </w:rPr>
        <w:t xml:space="preserve">Thema waren auch die Vorteile der </w:t>
      </w:r>
      <w:r w:rsidR="00F617AC" w:rsidRPr="00F617AC">
        <w:rPr>
          <w:lang w:val="de-DE"/>
        </w:rPr>
        <w:t>Mitgliedschaft im Bundesverband Bausysteme</w:t>
      </w:r>
      <w:r w:rsidR="00F617AC">
        <w:rPr>
          <w:lang w:val="de-DE"/>
        </w:rPr>
        <w:t xml:space="preserve">. </w:t>
      </w:r>
      <w:r w:rsidR="00980FAD" w:rsidRPr="00980FAD">
        <w:rPr>
          <w:lang w:val="de-DE"/>
        </w:rPr>
        <w:t xml:space="preserve"> </w:t>
      </w:r>
    </w:p>
    <w:p w:rsidR="002C106F" w:rsidRDefault="002C106F" w:rsidP="000234B9">
      <w:pPr>
        <w:rPr>
          <w:lang w:val="de-DE"/>
        </w:rPr>
      </w:pPr>
    </w:p>
    <w:p w:rsidR="00671D52" w:rsidRDefault="00671D52" w:rsidP="000234B9">
      <w:pPr>
        <w:rPr>
          <w:lang w:val="de-DE"/>
        </w:rPr>
      </w:pPr>
    </w:p>
    <w:p w:rsidR="00671D52" w:rsidRDefault="00671D52" w:rsidP="002C106F">
      <w:pPr>
        <w:rPr>
          <w:lang w:val="de-DE"/>
        </w:rPr>
      </w:pPr>
    </w:p>
    <w:p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rsidR="00566625" w:rsidRDefault="002E3238" w:rsidP="00566625">
      <w:pPr>
        <w:rPr>
          <w:lang w:val="de-DE"/>
        </w:rPr>
      </w:pPr>
      <w:r w:rsidRPr="002E3238">
        <w:rPr>
          <w:lang w:val="de-DE"/>
        </w:rPr>
        <w:tab/>
      </w:r>
      <w:r w:rsidR="00E8419C">
        <w:rPr>
          <w:lang w:val="de-DE"/>
        </w:rPr>
        <w:t>Presse- und Öffentlichkeitsarbeit</w:t>
      </w:r>
    </w:p>
    <w:p w:rsidR="00FD7353" w:rsidRDefault="00BF2E59" w:rsidP="00566625">
      <w:pPr>
        <w:rPr>
          <w:lang w:val="de-DE"/>
        </w:rPr>
      </w:pPr>
      <w:r w:rsidRPr="00BF2E59">
        <w:rPr>
          <w:lang w:val="de-DE"/>
        </w:rPr>
        <w:t xml:space="preserve"> </w:t>
      </w:r>
      <w:r>
        <w:rPr>
          <w:lang w:val="de-DE"/>
        </w:rPr>
        <w:tab/>
      </w:r>
      <w:proofErr w:type="spellStart"/>
      <w:r w:rsidRPr="00BF2E59">
        <w:rPr>
          <w:lang w:val="de-DE"/>
        </w:rPr>
        <w:t>Albertistraße</w:t>
      </w:r>
      <w:proofErr w:type="spellEnd"/>
      <w:r w:rsidRPr="00BF2E59">
        <w:rPr>
          <w:lang w:val="de-DE"/>
        </w:rPr>
        <w:t xml:space="preserve"> 3</w:t>
      </w:r>
    </w:p>
    <w:p w:rsidR="00BF2E59" w:rsidRPr="002E3238" w:rsidRDefault="00BF2E59" w:rsidP="00566625">
      <w:pPr>
        <w:rPr>
          <w:lang w:val="de-DE"/>
        </w:rPr>
      </w:pPr>
      <w:r>
        <w:rPr>
          <w:lang w:val="de-DE"/>
        </w:rPr>
        <w:tab/>
        <w:t>78056 Villingen-Schwenningen</w:t>
      </w:r>
    </w:p>
    <w:p w:rsidR="00E8419C" w:rsidRDefault="00566625" w:rsidP="00566625">
      <w:pPr>
        <w:rPr>
          <w:lang w:val="de-DE"/>
        </w:rPr>
      </w:pPr>
      <w:r w:rsidRPr="002E3238">
        <w:rPr>
          <w:lang w:val="de-DE"/>
        </w:rPr>
        <w:tab/>
      </w:r>
      <w:r w:rsidR="00E8419C">
        <w:rPr>
          <w:lang w:val="de-DE"/>
        </w:rPr>
        <w:t>T: +49 6103 9907 455</w:t>
      </w:r>
    </w:p>
    <w:p w:rsidR="00566625" w:rsidRDefault="00566625" w:rsidP="00566625">
      <w:pPr>
        <w:rPr>
          <w:lang w:val="de-DE"/>
        </w:rPr>
      </w:pPr>
      <w:r w:rsidRPr="00FE31BA">
        <w:rPr>
          <w:lang w:val="de-DE"/>
        </w:rPr>
        <w:tab/>
      </w:r>
      <w:hyperlink r:id="rId9" w:history="1">
        <w:r w:rsidR="00BF2E59" w:rsidRPr="009562D9">
          <w:rPr>
            <w:rStyle w:val="Hyperlink"/>
            <w:lang w:val="de-DE"/>
          </w:rPr>
          <w:t>petra.eisenbeis-trinkle@dormakaba.com</w:t>
        </w:r>
      </w:hyperlink>
    </w:p>
    <w:p w:rsidR="00BF2E59" w:rsidRPr="002E3238" w:rsidRDefault="00BF2E59" w:rsidP="00566625">
      <w:pPr>
        <w:rPr>
          <w:lang w:val="de-DE"/>
        </w:rPr>
      </w:pPr>
      <w:r>
        <w:rPr>
          <w:lang w:val="de-DE"/>
        </w:rPr>
        <w:tab/>
        <w:t>www.dormakaba.de</w:t>
      </w:r>
    </w:p>
    <w:p w:rsidR="00566625" w:rsidRPr="002E3238" w:rsidRDefault="00566625" w:rsidP="00566625">
      <w:pPr>
        <w:rPr>
          <w:lang w:val="de-DE"/>
        </w:rPr>
      </w:pPr>
    </w:p>
    <w:p w:rsidR="000144BF" w:rsidRDefault="000144BF" w:rsidP="002E3238">
      <w:pPr>
        <w:rPr>
          <w:rFonts w:ascii="Arial" w:hAnsi="Arial" w:cs="Arial"/>
          <w:lang w:val="de-CH"/>
        </w:rPr>
      </w:pPr>
    </w:p>
    <w:p w:rsidR="002E3238" w:rsidRDefault="00FD7353" w:rsidP="002E3238">
      <w:pPr>
        <w:rPr>
          <w:rFonts w:ascii="Arial" w:hAnsi="Arial" w:cs="Arial"/>
          <w:lang w:val="de-CH"/>
        </w:rPr>
      </w:pPr>
      <w:r w:rsidRPr="00FD7353">
        <w:rPr>
          <w:rFonts w:ascii="Arial" w:hAnsi="Arial" w:cs="Arial"/>
          <w:lang w:val="de-CH"/>
        </w:rPr>
        <w:t xml:space="preserve">Die </w:t>
      </w:r>
      <w:proofErr w:type="spellStart"/>
      <w:r w:rsidRPr="00FD7353">
        <w:rPr>
          <w:rFonts w:ascii="Arial" w:hAnsi="Arial" w:cs="Arial"/>
          <w:lang w:val="de-CH"/>
        </w:rPr>
        <w:t>dormakaba</w:t>
      </w:r>
      <w:proofErr w:type="spellEnd"/>
      <w:r w:rsidRPr="00FD7353">
        <w:rPr>
          <w:rFonts w:ascii="Arial" w:hAnsi="Arial" w:cs="Arial"/>
          <w:lang w:val="de-CH"/>
        </w:rPr>
        <w:t xml:space="preserve"> Gruppe ist einer der Top-3-Anbieter im globalen Markt für Zutritts- und Sicherheitslösungen. Mit starken Marken wie Dorma und Kaba im Portfolio bietet das Unternehmen Produkte, Lösungen und Services rund um die Türe und sicheren Zutritt zu Gebäuden und Räumen aus einer Hand. </w:t>
      </w:r>
      <w:proofErr w:type="spellStart"/>
      <w:r w:rsidRPr="00FD7353">
        <w:rPr>
          <w:rFonts w:ascii="Arial" w:hAnsi="Arial" w:cs="Arial"/>
          <w:lang w:val="de-CH"/>
        </w:rPr>
        <w:t>dormakaba</w:t>
      </w:r>
      <w:proofErr w:type="spellEnd"/>
      <w:r w:rsidRPr="00FD7353">
        <w:rPr>
          <w:rFonts w:ascii="Arial" w:hAnsi="Arial" w:cs="Arial"/>
          <w:lang w:val="de-CH"/>
        </w:rPr>
        <w:t xml:space="preserve"> ist mit eigenen Aktivitäten und zahlreichen Kooperationspartnern in über 130 Ländern weltweit vertreten. </w:t>
      </w:r>
      <w:r w:rsidR="00671D52">
        <w:rPr>
          <w:rFonts w:ascii="Arial" w:hAnsi="Arial" w:cs="Arial"/>
          <w:lang w:val="de-CH"/>
        </w:rPr>
        <w:t xml:space="preserve">Die </w:t>
      </w:r>
      <w:proofErr w:type="spellStart"/>
      <w:r w:rsidR="00671D52">
        <w:rPr>
          <w:rFonts w:ascii="Arial" w:hAnsi="Arial" w:cs="Arial"/>
          <w:lang w:val="de-CH"/>
        </w:rPr>
        <w:t>dorm</w:t>
      </w:r>
      <w:r w:rsidRPr="00FD7353">
        <w:rPr>
          <w:rFonts w:ascii="Arial" w:hAnsi="Arial" w:cs="Arial"/>
          <w:lang w:val="de-CH"/>
        </w:rPr>
        <w:t>akaba</w:t>
      </w:r>
      <w:proofErr w:type="spellEnd"/>
      <w:r w:rsidRPr="00FD7353">
        <w:rPr>
          <w:rFonts w:ascii="Arial" w:hAnsi="Arial" w:cs="Arial"/>
          <w:lang w:val="de-CH"/>
        </w:rPr>
        <w:t xml:space="preserve"> Gruppe ist an der SIX Swiss Exchange notiert, hat ihren Sitz in Rümlang (Zürich/Schweiz) und erwirtschaftete im Geschäftsjahr 201</w:t>
      </w:r>
      <w:r w:rsidR="00FB6A23">
        <w:rPr>
          <w:rFonts w:ascii="Arial" w:hAnsi="Arial" w:cs="Arial"/>
          <w:lang w:val="de-CH"/>
        </w:rPr>
        <w:t>6</w:t>
      </w:r>
      <w:r w:rsidRPr="00FD7353">
        <w:rPr>
          <w:rFonts w:ascii="Arial" w:hAnsi="Arial" w:cs="Arial"/>
          <w:lang w:val="de-CH"/>
        </w:rPr>
        <w:t>/201</w:t>
      </w:r>
      <w:r w:rsidR="00FB6A23">
        <w:rPr>
          <w:rFonts w:ascii="Arial" w:hAnsi="Arial" w:cs="Arial"/>
          <w:lang w:val="de-CH"/>
        </w:rPr>
        <w:t>7</w:t>
      </w:r>
      <w:r w:rsidRPr="00FD7353">
        <w:rPr>
          <w:rFonts w:ascii="Arial" w:hAnsi="Arial" w:cs="Arial"/>
          <w:lang w:val="de-CH"/>
        </w:rPr>
        <w:t xml:space="preserve"> mit knapp 16.000 Mitarbeitenden einen Umsatz von mehr als CHF 2,</w:t>
      </w:r>
      <w:r w:rsidR="00FB6A23">
        <w:rPr>
          <w:rFonts w:ascii="Arial" w:hAnsi="Arial" w:cs="Arial"/>
          <w:lang w:val="de-CH"/>
        </w:rPr>
        <w:t>5</w:t>
      </w:r>
      <w:r w:rsidRPr="00FD7353">
        <w:rPr>
          <w:rFonts w:ascii="Arial" w:hAnsi="Arial" w:cs="Arial"/>
          <w:lang w:val="de-CH"/>
        </w:rPr>
        <w:t xml:space="preserve"> Mrd. </w:t>
      </w:r>
    </w:p>
    <w:p w:rsidR="002E3238" w:rsidRDefault="002E3238" w:rsidP="002E3238">
      <w:pPr>
        <w:rPr>
          <w:rFonts w:ascii="Arial" w:hAnsi="Arial" w:cs="Arial"/>
          <w:lang w:val="de-CH"/>
        </w:rPr>
      </w:pPr>
    </w:p>
    <w:p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10"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D37ABC"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lastRenderedPageBreak/>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 xml:space="preserve">Sollten sich eines oder mehrere dieser Risiken, Ungewissheiten oder anderen Faktoren verwirklichen, oder sollte sich eine der </w:t>
      </w:r>
      <w:proofErr w:type="gramStart"/>
      <w:r w:rsidRPr="00FE31BA">
        <w:rPr>
          <w:rFonts w:ascii="Arial" w:hAnsi="Arial" w:cs="Arial"/>
          <w:sz w:val="15"/>
          <w:szCs w:val="15"/>
          <w:lang w:val="de-DE"/>
        </w:rPr>
        <w:t>zugrunde</w:t>
      </w:r>
      <w:r w:rsidR="00CB48A1">
        <w:rPr>
          <w:rFonts w:ascii="Arial" w:hAnsi="Arial" w:cs="Arial"/>
          <w:sz w:val="15"/>
          <w:szCs w:val="15"/>
          <w:lang w:val="de-DE"/>
        </w:rPr>
        <w:t xml:space="preserve"> </w:t>
      </w:r>
      <w:r w:rsidRPr="00FE31BA">
        <w:rPr>
          <w:rFonts w:ascii="Arial" w:hAnsi="Arial" w:cs="Arial"/>
          <w:sz w:val="15"/>
          <w:szCs w:val="15"/>
          <w:lang w:val="de-DE"/>
        </w:rPr>
        <w:t>liegenden</w:t>
      </w:r>
      <w:proofErr w:type="gramEnd"/>
      <w:r w:rsidRPr="00FE31BA">
        <w:rPr>
          <w:rFonts w:ascii="Arial" w:hAnsi="Arial" w:cs="Arial"/>
          <w:sz w:val="15"/>
          <w:szCs w:val="15"/>
          <w:lang w:val="de-DE"/>
        </w:rPr>
        <w:t xml:space="preserve">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11"/>
      <w:footerReference w:type="even"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925" w:rsidRDefault="006B0925" w:rsidP="00E207FD">
      <w:pPr>
        <w:spacing w:line="240" w:lineRule="auto"/>
      </w:pPr>
      <w:r>
        <w:separator/>
      </w:r>
    </w:p>
  </w:endnote>
  <w:endnote w:type="continuationSeparator" w:id="0">
    <w:p w:rsidR="006B0925" w:rsidRDefault="006B0925"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686" w:rsidRDefault="000B0686">
    <w:pPr>
      <w:pStyle w:val="Fuzeile"/>
    </w:pPr>
  </w:p>
  <w:p w:rsidR="002825EE" w:rsidRDefault="002825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p w:rsidR="002825EE" w:rsidRPr="00734318" w:rsidRDefault="002825EE">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925" w:rsidRDefault="006B0925" w:rsidP="00E207FD">
      <w:pPr>
        <w:spacing w:line="240" w:lineRule="auto"/>
      </w:pPr>
      <w:r>
        <w:separator/>
      </w:r>
    </w:p>
  </w:footnote>
  <w:footnote w:type="continuationSeparator" w:id="0">
    <w:p w:rsidR="006B0925" w:rsidRDefault="006B0925"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ECC" w:rsidRPr="0015186B"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DD5ECC" w:rsidTr="00FB5C11">
      <w:tc>
        <w:tcPr>
          <w:tcW w:w="3544" w:type="dxa"/>
        </w:tcPr>
        <w:p w:rsidR="00DD5ECC" w:rsidRDefault="00DD5ECC">
          <w:pPr>
            <w:pStyle w:val="Kopfzeile"/>
          </w:pPr>
        </w:p>
      </w:tc>
      <w:tc>
        <w:tcPr>
          <w:tcW w:w="1276" w:type="dxa"/>
        </w:tcPr>
        <w:p w:rsidR="00DD5ECC" w:rsidRDefault="00DD5ECC" w:rsidP="00773DE1">
          <w:pPr>
            <w:pStyle w:val="Kopfzeile"/>
            <w:jc w:val="right"/>
          </w:pPr>
        </w:p>
      </w:tc>
      <w:tc>
        <w:tcPr>
          <w:tcW w:w="1171" w:type="dxa"/>
        </w:tcPr>
        <w:p w:rsidR="00DD5ECC" w:rsidRDefault="00DD5ECC" w:rsidP="00773DE1">
          <w:pPr>
            <w:pStyle w:val="Kopfzeile"/>
            <w:jc w:val="right"/>
          </w:pPr>
        </w:p>
      </w:tc>
      <w:sdt>
        <w:sdtPr>
          <w:alias w:val="Logo"/>
          <w:tag w:val="Logo"/>
          <w:id w:val="771671263"/>
          <w:lock w:val="sdtLocked"/>
          <w:docPartList>
            <w:docPartGallery w:val="Custom AutoText"/>
            <w:docPartCategory w:val="Logo"/>
          </w:docPartList>
        </w:sdtPr>
        <w:sdtEndPr/>
        <w:sdtContent>
          <w:tc>
            <w:tcPr>
              <w:tcW w:w="3302" w:type="dxa"/>
            </w:tcPr>
            <w:p w:rsidR="00DD5ECC" w:rsidRDefault="00DD5ECC" w:rsidP="00C05C5B">
              <w:pPr>
                <w:pStyle w:val="Kopfzeile"/>
                <w:jc w:val="right"/>
              </w:pPr>
              <w:r>
                <w:rPr>
                  <w:noProof/>
                  <w:lang w:val="de-DE" w:eastAsia="de-DE"/>
                </w:rPr>
                <w:drawing>
                  <wp:inline distT="0" distB="0" distL="0" distR="0" wp14:anchorId="5B18A2FC" wp14:editId="5B318D1D">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r w:rsidR="002A6A36" w:rsidTr="00FB5C11">
      <w:tc>
        <w:tcPr>
          <w:tcW w:w="3544" w:type="dxa"/>
        </w:tcPr>
        <w:p w:rsidR="002A6A36" w:rsidRDefault="002A6A36">
          <w:pPr>
            <w:pStyle w:val="Kopfzeile"/>
          </w:pPr>
        </w:p>
      </w:tc>
      <w:tc>
        <w:tcPr>
          <w:tcW w:w="1276" w:type="dxa"/>
        </w:tcPr>
        <w:p w:rsidR="002A6A36" w:rsidRDefault="002A6A36" w:rsidP="00773DE1">
          <w:pPr>
            <w:pStyle w:val="Kopfzeile"/>
            <w:jc w:val="right"/>
          </w:pPr>
        </w:p>
      </w:tc>
      <w:tc>
        <w:tcPr>
          <w:tcW w:w="1171" w:type="dxa"/>
        </w:tcPr>
        <w:p w:rsidR="002A6A36" w:rsidRDefault="002A6A36" w:rsidP="00773DE1">
          <w:pPr>
            <w:pStyle w:val="Kopfzeile"/>
            <w:jc w:val="right"/>
          </w:pPr>
        </w:p>
      </w:tc>
      <w:sdt>
        <w:sdtPr>
          <w:alias w:val="Logo"/>
          <w:tag w:val="Logo"/>
          <w:id w:val="351841784"/>
          <w:lock w:val="sdtLocked"/>
          <w:docPartList>
            <w:docPartGallery w:val="Custom AutoText"/>
            <w:docPartCategory w:val="Logo"/>
          </w:docPartList>
        </w:sdtPr>
        <w:sdtEndPr/>
        <w:sdtContent>
          <w:tc>
            <w:tcPr>
              <w:tcW w:w="3302" w:type="dxa"/>
            </w:tcPr>
            <w:p w:rsidR="002A6A36" w:rsidRDefault="002A6A36" w:rsidP="00C05C5B">
              <w:pPr>
                <w:pStyle w:val="Kopfzeile"/>
                <w:jc w:val="right"/>
              </w:pPr>
            </w:p>
          </w:tc>
        </w:sdtContent>
      </w:sdt>
    </w:tr>
  </w:tbl>
  <w:p w:rsidR="00D05A4F" w:rsidRPr="000B0686" w:rsidRDefault="006B0925">
    <w:pPr>
      <w:pStyle w:val="Kopfzeile"/>
      <w:rPr>
        <w:sz w:val="22"/>
      </w:rPr>
    </w:pPr>
    <w:sdt>
      <w:sdtPr>
        <w:alias w:val="Logo"/>
        <w:tag w:val="Logo"/>
        <w:id w:val="-1054694477"/>
        <w:lock w:val="sdtLocked"/>
        <w:docPartList>
          <w:docPartGallery w:val="Custom AutoText"/>
          <w:docPartCategory w:val="Logo"/>
        </w:docPartList>
      </w:sdtPr>
      <w:sdtEndPr/>
      <w:sdtContent/>
    </w:sdt>
    <w:sdt>
      <w:sdtPr>
        <w:alias w:val="Logo"/>
        <w:tag w:val="Logo"/>
        <w:id w:val="1657792144"/>
        <w:lock w:val="sdtLocked"/>
        <w:docPartList>
          <w:docPartGallery w:val="Custom AutoText"/>
          <w:docPartCategory w:val="Logo"/>
        </w:docPartList>
      </w:sdtPr>
      <w:sdtEndPr/>
      <w:sdtContent/>
    </w:sdt>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D05A4F" w:rsidTr="00FB5C11">
      <w:tc>
        <w:tcPr>
          <w:tcW w:w="3544" w:type="dxa"/>
        </w:tcPr>
        <w:p w:rsidR="00D05A4F" w:rsidRDefault="00D05A4F">
          <w:pPr>
            <w:pStyle w:val="Kopfzeile"/>
          </w:pPr>
        </w:p>
      </w:tc>
      <w:tc>
        <w:tcPr>
          <w:tcW w:w="1276" w:type="dxa"/>
        </w:tcPr>
        <w:p w:rsidR="00D05A4F" w:rsidRDefault="00D05A4F" w:rsidP="00773DE1">
          <w:pPr>
            <w:pStyle w:val="Kopfzeile"/>
            <w:jc w:val="right"/>
          </w:pPr>
        </w:p>
      </w:tc>
      <w:tc>
        <w:tcPr>
          <w:tcW w:w="1171" w:type="dxa"/>
        </w:tcPr>
        <w:p w:rsidR="00D05A4F" w:rsidRDefault="00D05A4F" w:rsidP="00773DE1">
          <w:pPr>
            <w:pStyle w:val="Kopfzeile"/>
            <w:jc w:val="right"/>
          </w:pPr>
        </w:p>
      </w:tc>
      <w:sdt>
        <w:sdtPr>
          <w:alias w:val="Logo"/>
          <w:tag w:val="Logo"/>
          <w:id w:val="-2046129919"/>
          <w:lock w:val="sdtLocked"/>
          <w:showingPlcHdr/>
          <w:docPartList>
            <w:docPartGallery w:val="Custom AutoText"/>
            <w:docPartCategory w:val="Logo"/>
          </w:docPartList>
        </w:sdtPr>
        <w:sdtEndPr/>
        <w:sdtContent>
          <w:tc>
            <w:tcPr>
              <w:tcW w:w="3302" w:type="dxa"/>
            </w:tcPr>
            <w:p w:rsidR="00D05A4F" w:rsidRDefault="000B0686" w:rsidP="00C05C5B">
              <w:pPr>
                <w:pStyle w:val="Kopfzeile"/>
                <w:jc w:val="right"/>
              </w:pPr>
              <w:r>
                <w:t xml:space="preserve">     </w:t>
              </w:r>
            </w:p>
          </w:tc>
        </w:sdtContent>
      </w:sdt>
    </w:tr>
  </w:tbl>
  <w:sdt>
    <w:sdtPr>
      <w:alias w:val="Logo"/>
      <w:tag w:val="Logo"/>
      <w:id w:val="1320846412"/>
      <w:lock w:val="sdtLocked"/>
      <w:docPartList>
        <w:docPartGallery w:val="Custom AutoText"/>
        <w:docPartCategory w:val="Logo"/>
      </w:docPartList>
    </w:sdtPr>
    <w:sdtEndPr/>
    <w:sdtContent>
      <w:p w:rsidR="006C10BB" w:rsidRPr="006C10BB" w:rsidRDefault="006B0925">
        <w:pPr>
          <w:pStyle w:val="Kopfzeile"/>
          <w:rPr>
            <w:sz w:val="2"/>
            <w:szCs w:val="2"/>
          </w:rPr>
        </w:pPr>
      </w:p>
    </w:sdtContent>
  </w:sdt>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6C10BB" w:rsidTr="00FB5C11">
      <w:tc>
        <w:tcPr>
          <w:tcW w:w="3544" w:type="dxa"/>
        </w:tcPr>
        <w:p w:rsidR="006C10BB" w:rsidRDefault="006C10BB">
          <w:pPr>
            <w:pStyle w:val="Kopfzeile"/>
          </w:pPr>
        </w:p>
      </w:tc>
      <w:tc>
        <w:tcPr>
          <w:tcW w:w="1276" w:type="dxa"/>
        </w:tcPr>
        <w:p w:rsidR="006C10BB" w:rsidRDefault="006C10BB" w:rsidP="00773DE1">
          <w:pPr>
            <w:pStyle w:val="Kopfzeile"/>
            <w:jc w:val="right"/>
          </w:pPr>
        </w:p>
      </w:tc>
      <w:tc>
        <w:tcPr>
          <w:tcW w:w="1171" w:type="dxa"/>
        </w:tcPr>
        <w:p w:rsidR="006C10BB" w:rsidRDefault="006C10BB" w:rsidP="00773DE1">
          <w:pPr>
            <w:pStyle w:val="Kopfzeile"/>
            <w:jc w:val="right"/>
          </w:pPr>
        </w:p>
      </w:tc>
      <w:sdt>
        <w:sdtPr>
          <w:alias w:val="Logo"/>
          <w:tag w:val="Logo"/>
          <w:id w:val="-235942583"/>
          <w:lock w:val="sdtLocked"/>
          <w:showingPlcHdr/>
          <w:docPartList>
            <w:docPartGallery w:val="Custom AutoText"/>
            <w:docPartCategory w:val="Logo"/>
          </w:docPartList>
        </w:sdtPr>
        <w:sdtEndPr/>
        <w:sdtContent>
          <w:tc>
            <w:tcPr>
              <w:tcW w:w="3302" w:type="dxa"/>
            </w:tcPr>
            <w:p w:rsidR="006C10BB" w:rsidRDefault="0015186B" w:rsidP="00C05C5B">
              <w:pPr>
                <w:pStyle w:val="Kopfzeile"/>
                <w:jc w:val="right"/>
              </w:pPr>
              <w:r>
                <w:t xml:space="preserve">     </w:t>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057D6F" w:rsidRDefault="002E3238" w:rsidP="00773DE1">
    <w:pPr>
      <w:pStyle w:val="Headertextsmall"/>
      <w:rPr>
        <w:lang w:val="de-DE"/>
      </w:rPr>
    </w:pPr>
    <w:r w:rsidRPr="00057D6F">
      <w:rPr>
        <w:lang w:val="de-DE"/>
      </w:rPr>
      <w:t xml:space="preserve">Seite </w:t>
    </w:r>
    <w:r w:rsidR="00773DE1">
      <w:fldChar w:fldCharType="begin"/>
    </w:r>
    <w:r w:rsidR="00773DE1" w:rsidRPr="00057D6F">
      <w:rPr>
        <w:lang w:val="de-DE"/>
      </w:rPr>
      <w:instrText xml:space="preserve"> PAGE   \* MERGEFORMAT </w:instrText>
    </w:r>
    <w:r w:rsidR="00773DE1">
      <w:fldChar w:fldCharType="separate"/>
    </w:r>
    <w:r w:rsidR="00734318">
      <w:rPr>
        <w:noProof/>
        <w:lang w:val="de-DE"/>
      </w:rPr>
      <w:t>3</w:t>
    </w:r>
    <w:r w:rsidR="00773DE1">
      <w:fldChar w:fldCharType="end"/>
    </w:r>
    <w:r w:rsidR="00773DE1" w:rsidRPr="00057D6F">
      <w:rPr>
        <w:lang w:val="de-DE"/>
      </w:rPr>
      <w:t xml:space="preserve"> / </w:t>
    </w:r>
    <w:r w:rsidR="00AB7FF9">
      <w:fldChar w:fldCharType="begin"/>
    </w:r>
    <w:r w:rsidR="00AB7FF9" w:rsidRPr="00057D6F">
      <w:rPr>
        <w:lang w:val="de-DE"/>
      </w:rPr>
      <w:instrText xml:space="preserve"> NUMPAGES   \* MERGEFORMAT </w:instrText>
    </w:r>
    <w:r w:rsidR="00AB7FF9">
      <w:fldChar w:fldCharType="separate"/>
    </w:r>
    <w:r w:rsidR="00734318">
      <w:rPr>
        <w:noProof/>
        <w:lang w:val="de-DE"/>
      </w:rPr>
      <w:t>3</w:t>
    </w:r>
    <w:r w:rsidR="00AB7FF9">
      <w:rPr>
        <w:noProof/>
      </w:rPr>
      <w:fldChar w:fldCharType="end"/>
    </w:r>
  </w:p>
  <w:p w:rsidR="00684468" w:rsidRPr="00057D6F" w:rsidRDefault="00684468" w:rsidP="00684468">
    <w:pPr>
      <w:pStyle w:val="Headertextsmall"/>
      <w:rPr>
        <w:lang w:val="de-DE"/>
      </w:rPr>
    </w:pPr>
    <w:r>
      <w:rPr>
        <w:lang w:val="de-DE"/>
      </w:rPr>
      <w:t>Herstellerinitiative „Bauprodukte Digital“ 2018</w:t>
    </w:r>
  </w:p>
  <w:p w:rsidR="00980FAD" w:rsidRPr="00057D6F" w:rsidRDefault="00980FAD" w:rsidP="00980FAD">
    <w:pPr>
      <w:pStyle w:val="Kopfzeile"/>
      <w:rPr>
        <w:lang w:val="de-DE"/>
      </w:rPr>
    </w:pPr>
  </w:p>
  <w:p w:rsidR="000B3182" w:rsidRPr="00057D6F" w:rsidRDefault="000B3182" w:rsidP="000B3182">
    <w:pPr>
      <w:pStyle w:val="Headertextsmall"/>
      <w:rPr>
        <w:lang w:val="de-DE"/>
      </w:rPr>
    </w:pPr>
  </w:p>
  <w:p w:rsidR="000B3182" w:rsidRPr="00057D6F" w:rsidRDefault="000B3182" w:rsidP="000B3182">
    <w:pPr>
      <w:pStyle w:val="Kopfzeile"/>
      <w:rPr>
        <w:lang w:val="de-DE"/>
      </w:rPr>
    </w:pPr>
  </w:p>
  <w:p w:rsidR="00E86AA3" w:rsidRPr="00057D6F" w:rsidRDefault="00E86AA3" w:rsidP="00AD1730">
    <w:pPr>
      <w:pStyle w:val="Headertextsmall"/>
      <w:rPr>
        <w:lang w:val="de-DE"/>
      </w:rPr>
    </w:pPr>
  </w:p>
  <w:p w:rsidR="00E86AA3" w:rsidRPr="00057D6F" w:rsidRDefault="00E86AA3" w:rsidP="00562835">
    <w:pPr>
      <w:rPr>
        <w:lang w:val="de-DE"/>
      </w:rPr>
    </w:pPr>
  </w:p>
  <w:p w:rsidR="002825EE" w:rsidRDefault="002825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1"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rsidR="0032694F" w:rsidRDefault="0032694F" w:rsidP="0032694F">
    <w:pPr>
      <w:pStyle w:val="Kopfzeile"/>
    </w:pPr>
  </w:p>
  <w:p w:rsidR="0032694F" w:rsidRDefault="0032694F" w:rsidP="0032694F">
    <w:pPr>
      <w:pStyle w:val="Kopfzeile"/>
      <w:spacing w:after="400"/>
    </w:pPr>
  </w:p>
  <w:p w:rsidR="0032694F" w:rsidRPr="00057D6F" w:rsidRDefault="0032694F" w:rsidP="0032694F">
    <w:pPr>
      <w:pStyle w:val="Headertextsmall"/>
      <w:rPr>
        <w:lang w:val="de-DE"/>
      </w:rPr>
    </w:pPr>
    <w:r w:rsidRPr="00057D6F">
      <w:rPr>
        <w:lang w:val="de-DE"/>
      </w:rPr>
      <w:t xml:space="preserve">Seite </w:t>
    </w:r>
    <w:r>
      <w:fldChar w:fldCharType="begin"/>
    </w:r>
    <w:r w:rsidRPr="00057D6F">
      <w:rPr>
        <w:lang w:val="de-DE"/>
      </w:rPr>
      <w:instrText xml:space="preserve"> PAGE   \* MERGEFORMAT </w:instrText>
    </w:r>
    <w:r>
      <w:fldChar w:fldCharType="separate"/>
    </w:r>
    <w:r w:rsidR="00734318">
      <w:rPr>
        <w:noProof/>
        <w:lang w:val="de-DE"/>
      </w:rPr>
      <w:t>1</w:t>
    </w:r>
    <w:r>
      <w:fldChar w:fldCharType="end"/>
    </w:r>
    <w:r w:rsidRPr="00057D6F">
      <w:rPr>
        <w:lang w:val="de-DE"/>
      </w:rPr>
      <w:t xml:space="preserve"> / </w:t>
    </w:r>
    <w:r w:rsidR="00D33F94">
      <w:fldChar w:fldCharType="begin"/>
    </w:r>
    <w:r w:rsidR="00D33F94" w:rsidRPr="00057D6F">
      <w:rPr>
        <w:lang w:val="de-DE"/>
      </w:rPr>
      <w:instrText xml:space="preserve"> NUMPAGES   \* MERGEFORMAT </w:instrText>
    </w:r>
    <w:r w:rsidR="00D33F94">
      <w:fldChar w:fldCharType="separate"/>
    </w:r>
    <w:r w:rsidR="00734318">
      <w:rPr>
        <w:noProof/>
        <w:lang w:val="de-DE"/>
      </w:rPr>
      <w:t>3</w:t>
    </w:r>
    <w:r w:rsidR="00D33F94">
      <w:rPr>
        <w:noProof/>
      </w:rPr>
      <w:fldChar w:fldCharType="end"/>
    </w:r>
  </w:p>
  <w:p w:rsidR="0032694F" w:rsidRPr="00057D6F" w:rsidRDefault="00684468" w:rsidP="0032694F">
    <w:pPr>
      <w:pStyle w:val="Headertextsmall"/>
      <w:rPr>
        <w:lang w:val="de-DE"/>
      </w:rPr>
    </w:pPr>
    <w:r>
      <w:rPr>
        <w:lang w:val="de-DE"/>
      </w:rPr>
      <w:t>Herstellerinitiative „Bauprodukte Digital“</w:t>
    </w:r>
    <w:r w:rsidR="0071011C">
      <w:rPr>
        <w:lang w:val="de-DE"/>
      </w:rPr>
      <w:t xml:space="preserve"> 2018</w:t>
    </w:r>
  </w:p>
  <w:p w:rsidR="00E207FD" w:rsidRPr="00057D6F" w:rsidRDefault="00E207FD">
    <w:pPr>
      <w:pStyle w:val="Kopfzeile"/>
      <w:rPr>
        <w:lang w:val="de-DE"/>
      </w:rPr>
    </w:pPr>
  </w:p>
  <w:p w:rsidR="002825EE" w:rsidRDefault="002825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52f7e4e-de10-4b68-be2c-a6c232d8e7f9}"/>
  </w:docVars>
  <w:rsids>
    <w:rsidRoot w:val="006C10BB"/>
    <w:rsid w:val="000144BF"/>
    <w:rsid w:val="000234B9"/>
    <w:rsid w:val="00040684"/>
    <w:rsid w:val="000423C8"/>
    <w:rsid w:val="00042AD3"/>
    <w:rsid w:val="000500B7"/>
    <w:rsid w:val="00057D6F"/>
    <w:rsid w:val="000702F1"/>
    <w:rsid w:val="00081804"/>
    <w:rsid w:val="000906A6"/>
    <w:rsid w:val="0009212C"/>
    <w:rsid w:val="000974CF"/>
    <w:rsid w:val="000B0686"/>
    <w:rsid w:val="000B3182"/>
    <w:rsid w:val="00115749"/>
    <w:rsid w:val="001371C0"/>
    <w:rsid w:val="00145178"/>
    <w:rsid w:val="0015186B"/>
    <w:rsid w:val="0017519E"/>
    <w:rsid w:val="00180D2A"/>
    <w:rsid w:val="001A629E"/>
    <w:rsid w:val="001C2C5A"/>
    <w:rsid w:val="001C3459"/>
    <w:rsid w:val="001C726C"/>
    <w:rsid w:val="001D49C0"/>
    <w:rsid w:val="001E5265"/>
    <w:rsid w:val="00203773"/>
    <w:rsid w:val="00213AE2"/>
    <w:rsid w:val="00213F16"/>
    <w:rsid w:val="00215538"/>
    <w:rsid w:val="00266447"/>
    <w:rsid w:val="002825EE"/>
    <w:rsid w:val="002856C8"/>
    <w:rsid w:val="002935CE"/>
    <w:rsid w:val="002A5898"/>
    <w:rsid w:val="002A6A36"/>
    <w:rsid w:val="002C106F"/>
    <w:rsid w:val="002E2EA4"/>
    <w:rsid w:val="002E3238"/>
    <w:rsid w:val="00305A55"/>
    <w:rsid w:val="0031158E"/>
    <w:rsid w:val="00314716"/>
    <w:rsid w:val="0032694F"/>
    <w:rsid w:val="00336EA9"/>
    <w:rsid w:val="00383A9C"/>
    <w:rsid w:val="003E1B2C"/>
    <w:rsid w:val="003E3CB5"/>
    <w:rsid w:val="0045053B"/>
    <w:rsid w:val="004617D4"/>
    <w:rsid w:val="00471564"/>
    <w:rsid w:val="004732B5"/>
    <w:rsid w:val="00474BEB"/>
    <w:rsid w:val="004D27F4"/>
    <w:rsid w:val="004D60B9"/>
    <w:rsid w:val="004E0B79"/>
    <w:rsid w:val="004E6AAF"/>
    <w:rsid w:val="00503EF5"/>
    <w:rsid w:val="005107E7"/>
    <w:rsid w:val="00520226"/>
    <w:rsid w:val="005221A0"/>
    <w:rsid w:val="00527885"/>
    <w:rsid w:val="00562835"/>
    <w:rsid w:val="00563C89"/>
    <w:rsid w:val="00566625"/>
    <w:rsid w:val="005803D2"/>
    <w:rsid w:val="0058429A"/>
    <w:rsid w:val="00587560"/>
    <w:rsid w:val="005B7BD1"/>
    <w:rsid w:val="005E77D4"/>
    <w:rsid w:val="006505A0"/>
    <w:rsid w:val="006549CA"/>
    <w:rsid w:val="00657234"/>
    <w:rsid w:val="00671D52"/>
    <w:rsid w:val="00681E4B"/>
    <w:rsid w:val="0068214D"/>
    <w:rsid w:val="00684468"/>
    <w:rsid w:val="006B0925"/>
    <w:rsid w:val="006B2C55"/>
    <w:rsid w:val="006C10BB"/>
    <w:rsid w:val="006D0D1A"/>
    <w:rsid w:val="006E5691"/>
    <w:rsid w:val="00705198"/>
    <w:rsid w:val="0071011C"/>
    <w:rsid w:val="00734318"/>
    <w:rsid w:val="007451A6"/>
    <w:rsid w:val="00773DE1"/>
    <w:rsid w:val="007A3A23"/>
    <w:rsid w:val="007A412B"/>
    <w:rsid w:val="007A44E3"/>
    <w:rsid w:val="007C57C7"/>
    <w:rsid w:val="0080305B"/>
    <w:rsid w:val="00836148"/>
    <w:rsid w:val="008438FE"/>
    <w:rsid w:val="008704FA"/>
    <w:rsid w:val="008B1574"/>
    <w:rsid w:val="008B3AAC"/>
    <w:rsid w:val="008B5E25"/>
    <w:rsid w:val="008C0C65"/>
    <w:rsid w:val="008C62FC"/>
    <w:rsid w:val="008E274A"/>
    <w:rsid w:val="0092565A"/>
    <w:rsid w:val="00942C79"/>
    <w:rsid w:val="00980FAD"/>
    <w:rsid w:val="00982F6F"/>
    <w:rsid w:val="009C2705"/>
    <w:rsid w:val="009C2A33"/>
    <w:rsid w:val="009C5814"/>
    <w:rsid w:val="009E22FF"/>
    <w:rsid w:val="009E7472"/>
    <w:rsid w:val="00A110D5"/>
    <w:rsid w:val="00A85710"/>
    <w:rsid w:val="00A85C24"/>
    <w:rsid w:val="00A86145"/>
    <w:rsid w:val="00A936CB"/>
    <w:rsid w:val="00AB7FF9"/>
    <w:rsid w:val="00AD1730"/>
    <w:rsid w:val="00AF11F1"/>
    <w:rsid w:val="00B17FE1"/>
    <w:rsid w:val="00B2207C"/>
    <w:rsid w:val="00BC147F"/>
    <w:rsid w:val="00BF2E59"/>
    <w:rsid w:val="00BF640C"/>
    <w:rsid w:val="00C05C5B"/>
    <w:rsid w:val="00C30742"/>
    <w:rsid w:val="00C53EDA"/>
    <w:rsid w:val="00C95A95"/>
    <w:rsid w:val="00CB48A1"/>
    <w:rsid w:val="00CF4C85"/>
    <w:rsid w:val="00D041AB"/>
    <w:rsid w:val="00D05A4F"/>
    <w:rsid w:val="00D33F94"/>
    <w:rsid w:val="00D45A0B"/>
    <w:rsid w:val="00D527D6"/>
    <w:rsid w:val="00D621EA"/>
    <w:rsid w:val="00D657B2"/>
    <w:rsid w:val="00D733D0"/>
    <w:rsid w:val="00D83C2E"/>
    <w:rsid w:val="00DC33F3"/>
    <w:rsid w:val="00DD5ECC"/>
    <w:rsid w:val="00DE01F6"/>
    <w:rsid w:val="00DE1E32"/>
    <w:rsid w:val="00DE600E"/>
    <w:rsid w:val="00DF3B1B"/>
    <w:rsid w:val="00E07018"/>
    <w:rsid w:val="00E207FD"/>
    <w:rsid w:val="00E26C2A"/>
    <w:rsid w:val="00E52AF0"/>
    <w:rsid w:val="00E8419C"/>
    <w:rsid w:val="00E853EE"/>
    <w:rsid w:val="00E86AA3"/>
    <w:rsid w:val="00EE3523"/>
    <w:rsid w:val="00EF3498"/>
    <w:rsid w:val="00F17412"/>
    <w:rsid w:val="00F234CA"/>
    <w:rsid w:val="00F42F62"/>
    <w:rsid w:val="00F461DA"/>
    <w:rsid w:val="00F50924"/>
    <w:rsid w:val="00F51C98"/>
    <w:rsid w:val="00F52989"/>
    <w:rsid w:val="00F617AC"/>
    <w:rsid w:val="00F6509E"/>
    <w:rsid w:val="00F8559E"/>
    <w:rsid w:val="00FA2AA7"/>
    <w:rsid w:val="00FB5C11"/>
    <w:rsid w:val="00FB6A23"/>
    <w:rsid w:val="00FD01F4"/>
    <w:rsid w:val="00FD7353"/>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D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ormakaba.com" TargetMode="External"/><Relationship Id="rId4" Type="http://schemas.openxmlformats.org/officeDocument/2006/relationships/settings" Target="settings.xml"/><Relationship Id="rId9" Type="http://schemas.openxmlformats.org/officeDocument/2006/relationships/hyperlink" Target="mailto:petra.eisenbeis-trinkle@dormakab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Pressemeldungen\Pressemitteilung_Schlie&#223;technik%20Service-Funktion%20dormakaba.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D5AE-AD02-4D64-B573-535BD66A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Pressemitteilung_Schließtechnik Service-Funktion dormakaba</Template>
  <TotalTime>0</TotalTime>
  <Pages>3</Pages>
  <Words>971</Words>
  <Characters>6124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2018-03-21T12:53:00Z</dcterms:created>
  <dcterms:modified xsi:type="dcterms:W3CDTF">2018-03-21T12:53:00Z</dcterms:modified>
</cp:coreProperties>
</file>