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6456" w14:textId="093ABAE1" w:rsidR="00D93090" w:rsidRDefault="004A6570" w:rsidP="002753D8">
      <w:pPr>
        <w:pStyle w:val="Listenabsatz"/>
        <w:spacing w:line="276" w:lineRule="auto"/>
        <w:ind w:left="0"/>
        <w:rPr>
          <w:rFonts w:ascii="Arial" w:hAnsi="Arial" w:cs="Arial"/>
          <w:u w:val="single"/>
        </w:rPr>
      </w:pPr>
      <w:r w:rsidRPr="004A6570">
        <w:rPr>
          <w:rFonts w:ascii="Arial" w:hAnsi="Arial" w:cs="Arial"/>
          <w:u w:val="single"/>
        </w:rPr>
        <w:t>Kompetenzzentrum für hygienische Wand- und Deckensysteme in der Lebensmittelindustrie und Großküchentechnik entsteht</w:t>
      </w:r>
    </w:p>
    <w:p w14:paraId="308C7C88" w14:textId="77777777" w:rsidR="004A6570" w:rsidRDefault="004A6570" w:rsidP="002753D8">
      <w:pPr>
        <w:pStyle w:val="Listenabsatz"/>
        <w:spacing w:line="276" w:lineRule="auto"/>
        <w:ind w:left="0"/>
        <w:rPr>
          <w:rFonts w:ascii="Arial" w:hAnsi="Arial" w:cs="Arial"/>
          <w:u w:val="single"/>
        </w:rPr>
      </w:pPr>
    </w:p>
    <w:p w14:paraId="53F3333F" w14:textId="5AF4103F" w:rsidR="000B1B76" w:rsidRDefault="34CF89CD" w:rsidP="002753D8">
      <w:pPr>
        <w:pStyle w:val="Listenabsatz"/>
        <w:spacing w:line="276" w:lineRule="auto"/>
        <w:ind w:left="0"/>
        <w:rPr>
          <w:rFonts w:ascii="Arial" w:hAnsi="Arial" w:cs="Arial"/>
          <w:b/>
          <w:bCs/>
          <w:sz w:val="48"/>
          <w:szCs w:val="48"/>
        </w:rPr>
      </w:pPr>
      <w:r w:rsidRPr="230C6F43">
        <w:rPr>
          <w:rFonts w:ascii="Arial" w:hAnsi="Arial" w:cs="Arial"/>
          <w:b/>
          <w:bCs/>
          <w:sz w:val="48"/>
          <w:szCs w:val="48"/>
        </w:rPr>
        <w:t>LAMILUX Composites übernimmt ECP</w:t>
      </w:r>
    </w:p>
    <w:p w14:paraId="7ACCB10D" w14:textId="77777777" w:rsidR="00AB4307" w:rsidRDefault="00AB4307" w:rsidP="230C6F43">
      <w:pPr>
        <w:spacing w:line="360" w:lineRule="auto"/>
        <w:rPr>
          <w:rFonts w:ascii="Arial" w:eastAsia="Arial" w:hAnsi="Arial" w:cs="Arial"/>
          <w:b/>
          <w:bCs/>
        </w:rPr>
      </w:pPr>
    </w:p>
    <w:p w14:paraId="49C992DD" w14:textId="3FC77914" w:rsidR="004A6570" w:rsidRPr="004A6570" w:rsidRDefault="004A6570" w:rsidP="004A6570">
      <w:pPr>
        <w:spacing w:line="360" w:lineRule="auto"/>
        <w:jc w:val="both"/>
        <w:rPr>
          <w:rFonts w:ascii="Arial" w:eastAsia="Arial" w:hAnsi="Arial" w:cs="Arial"/>
          <w:b/>
          <w:bCs/>
        </w:rPr>
      </w:pPr>
      <w:r w:rsidRPr="004A6570">
        <w:rPr>
          <w:rFonts w:ascii="Arial" w:eastAsia="Arial" w:hAnsi="Arial" w:cs="Arial"/>
          <w:b/>
          <w:bCs/>
        </w:rPr>
        <w:t xml:space="preserve">Mit der Übernahme der ECP Gesellschaft für GFK-Systemlösungen mbH baut LAMILUX Composites sein Angebot für hygienische Industriebauten konsequent aus. Der Zusammenschluss zum 1. Juni 2026 vereint die Fachkompetenz von LAMILUX Composites bei glasfaserverstärkten Kunststoffen (GFK) mit der Systemkompetenz von ECP. Ergebnis ist ein integriertes Portfolio aus einer Hand – von der GFK-Oberfläche bis zum montagefertigen Wand- und Deckensystem – zugeschnitten auf die Anforderungen </w:t>
      </w:r>
      <w:r w:rsidR="002005FE">
        <w:rPr>
          <w:rFonts w:ascii="Arial" w:eastAsia="Arial" w:hAnsi="Arial" w:cs="Arial"/>
          <w:b/>
          <w:bCs/>
        </w:rPr>
        <w:t xml:space="preserve">vor allem </w:t>
      </w:r>
      <w:r w:rsidRPr="004A6570">
        <w:rPr>
          <w:rFonts w:ascii="Arial" w:eastAsia="Arial" w:hAnsi="Arial" w:cs="Arial"/>
          <w:b/>
          <w:bCs/>
        </w:rPr>
        <w:t>der Lebensmittelindustrie, von Großküchen und Gemeinschaftsverpflegung sowie von Kühl- und Tiefkühlbereichen und temperaturgeführten Logistikprozessen.</w:t>
      </w:r>
    </w:p>
    <w:p w14:paraId="2B62396A" w14:textId="06B87C86" w:rsidR="00F540E4" w:rsidRPr="00D72D94" w:rsidRDefault="00F540E4" w:rsidP="00D72D94">
      <w:pPr>
        <w:spacing w:line="360" w:lineRule="auto"/>
        <w:jc w:val="both"/>
        <w:rPr>
          <w:rFonts w:ascii="Arial" w:hAnsi="Arial" w:cs="Arial"/>
          <w:sz w:val="22"/>
          <w:szCs w:val="22"/>
        </w:rPr>
      </w:pPr>
      <w:r>
        <w:rPr>
          <w:rFonts w:ascii="Arial" w:hAnsi="Arial" w:cs="Arial"/>
          <w:sz w:val="22"/>
          <w:szCs w:val="22"/>
        </w:rPr>
        <w:t xml:space="preserve"> </w:t>
      </w:r>
    </w:p>
    <w:p w14:paraId="6A022753"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 xml:space="preserve">Die beiden Unternehmen verbindet bereits eine langjährige und vertrauensvolle Zusammenarbeit. Während LAMILUX seine Stärke in der Entwicklung und Produktion hochwertiger glasfaserverstärkter Kunststoffoberflächen (GFK) hat, bringt ECP seine ausgewiesene Expertise in der Weiterverarbeitung zu montagefertigen Wand- und Deckensystemen für hygienisch sensible Einsatzbereiche ein – insbesondere in der Lebensmittelverarbeitung, in Großküchen sowie in kühltechnischen Anwendungen. Durch die Übernahme führt LAMILUX diese komplementären Kompetenzen nun dauerhaft innerhalb </w:t>
      </w:r>
      <w:r w:rsidRPr="00155E60">
        <w:rPr>
          <w:rFonts w:ascii="Arial" w:hAnsi="Arial" w:cs="Arial"/>
          <w:sz w:val="22"/>
          <w:szCs w:val="22"/>
        </w:rPr>
        <w:lastRenderedPageBreak/>
        <w:t>der Unternehmensgruppe zusammen – als konsequente Weiterentwicklung einer gewachsenen Partnerschaft.</w:t>
      </w:r>
    </w:p>
    <w:p w14:paraId="6FAB7F07" w14:textId="77777777" w:rsidR="00155E60" w:rsidRDefault="00155E60" w:rsidP="00155E60">
      <w:pPr>
        <w:spacing w:line="360" w:lineRule="auto"/>
        <w:jc w:val="both"/>
        <w:rPr>
          <w:rFonts w:ascii="Arial" w:hAnsi="Arial" w:cs="Arial"/>
          <w:sz w:val="22"/>
          <w:szCs w:val="22"/>
        </w:rPr>
      </w:pPr>
      <w:r w:rsidRPr="00665AA3">
        <w:rPr>
          <w:rFonts w:ascii="Arial" w:hAnsi="Arial" w:cs="Arial"/>
          <w:sz w:val="22"/>
          <w:szCs w:val="22"/>
        </w:rPr>
        <w:t>„Mit ECP bündeln wir unsere Material-, Panel- und Systemkompetenz gezielt für hygienische Anwendungen in der Lebensmittelindustrie und angrenzenden Bereichen wie Großküchen und Kühltechnik. So können wir Anforderungen aus der Praxis ganzheitlich adressieren – von der Oberfläche bis zum kompletten Wand- und Deckensystem“, sagt Dr. Alexander Strunz, geschäftsführender Gesellschafter der LAMILUX Gruppe.</w:t>
      </w:r>
    </w:p>
    <w:p w14:paraId="54825EA6" w14:textId="77777777" w:rsidR="003F7897" w:rsidRPr="00155E60" w:rsidRDefault="003F7897" w:rsidP="00155E60">
      <w:pPr>
        <w:spacing w:line="360" w:lineRule="auto"/>
        <w:jc w:val="both"/>
        <w:rPr>
          <w:rFonts w:ascii="Arial" w:hAnsi="Arial" w:cs="Arial"/>
          <w:sz w:val="22"/>
          <w:szCs w:val="22"/>
        </w:rPr>
      </w:pPr>
    </w:p>
    <w:p w14:paraId="2135349E" w14:textId="77777777" w:rsidR="00155E60" w:rsidRPr="00155E60" w:rsidRDefault="00155E60" w:rsidP="00155E60">
      <w:pPr>
        <w:spacing w:line="360" w:lineRule="auto"/>
        <w:jc w:val="both"/>
        <w:rPr>
          <w:rFonts w:ascii="Arial" w:hAnsi="Arial" w:cs="Arial"/>
          <w:b/>
          <w:bCs/>
          <w:sz w:val="22"/>
          <w:szCs w:val="22"/>
        </w:rPr>
      </w:pPr>
      <w:r w:rsidRPr="00155E60">
        <w:rPr>
          <w:rFonts w:ascii="Arial" w:hAnsi="Arial" w:cs="Arial"/>
          <w:b/>
          <w:bCs/>
          <w:sz w:val="22"/>
          <w:szCs w:val="22"/>
        </w:rPr>
        <w:t>Praxisnutzen für Betreiber, Planer und Verarbeiter</w:t>
      </w:r>
    </w:p>
    <w:p w14:paraId="11305BA8" w14:textId="77777777" w:rsidR="00155E60" w:rsidRDefault="00155E60" w:rsidP="00155E60">
      <w:pPr>
        <w:spacing w:line="360" w:lineRule="auto"/>
        <w:jc w:val="both"/>
        <w:rPr>
          <w:rFonts w:ascii="Arial" w:hAnsi="Arial" w:cs="Arial"/>
          <w:sz w:val="22"/>
          <w:szCs w:val="22"/>
        </w:rPr>
      </w:pPr>
      <w:r w:rsidRPr="00155E60">
        <w:rPr>
          <w:rFonts w:ascii="Arial" w:hAnsi="Arial" w:cs="Arial"/>
          <w:sz w:val="22"/>
          <w:szCs w:val="22"/>
        </w:rPr>
        <w:t>Durch die enge Verzahnung von Werkstoff-Know-how, Systementwicklung und Anwendungserfahrung bietet LAMILUX Composites ein umfassendes Lösungsangebot. Die von ECP entwickelten GFK-Wand- und Deckensysteme sind konsequent auf höchste Hygieneanforderungen ausgelegt. Porenfreie, feuchtigkeitsunempfindliche und korrosionsfreie Oberflächen ermöglichen eine schnelle und gründliche Reinigung – auch bei häufigem Einsatz intensiver Reinigungs- und Desinfektionsmittel. Fugenarme Systemlösungen reduzieren Schmutz- und Keimnester dauerhaft und erfüllen gängige Hygienestandards, etwa nach HACCP.</w:t>
      </w:r>
    </w:p>
    <w:p w14:paraId="4FBF9F1C" w14:textId="77777777" w:rsidR="003F7897" w:rsidRPr="00155E60" w:rsidRDefault="003F7897" w:rsidP="00155E60">
      <w:pPr>
        <w:spacing w:line="360" w:lineRule="auto"/>
        <w:jc w:val="both"/>
        <w:rPr>
          <w:rFonts w:ascii="Arial" w:hAnsi="Arial" w:cs="Arial"/>
          <w:sz w:val="22"/>
          <w:szCs w:val="22"/>
        </w:rPr>
      </w:pPr>
    </w:p>
    <w:p w14:paraId="0738EFBC"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Das erweiterte Portfolio umfasst unter anderem:</w:t>
      </w:r>
    </w:p>
    <w:p w14:paraId="2E51BF83" w14:textId="77777777" w:rsidR="00155E60" w:rsidRPr="00155E60" w:rsidRDefault="00155E60" w:rsidP="00155E60">
      <w:pPr>
        <w:numPr>
          <w:ilvl w:val="0"/>
          <w:numId w:val="9"/>
        </w:numPr>
        <w:spacing w:line="360" w:lineRule="auto"/>
        <w:jc w:val="both"/>
        <w:rPr>
          <w:rFonts w:ascii="Arial" w:hAnsi="Arial" w:cs="Arial"/>
          <w:sz w:val="22"/>
          <w:szCs w:val="22"/>
        </w:rPr>
      </w:pPr>
      <w:r w:rsidRPr="00155E60">
        <w:rPr>
          <w:rFonts w:ascii="Arial" w:hAnsi="Arial" w:cs="Arial"/>
          <w:b/>
          <w:bCs/>
          <w:sz w:val="22"/>
          <w:szCs w:val="22"/>
        </w:rPr>
        <w:t>GFK-Sandwichelemente</w:t>
      </w:r>
      <w:r w:rsidRPr="00155E60">
        <w:rPr>
          <w:rFonts w:ascii="Arial" w:hAnsi="Arial" w:cs="Arial"/>
          <w:sz w:val="22"/>
          <w:szCs w:val="22"/>
        </w:rPr>
        <w:t xml:space="preserve"> mit leistungsfähigen Dämmkernen (z. B. PIR, EPS oder Mineralwolle) für Produktions-, Verarbeitungs- und </w:t>
      </w:r>
      <w:r w:rsidRPr="00155E60">
        <w:rPr>
          <w:rFonts w:ascii="Arial" w:hAnsi="Arial" w:cs="Arial"/>
          <w:b/>
          <w:bCs/>
          <w:sz w:val="22"/>
          <w:szCs w:val="22"/>
        </w:rPr>
        <w:t>Kühlbereiche in Lebensmittelbetrieben sowie Großküchen</w:t>
      </w:r>
      <w:r w:rsidRPr="00155E60">
        <w:rPr>
          <w:rFonts w:ascii="Arial" w:hAnsi="Arial" w:cs="Arial"/>
          <w:sz w:val="22"/>
          <w:szCs w:val="22"/>
        </w:rPr>
        <w:t>.</w:t>
      </w:r>
    </w:p>
    <w:p w14:paraId="112CD19F" w14:textId="77777777" w:rsidR="00155E60" w:rsidRPr="00155E60" w:rsidRDefault="00155E60" w:rsidP="00155E60">
      <w:pPr>
        <w:numPr>
          <w:ilvl w:val="0"/>
          <w:numId w:val="9"/>
        </w:numPr>
        <w:spacing w:line="360" w:lineRule="auto"/>
        <w:jc w:val="both"/>
        <w:rPr>
          <w:rFonts w:ascii="Arial" w:hAnsi="Arial" w:cs="Arial"/>
          <w:sz w:val="22"/>
          <w:szCs w:val="22"/>
        </w:rPr>
      </w:pPr>
      <w:r w:rsidRPr="00155E60">
        <w:rPr>
          <w:rFonts w:ascii="Arial" w:hAnsi="Arial" w:cs="Arial"/>
          <w:b/>
          <w:bCs/>
          <w:sz w:val="22"/>
          <w:szCs w:val="22"/>
        </w:rPr>
        <w:t>Dünne GFK-Sanierungselemente</w:t>
      </w:r>
      <w:r w:rsidRPr="00155E60">
        <w:rPr>
          <w:rFonts w:ascii="Arial" w:hAnsi="Arial" w:cs="Arial"/>
          <w:sz w:val="22"/>
          <w:szCs w:val="22"/>
        </w:rPr>
        <w:t xml:space="preserve"> zur schnellen hygienischen Modernisierung bestehender Wand- und Deckenflächen – häufig ohne Unterbrechung laufender Betriebsprozesse.</w:t>
      </w:r>
    </w:p>
    <w:p w14:paraId="7F7269BE" w14:textId="77777777" w:rsidR="00155E60" w:rsidRPr="00155E60" w:rsidRDefault="00155E60" w:rsidP="00155E60">
      <w:pPr>
        <w:numPr>
          <w:ilvl w:val="0"/>
          <w:numId w:val="9"/>
        </w:numPr>
        <w:spacing w:line="360" w:lineRule="auto"/>
        <w:jc w:val="both"/>
        <w:rPr>
          <w:rFonts w:ascii="Arial" w:hAnsi="Arial" w:cs="Arial"/>
          <w:sz w:val="22"/>
          <w:szCs w:val="22"/>
        </w:rPr>
      </w:pPr>
      <w:r w:rsidRPr="00155E60">
        <w:rPr>
          <w:rFonts w:ascii="Arial" w:hAnsi="Arial" w:cs="Arial"/>
          <w:b/>
          <w:bCs/>
          <w:sz w:val="22"/>
          <w:szCs w:val="22"/>
        </w:rPr>
        <w:t>Direktverklebte GFK-Platten</w:t>
      </w:r>
      <w:r w:rsidRPr="00155E60">
        <w:rPr>
          <w:rFonts w:ascii="Arial" w:hAnsi="Arial" w:cs="Arial"/>
          <w:sz w:val="22"/>
          <w:szCs w:val="22"/>
        </w:rPr>
        <w:t xml:space="preserve"> für platzsparende Nachrüstungen in Bestandsgebäuden.</w:t>
      </w:r>
    </w:p>
    <w:p w14:paraId="634FABF0" w14:textId="77777777" w:rsidR="00155E60" w:rsidRDefault="00155E60" w:rsidP="00155E60">
      <w:pPr>
        <w:numPr>
          <w:ilvl w:val="0"/>
          <w:numId w:val="9"/>
        </w:numPr>
        <w:spacing w:line="360" w:lineRule="auto"/>
        <w:jc w:val="both"/>
        <w:rPr>
          <w:rFonts w:ascii="Arial" w:hAnsi="Arial" w:cs="Arial"/>
          <w:sz w:val="22"/>
          <w:szCs w:val="22"/>
        </w:rPr>
      </w:pPr>
      <w:r w:rsidRPr="00155E60">
        <w:rPr>
          <w:rFonts w:ascii="Arial" w:hAnsi="Arial" w:cs="Arial"/>
          <w:b/>
          <w:bCs/>
          <w:sz w:val="22"/>
          <w:szCs w:val="22"/>
        </w:rPr>
        <w:lastRenderedPageBreak/>
        <w:t>Systemzubehör</w:t>
      </w:r>
      <w:r w:rsidRPr="00155E60">
        <w:rPr>
          <w:rFonts w:ascii="Arial" w:hAnsi="Arial" w:cs="Arial"/>
          <w:sz w:val="22"/>
          <w:szCs w:val="22"/>
        </w:rPr>
        <w:t xml:space="preserve"> wie harte, hygienische Fugen-, Eck- und Anschlusslösungen sowie mechanische Schutzsysteme für stark beanspruchte Zonen.</w:t>
      </w:r>
    </w:p>
    <w:p w14:paraId="693E0244" w14:textId="77777777" w:rsidR="00760BA8" w:rsidRPr="00155E60" w:rsidRDefault="00760BA8" w:rsidP="00760BA8">
      <w:pPr>
        <w:spacing w:line="360" w:lineRule="auto"/>
        <w:ind w:left="720"/>
        <w:jc w:val="both"/>
        <w:rPr>
          <w:rFonts w:ascii="Arial" w:hAnsi="Arial" w:cs="Arial"/>
          <w:sz w:val="22"/>
          <w:szCs w:val="22"/>
        </w:rPr>
      </w:pPr>
    </w:p>
    <w:p w14:paraId="0283F13B" w14:textId="77777777" w:rsidR="00155E60" w:rsidRDefault="00155E60" w:rsidP="00155E60">
      <w:pPr>
        <w:spacing w:line="360" w:lineRule="auto"/>
        <w:jc w:val="both"/>
        <w:rPr>
          <w:rFonts w:ascii="Arial" w:hAnsi="Arial" w:cs="Arial"/>
          <w:sz w:val="22"/>
          <w:szCs w:val="22"/>
        </w:rPr>
      </w:pPr>
      <w:r w:rsidRPr="00155E60">
        <w:rPr>
          <w:rFonts w:ascii="Arial" w:hAnsi="Arial" w:cs="Arial"/>
          <w:sz w:val="22"/>
          <w:szCs w:val="22"/>
        </w:rPr>
        <w:t>Für Betreiber bedeutet das: dauerhaft sichere Hygiene, hohe Betriebssicherheit sowie reduzierte Wartungs- und Stillstandskosten.</w:t>
      </w:r>
    </w:p>
    <w:p w14:paraId="49D4843D" w14:textId="77777777" w:rsidR="00760BA8" w:rsidRPr="00155E60" w:rsidRDefault="00760BA8" w:rsidP="00155E60">
      <w:pPr>
        <w:spacing w:line="360" w:lineRule="auto"/>
        <w:jc w:val="both"/>
        <w:rPr>
          <w:rFonts w:ascii="Arial" w:hAnsi="Arial" w:cs="Arial"/>
          <w:sz w:val="22"/>
          <w:szCs w:val="22"/>
        </w:rPr>
      </w:pPr>
    </w:p>
    <w:p w14:paraId="1ACA0C26" w14:textId="77777777" w:rsidR="00155E60" w:rsidRPr="00155E60" w:rsidRDefault="00155E60" w:rsidP="00155E60">
      <w:pPr>
        <w:spacing w:line="360" w:lineRule="auto"/>
        <w:jc w:val="both"/>
        <w:rPr>
          <w:rFonts w:ascii="Arial" w:hAnsi="Arial" w:cs="Arial"/>
          <w:b/>
          <w:bCs/>
          <w:sz w:val="22"/>
          <w:szCs w:val="22"/>
        </w:rPr>
      </w:pPr>
      <w:r w:rsidRPr="00155E60">
        <w:rPr>
          <w:rFonts w:ascii="Arial" w:hAnsi="Arial" w:cs="Arial"/>
          <w:b/>
          <w:bCs/>
          <w:sz w:val="22"/>
          <w:szCs w:val="22"/>
        </w:rPr>
        <w:t>Anwendungen entlang der Lebensmittelwertschöpfung</w:t>
      </w:r>
    </w:p>
    <w:p w14:paraId="5440CB9F"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Die gebündelten Lösungen kommen insbesondere zum Einsatz in:</w:t>
      </w:r>
    </w:p>
    <w:p w14:paraId="54D07DFC" w14:textId="6FBD7EE7" w:rsidR="00155E60" w:rsidRPr="008C50DE" w:rsidRDefault="00155E60" w:rsidP="008C50DE">
      <w:pPr>
        <w:numPr>
          <w:ilvl w:val="0"/>
          <w:numId w:val="10"/>
        </w:numPr>
        <w:spacing w:line="360" w:lineRule="auto"/>
        <w:jc w:val="both"/>
        <w:rPr>
          <w:rFonts w:ascii="Arial" w:hAnsi="Arial" w:cs="Arial"/>
          <w:sz w:val="22"/>
          <w:szCs w:val="22"/>
        </w:rPr>
      </w:pPr>
      <w:r w:rsidRPr="00155E60">
        <w:rPr>
          <w:rFonts w:ascii="Arial" w:hAnsi="Arial" w:cs="Arial"/>
          <w:b/>
          <w:bCs/>
          <w:sz w:val="22"/>
          <w:szCs w:val="22"/>
        </w:rPr>
        <w:t>Lebensmittelverarbeitung und -produktion</w:t>
      </w:r>
      <w:r w:rsidRPr="00155E60">
        <w:rPr>
          <w:rFonts w:ascii="Arial" w:hAnsi="Arial" w:cs="Arial"/>
          <w:sz w:val="22"/>
          <w:szCs w:val="22"/>
        </w:rPr>
        <w:t xml:space="preserve">: </w:t>
      </w:r>
      <w:r w:rsidR="008C50DE" w:rsidRPr="00605A08">
        <w:rPr>
          <w:rFonts w:ascii="Arial" w:hAnsi="Arial" w:cs="Arial"/>
          <w:sz w:val="22"/>
          <w:szCs w:val="22"/>
        </w:rPr>
        <w:t>Metzgereien</w:t>
      </w:r>
      <w:r w:rsidR="008C50DE">
        <w:rPr>
          <w:rFonts w:ascii="Arial" w:hAnsi="Arial" w:cs="Arial"/>
          <w:sz w:val="22"/>
          <w:szCs w:val="22"/>
        </w:rPr>
        <w:t xml:space="preserve">, </w:t>
      </w:r>
      <w:r w:rsidR="00605A08" w:rsidRPr="00605A08">
        <w:rPr>
          <w:rFonts w:ascii="Arial" w:hAnsi="Arial" w:cs="Arial"/>
          <w:sz w:val="22"/>
          <w:szCs w:val="22"/>
        </w:rPr>
        <w:t>Zerlegebetriebe,</w:t>
      </w:r>
      <w:r w:rsidR="008C50DE">
        <w:rPr>
          <w:rFonts w:ascii="Arial" w:hAnsi="Arial" w:cs="Arial"/>
          <w:sz w:val="22"/>
          <w:szCs w:val="22"/>
        </w:rPr>
        <w:t xml:space="preserve"> </w:t>
      </w:r>
      <w:r w:rsidR="008C50DE" w:rsidRPr="008C50DE">
        <w:rPr>
          <w:rFonts w:ascii="Arial" w:hAnsi="Arial" w:cs="Arial"/>
          <w:sz w:val="22"/>
          <w:szCs w:val="22"/>
        </w:rPr>
        <w:t>Schlachthöfe</w:t>
      </w:r>
      <w:r w:rsidR="008C50DE">
        <w:rPr>
          <w:rFonts w:ascii="Arial" w:hAnsi="Arial" w:cs="Arial"/>
          <w:sz w:val="22"/>
          <w:szCs w:val="22"/>
        </w:rPr>
        <w:t xml:space="preserve">, </w:t>
      </w:r>
      <w:r w:rsidR="00605A08" w:rsidRPr="00605A08">
        <w:rPr>
          <w:rFonts w:ascii="Arial" w:hAnsi="Arial" w:cs="Arial"/>
          <w:sz w:val="22"/>
          <w:szCs w:val="22"/>
        </w:rPr>
        <w:t>Fischverarbeitung</w:t>
      </w:r>
      <w:r w:rsidR="008C50DE">
        <w:rPr>
          <w:rFonts w:ascii="Arial" w:hAnsi="Arial" w:cs="Arial"/>
          <w:sz w:val="22"/>
          <w:szCs w:val="22"/>
        </w:rPr>
        <w:t xml:space="preserve">, </w:t>
      </w:r>
      <w:r w:rsidR="008C50DE" w:rsidRPr="00605A08">
        <w:rPr>
          <w:rFonts w:ascii="Arial" w:hAnsi="Arial" w:cs="Arial"/>
          <w:sz w:val="22"/>
          <w:szCs w:val="22"/>
        </w:rPr>
        <w:t>Käsereien</w:t>
      </w:r>
      <w:r w:rsidR="008C50DE">
        <w:rPr>
          <w:rFonts w:ascii="Arial" w:hAnsi="Arial" w:cs="Arial"/>
          <w:sz w:val="22"/>
          <w:szCs w:val="22"/>
        </w:rPr>
        <w:t>,</w:t>
      </w:r>
      <w:r w:rsidR="008C50DE" w:rsidRPr="008C50DE">
        <w:rPr>
          <w:rFonts w:ascii="Arial" w:hAnsi="Arial" w:cs="Arial"/>
          <w:sz w:val="22"/>
          <w:szCs w:val="22"/>
        </w:rPr>
        <w:t xml:space="preserve"> </w:t>
      </w:r>
      <w:r w:rsidRPr="008C50DE">
        <w:rPr>
          <w:rFonts w:ascii="Arial" w:hAnsi="Arial" w:cs="Arial"/>
          <w:sz w:val="22"/>
          <w:szCs w:val="22"/>
        </w:rPr>
        <w:t>Molkereien, Großbäckereien</w:t>
      </w:r>
      <w:r w:rsidR="003F1277">
        <w:rPr>
          <w:rFonts w:ascii="Arial" w:hAnsi="Arial" w:cs="Arial"/>
          <w:sz w:val="22"/>
          <w:szCs w:val="22"/>
        </w:rPr>
        <w:t xml:space="preserve"> und </w:t>
      </w:r>
      <w:r w:rsidRPr="008C50DE">
        <w:rPr>
          <w:rFonts w:ascii="Arial" w:hAnsi="Arial" w:cs="Arial"/>
          <w:sz w:val="22"/>
          <w:szCs w:val="22"/>
        </w:rPr>
        <w:t>Convenience-Food-Betriebe.</w:t>
      </w:r>
    </w:p>
    <w:p w14:paraId="5D7E039D" w14:textId="77777777" w:rsidR="00155E60" w:rsidRPr="00155E60" w:rsidRDefault="00155E60" w:rsidP="00155E60">
      <w:pPr>
        <w:numPr>
          <w:ilvl w:val="0"/>
          <w:numId w:val="10"/>
        </w:numPr>
        <w:spacing w:line="360" w:lineRule="auto"/>
        <w:jc w:val="both"/>
        <w:rPr>
          <w:rFonts w:ascii="Arial" w:hAnsi="Arial" w:cs="Arial"/>
          <w:sz w:val="22"/>
          <w:szCs w:val="22"/>
        </w:rPr>
      </w:pPr>
      <w:r w:rsidRPr="00155E60">
        <w:rPr>
          <w:rFonts w:ascii="Arial" w:hAnsi="Arial" w:cs="Arial"/>
          <w:b/>
          <w:bCs/>
          <w:sz w:val="22"/>
          <w:szCs w:val="22"/>
        </w:rPr>
        <w:t>Großküchen und Gemeinschaftsverpflegung</w:t>
      </w:r>
      <w:r w:rsidRPr="00155E60">
        <w:rPr>
          <w:rFonts w:ascii="Arial" w:hAnsi="Arial" w:cs="Arial"/>
          <w:sz w:val="22"/>
          <w:szCs w:val="22"/>
        </w:rPr>
        <w:t>: Betriebskantinen, Mensen, Catering- und Gastronomiebetriebe mit hohen Hygieneanforderungen.</w:t>
      </w:r>
    </w:p>
    <w:p w14:paraId="465D7A6C" w14:textId="77777777" w:rsidR="00155E60" w:rsidRPr="00155E60" w:rsidRDefault="00155E60" w:rsidP="00155E60">
      <w:pPr>
        <w:numPr>
          <w:ilvl w:val="0"/>
          <w:numId w:val="10"/>
        </w:numPr>
        <w:spacing w:line="360" w:lineRule="auto"/>
        <w:jc w:val="both"/>
        <w:rPr>
          <w:rFonts w:ascii="Arial" w:hAnsi="Arial" w:cs="Arial"/>
          <w:sz w:val="22"/>
          <w:szCs w:val="22"/>
        </w:rPr>
      </w:pPr>
      <w:r w:rsidRPr="00155E60">
        <w:rPr>
          <w:rFonts w:ascii="Arial" w:hAnsi="Arial" w:cs="Arial"/>
          <w:b/>
          <w:bCs/>
          <w:sz w:val="22"/>
          <w:szCs w:val="22"/>
        </w:rPr>
        <w:t>Kühl- und Tiefkühlbereiche sowie Kühltechnik</w:t>
      </w:r>
      <w:r w:rsidRPr="00155E60">
        <w:rPr>
          <w:rFonts w:ascii="Arial" w:hAnsi="Arial" w:cs="Arial"/>
          <w:sz w:val="22"/>
          <w:szCs w:val="22"/>
        </w:rPr>
        <w:t>: Kühlhäuser, Reife- und Tiefkühlräume sowie temperaturgeführte Logistik- und Lagerflächen innerhalb lebensmittelverarbeitender Betriebe.</w:t>
      </w:r>
    </w:p>
    <w:p w14:paraId="0B2E59A7" w14:textId="77777777" w:rsidR="00155E60" w:rsidRDefault="00155E60" w:rsidP="00155E60">
      <w:pPr>
        <w:numPr>
          <w:ilvl w:val="0"/>
          <w:numId w:val="10"/>
        </w:numPr>
        <w:spacing w:line="360" w:lineRule="auto"/>
        <w:jc w:val="both"/>
        <w:rPr>
          <w:rFonts w:ascii="Arial" w:hAnsi="Arial" w:cs="Arial"/>
          <w:sz w:val="22"/>
          <w:szCs w:val="22"/>
        </w:rPr>
      </w:pPr>
      <w:r w:rsidRPr="00155E60">
        <w:rPr>
          <w:rFonts w:ascii="Arial" w:hAnsi="Arial" w:cs="Arial"/>
          <w:b/>
          <w:bCs/>
          <w:sz w:val="22"/>
          <w:szCs w:val="22"/>
        </w:rPr>
        <w:t>Sanierung im Bestand</w:t>
      </w:r>
      <w:r w:rsidRPr="00155E60">
        <w:rPr>
          <w:rFonts w:ascii="Arial" w:hAnsi="Arial" w:cs="Arial"/>
          <w:sz w:val="22"/>
          <w:szCs w:val="22"/>
        </w:rPr>
        <w:t>: Hygienische Aufwertung bestehender Produktions-, Küchen- und Lagerbereiche bei minimaler Beeinträchtigung des laufenden Betriebs.</w:t>
      </w:r>
    </w:p>
    <w:p w14:paraId="102A4EDF" w14:textId="77777777" w:rsidR="00760BA8" w:rsidRPr="00155E60" w:rsidRDefault="00760BA8" w:rsidP="00760BA8">
      <w:pPr>
        <w:spacing w:line="360" w:lineRule="auto"/>
        <w:ind w:left="720"/>
        <w:jc w:val="both"/>
        <w:rPr>
          <w:rFonts w:ascii="Arial" w:hAnsi="Arial" w:cs="Arial"/>
          <w:sz w:val="22"/>
          <w:szCs w:val="22"/>
        </w:rPr>
      </w:pPr>
    </w:p>
    <w:p w14:paraId="0C321C09" w14:textId="77777777" w:rsidR="00155E60" w:rsidRPr="00155E60" w:rsidRDefault="00155E60" w:rsidP="00155E60">
      <w:pPr>
        <w:spacing w:line="360" w:lineRule="auto"/>
        <w:jc w:val="both"/>
        <w:rPr>
          <w:rFonts w:ascii="Arial" w:hAnsi="Arial" w:cs="Arial"/>
          <w:b/>
          <w:bCs/>
          <w:sz w:val="22"/>
          <w:szCs w:val="22"/>
        </w:rPr>
      </w:pPr>
      <w:r w:rsidRPr="00155E60">
        <w:rPr>
          <w:rFonts w:ascii="Arial" w:hAnsi="Arial" w:cs="Arial"/>
          <w:b/>
          <w:bCs/>
          <w:sz w:val="22"/>
          <w:szCs w:val="22"/>
        </w:rPr>
        <w:t>Weiterentwicklung innerhalb der LAMILUX Gruppe</w:t>
      </w:r>
    </w:p>
    <w:p w14:paraId="796A39DE"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 xml:space="preserve">Mit der Integration von ECP positioniert sich LAMILUX Composites klar als Kompetenz- und Systemanbieter für hygienische Innenraumsysteme in der Lebensmittelindustrie, in der Gemeinschaftsverpflegung sowie in kühltechnischen Anwendungen. Kunden profitieren von aufeinander abgestimmten Lösungen aus einer Hand – von der GFK-Oberfläche über das </w:t>
      </w:r>
      <w:r w:rsidRPr="00155E60">
        <w:rPr>
          <w:rFonts w:ascii="Arial" w:hAnsi="Arial" w:cs="Arial"/>
          <w:sz w:val="22"/>
          <w:szCs w:val="22"/>
        </w:rPr>
        <w:lastRenderedPageBreak/>
        <w:t>Paneel bis zum kompletten Wand- und Deckensystem, umgesetzt gemeinsam mit erfahrenen Montagepartnern.</w:t>
      </w:r>
    </w:p>
    <w:p w14:paraId="7B3AE71E"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„Als Teil der LAMILUX Gruppe können wir unsere Systemlösungen konsequent weiterentwickeln und den praktischen Nutzen für lebensmittelverarbeitende Betriebe, Großküchenbetreiber und Kühlkettenanwendungen weiter erhöhen“, ergänzt Michael Manhard, Geschäftsführer der ECP Gesellschaft für GFK-Systemlösungen mbH.</w:t>
      </w:r>
    </w:p>
    <w:p w14:paraId="1DC15247" w14:textId="77777777" w:rsidR="00155E60" w:rsidRPr="00155E60" w:rsidRDefault="00155E60" w:rsidP="00155E60">
      <w:pPr>
        <w:spacing w:line="360" w:lineRule="auto"/>
        <w:jc w:val="both"/>
        <w:rPr>
          <w:rFonts w:ascii="Arial" w:hAnsi="Arial" w:cs="Arial"/>
          <w:sz w:val="22"/>
          <w:szCs w:val="22"/>
        </w:rPr>
      </w:pPr>
      <w:r w:rsidRPr="00155E60">
        <w:rPr>
          <w:rFonts w:ascii="Arial" w:hAnsi="Arial" w:cs="Arial"/>
          <w:sz w:val="22"/>
          <w:szCs w:val="22"/>
        </w:rPr>
        <w:t>Der ECP-Standort im mecklenburg-vorpommerschen Gadebusch bleibt erhalten und wird gezielt weiterentwickelt. Damit stärkt LAMILUX seine Position als Anbieter hygienischer Systemlösungen für die Lebensmittelindustrie sowie für Kühl- und Lagerinfrastrukturen.</w:t>
      </w:r>
    </w:p>
    <w:p w14:paraId="1A6BE421" w14:textId="77777777" w:rsidR="00F8035B" w:rsidRPr="00773AB1" w:rsidRDefault="00F8035B" w:rsidP="00773AB1">
      <w:pPr>
        <w:spacing w:line="360" w:lineRule="auto"/>
        <w:jc w:val="both"/>
        <w:rPr>
          <w:rFonts w:ascii="Arial" w:hAnsi="Arial" w:cs="Arial"/>
          <w:b/>
          <w:bCs/>
          <w:sz w:val="22"/>
          <w:szCs w:val="22"/>
        </w:rPr>
      </w:pPr>
    </w:p>
    <w:p w14:paraId="34F2AFF6" w14:textId="77777777" w:rsidR="00417135" w:rsidRDefault="00417135">
      <w:pPr>
        <w:spacing w:after="160" w:line="259" w:lineRule="auto"/>
        <w:rPr>
          <w:rFonts w:ascii="Arial" w:hAnsi="Arial" w:cs="Arial"/>
          <w:b/>
          <w:bCs/>
          <w:sz w:val="22"/>
          <w:szCs w:val="22"/>
        </w:rPr>
      </w:pPr>
      <w:r>
        <w:rPr>
          <w:rFonts w:ascii="Arial" w:hAnsi="Arial" w:cs="Arial"/>
          <w:b/>
          <w:bCs/>
          <w:sz w:val="22"/>
          <w:szCs w:val="22"/>
        </w:rPr>
        <w:br w:type="page"/>
      </w:r>
    </w:p>
    <w:p w14:paraId="34D11E0F" w14:textId="7CC1869B" w:rsidR="00E404D2" w:rsidRPr="00E428FC" w:rsidRDefault="00E404D2" w:rsidP="00E404D2">
      <w:pPr>
        <w:spacing w:line="360" w:lineRule="auto"/>
        <w:jc w:val="both"/>
        <w:rPr>
          <w:rFonts w:ascii="Arial" w:hAnsi="Arial" w:cs="Arial"/>
          <w:b/>
          <w:bCs/>
          <w:sz w:val="22"/>
          <w:szCs w:val="22"/>
        </w:rPr>
      </w:pPr>
      <w:r w:rsidRPr="00E428FC">
        <w:rPr>
          <w:rFonts w:ascii="Arial" w:hAnsi="Arial" w:cs="Arial"/>
          <w:b/>
          <w:bCs/>
          <w:sz w:val="22"/>
          <w:szCs w:val="22"/>
        </w:rPr>
        <w:lastRenderedPageBreak/>
        <w:t xml:space="preserve">Bildunterschriften: </w:t>
      </w:r>
    </w:p>
    <w:p w14:paraId="370AA2D3" w14:textId="2353BB98" w:rsidR="003B6CA1" w:rsidRPr="003B6CA1" w:rsidRDefault="003B6CA1" w:rsidP="003B6CA1">
      <w:pPr>
        <w:spacing w:line="360" w:lineRule="auto"/>
        <w:jc w:val="both"/>
        <w:rPr>
          <w:rFonts w:ascii="Arial" w:hAnsi="Arial" w:cs="Arial"/>
          <w:b/>
          <w:bCs/>
          <w:sz w:val="22"/>
          <w:szCs w:val="22"/>
        </w:rPr>
      </w:pPr>
      <w:r w:rsidRPr="003B6CA1">
        <w:rPr>
          <w:rFonts w:ascii="Arial" w:hAnsi="Arial" w:cs="Arial"/>
          <w:b/>
          <w:bCs/>
          <w:noProof/>
          <w:sz w:val="22"/>
          <w:szCs w:val="22"/>
        </w:rPr>
        <w:drawing>
          <wp:inline distT="0" distB="0" distL="0" distR="0" wp14:anchorId="63E72F33" wp14:editId="0783A963">
            <wp:extent cx="2124075" cy="1416050"/>
            <wp:effectExtent l="0" t="0" r="9525" b="0"/>
            <wp:docPr id="275538309" name="Grafik 2">
              <a:extLst xmlns:a="http://schemas.openxmlformats.org/drawingml/2006/main">
                <a:ext uri="{FF2B5EF4-FFF2-40B4-BE49-F238E27FC236}">
                  <a16:creationId xmlns:a16="http://schemas.microsoft.com/office/drawing/2014/main" id="{3184CB06-6C70-4326-AE36-5E5DCC6FA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7068" cy="1424712"/>
                    </a:xfrm>
                    <a:prstGeom prst="rect">
                      <a:avLst/>
                    </a:prstGeom>
                    <a:noFill/>
                    <a:ln>
                      <a:noFill/>
                    </a:ln>
                  </pic:spPr>
                </pic:pic>
              </a:graphicData>
            </a:graphic>
          </wp:inline>
        </w:drawing>
      </w:r>
    </w:p>
    <w:p w14:paraId="30CF4DB4" w14:textId="699F0F6B" w:rsidR="00A32662" w:rsidRPr="00E428FC" w:rsidRDefault="00D93090" w:rsidP="00637CB0">
      <w:pPr>
        <w:spacing w:line="360" w:lineRule="auto"/>
        <w:jc w:val="both"/>
        <w:rPr>
          <w:rFonts w:ascii="Arial" w:hAnsi="Arial" w:cs="Arial"/>
          <w:i/>
          <w:iCs/>
          <w:sz w:val="18"/>
          <w:szCs w:val="18"/>
        </w:rPr>
      </w:pPr>
      <w:r w:rsidRPr="00E428FC">
        <w:rPr>
          <w:rFonts w:ascii="Arial" w:hAnsi="Arial" w:cs="Arial"/>
          <w:i/>
          <w:iCs/>
          <w:sz w:val="18"/>
          <w:szCs w:val="18"/>
        </w:rPr>
        <w:t>Der Standort der ECP Gesellschaft für GFK-Systemlösungen mbH im mecklenburg-vorpommerschen Gadebusch wird Teil der LAMILUX Gruppe. Das Unternehmen entwickelt und produziert hygienische Wand- und Deckensysteme unter anderem für die Lebensmittelindustrie.</w:t>
      </w:r>
    </w:p>
    <w:p w14:paraId="705C2BBB" w14:textId="60941D33" w:rsidR="00F8035B" w:rsidRDefault="00417135" w:rsidP="00637CB0">
      <w:pPr>
        <w:spacing w:line="360" w:lineRule="auto"/>
        <w:jc w:val="both"/>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06A2F215" wp14:editId="0E485222">
            <wp:simplePos x="0" y="0"/>
            <wp:positionH relativeFrom="column">
              <wp:posOffset>13970</wp:posOffset>
            </wp:positionH>
            <wp:positionV relativeFrom="paragraph">
              <wp:posOffset>241300</wp:posOffset>
            </wp:positionV>
            <wp:extent cx="2109470" cy="1404620"/>
            <wp:effectExtent l="0" t="0" r="5080" b="5080"/>
            <wp:wrapTight wrapText="bothSides">
              <wp:wrapPolygon edited="0">
                <wp:start x="0" y="0"/>
                <wp:lineTo x="0" y="21385"/>
                <wp:lineTo x="21457" y="21385"/>
                <wp:lineTo x="21457" y="0"/>
                <wp:lineTo x="0" y="0"/>
              </wp:wrapPolygon>
            </wp:wrapTight>
            <wp:docPr id="15561439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9470" cy="1404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028C6" w14:textId="59CE7610" w:rsidR="00F8035B" w:rsidRDefault="00F8035B" w:rsidP="00637CB0">
      <w:pPr>
        <w:spacing w:line="360" w:lineRule="auto"/>
        <w:jc w:val="both"/>
        <w:rPr>
          <w:rFonts w:ascii="Arial" w:hAnsi="Arial" w:cs="Arial"/>
          <w:b/>
          <w:bCs/>
          <w:sz w:val="22"/>
          <w:szCs w:val="22"/>
        </w:rPr>
      </w:pPr>
    </w:p>
    <w:p w14:paraId="51D1F988" w14:textId="77777777" w:rsidR="00F8035B" w:rsidRDefault="00F8035B" w:rsidP="00637CB0">
      <w:pPr>
        <w:spacing w:line="360" w:lineRule="auto"/>
        <w:jc w:val="both"/>
        <w:rPr>
          <w:rFonts w:ascii="Arial" w:hAnsi="Arial" w:cs="Arial"/>
          <w:b/>
          <w:bCs/>
          <w:sz w:val="22"/>
          <w:szCs w:val="22"/>
        </w:rPr>
      </w:pPr>
    </w:p>
    <w:p w14:paraId="71C3EE37" w14:textId="27BE7626" w:rsidR="00F8035B" w:rsidRDefault="00F8035B" w:rsidP="00637CB0">
      <w:pPr>
        <w:spacing w:line="360" w:lineRule="auto"/>
        <w:jc w:val="both"/>
        <w:rPr>
          <w:rFonts w:ascii="Arial" w:hAnsi="Arial" w:cs="Arial"/>
          <w:b/>
          <w:bCs/>
          <w:sz w:val="22"/>
          <w:szCs w:val="22"/>
        </w:rPr>
      </w:pPr>
    </w:p>
    <w:p w14:paraId="236BCDC1" w14:textId="77777777" w:rsidR="00F8035B" w:rsidRDefault="00F8035B" w:rsidP="00637CB0">
      <w:pPr>
        <w:spacing w:line="360" w:lineRule="auto"/>
        <w:jc w:val="both"/>
        <w:rPr>
          <w:rFonts w:ascii="Arial" w:hAnsi="Arial" w:cs="Arial"/>
          <w:b/>
          <w:bCs/>
          <w:sz w:val="22"/>
          <w:szCs w:val="22"/>
        </w:rPr>
      </w:pPr>
    </w:p>
    <w:p w14:paraId="05178E23" w14:textId="0ECE468A" w:rsidR="00F8035B" w:rsidRDefault="00F8035B" w:rsidP="00637CB0">
      <w:pPr>
        <w:spacing w:line="360" w:lineRule="auto"/>
        <w:jc w:val="both"/>
        <w:rPr>
          <w:rFonts w:ascii="Arial" w:hAnsi="Arial" w:cs="Arial"/>
          <w:b/>
          <w:bCs/>
          <w:sz w:val="22"/>
          <w:szCs w:val="22"/>
        </w:rPr>
      </w:pPr>
    </w:p>
    <w:p w14:paraId="6ED6DD1C" w14:textId="56E1AB08" w:rsidR="00F8035B" w:rsidRDefault="00F8035B" w:rsidP="00637CB0">
      <w:pPr>
        <w:spacing w:line="360" w:lineRule="auto"/>
        <w:jc w:val="both"/>
        <w:rPr>
          <w:rFonts w:ascii="Arial" w:hAnsi="Arial" w:cs="Arial"/>
          <w:b/>
          <w:bCs/>
          <w:sz w:val="22"/>
          <w:szCs w:val="22"/>
        </w:rPr>
      </w:pPr>
    </w:p>
    <w:p w14:paraId="1AC1E7BE" w14:textId="3959BAE7" w:rsidR="005327D5" w:rsidRPr="005327D5" w:rsidRDefault="005327D5" w:rsidP="005327D5">
      <w:pPr>
        <w:spacing w:line="360" w:lineRule="auto"/>
        <w:jc w:val="both"/>
        <w:rPr>
          <w:rFonts w:ascii="Arial" w:hAnsi="Arial" w:cs="Arial"/>
          <w:i/>
          <w:iCs/>
          <w:sz w:val="18"/>
          <w:szCs w:val="18"/>
        </w:rPr>
      </w:pPr>
      <w:r w:rsidRPr="005327D5">
        <w:rPr>
          <w:rFonts w:ascii="Arial" w:hAnsi="Arial" w:cs="Arial"/>
          <w:i/>
          <w:iCs/>
          <w:sz w:val="18"/>
          <w:szCs w:val="18"/>
        </w:rPr>
        <w:t>Hygienischer Innenausbau in einer Großbäckerei: GFK</w:t>
      </w:r>
      <w:r w:rsidRPr="005327D5">
        <w:rPr>
          <w:rFonts w:ascii="Arial" w:hAnsi="Arial" w:cs="Arial"/>
          <w:i/>
          <w:iCs/>
          <w:sz w:val="18"/>
          <w:szCs w:val="18"/>
        </w:rPr>
        <w:noBreakHyphen/>
        <w:t>basierte Wand</w:t>
      </w:r>
      <w:r w:rsidRPr="005327D5">
        <w:rPr>
          <w:rFonts w:ascii="Arial" w:hAnsi="Arial" w:cs="Arial"/>
          <w:i/>
          <w:iCs/>
          <w:sz w:val="18"/>
          <w:szCs w:val="18"/>
        </w:rPr>
        <w:noBreakHyphen/>
        <w:t xml:space="preserve"> und Deckensysteme ermöglic</w:t>
      </w:r>
      <w:r w:rsidRPr="00786FDE">
        <w:rPr>
          <w:rFonts w:ascii="Arial" w:hAnsi="Arial" w:cs="Arial"/>
          <w:i/>
          <w:iCs/>
          <w:sz w:val="18"/>
          <w:szCs w:val="18"/>
        </w:rPr>
        <w:t xml:space="preserve">hen </w:t>
      </w:r>
      <w:r w:rsidRPr="005327D5">
        <w:rPr>
          <w:rFonts w:ascii="Arial" w:hAnsi="Arial" w:cs="Arial"/>
          <w:i/>
          <w:iCs/>
          <w:sz w:val="18"/>
          <w:szCs w:val="18"/>
        </w:rPr>
        <w:t>porenfreie, leicht zu reinigende Oberflächen und erfüllen die hohen Anforderungen der Lebensmittelproduktion.</w:t>
      </w:r>
    </w:p>
    <w:p w14:paraId="4357EA03" w14:textId="30694FC2" w:rsidR="006F70AC" w:rsidRDefault="00417135" w:rsidP="00637CB0">
      <w:pPr>
        <w:spacing w:line="360" w:lineRule="auto"/>
        <w:jc w:val="both"/>
        <w:rPr>
          <w:rFonts w:ascii="Arial" w:hAnsi="Arial" w:cs="Arial"/>
          <w:i/>
          <w:iCs/>
          <w:sz w:val="18"/>
          <w:szCs w:val="18"/>
        </w:rPr>
      </w:pPr>
      <w:r>
        <w:rPr>
          <w:rFonts w:ascii="Arial" w:hAnsi="Arial" w:cs="Arial"/>
          <w:i/>
          <w:iCs/>
          <w:noProof/>
          <w:sz w:val="18"/>
          <w:szCs w:val="18"/>
        </w:rPr>
        <w:drawing>
          <wp:anchor distT="0" distB="0" distL="114300" distR="114300" simplePos="0" relativeHeight="251659264" behindDoc="1" locked="0" layoutInCell="1" allowOverlap="1" wp14:anchorId="28F7E47E" wp14:editId="286A3A39">
            <wp:simplePos x="0" y="0"/>
            <wp:positionH relativeFrom="margin">
              <wp:posOffset>-635</wp:posOffset>
            </wp:positionH>
            <wp:positionV relativeFrom="paragraph">
              <wp:posOffset>6350</wp:posOffset>
            </wp:positionV>
            <wp:extent cx="2185670" cy="1457325"/>
            <wp:effectExtent l="0" t="0" r="5080" b="9525"/>
            <wp:wrapTight wrapText="bothSides">
              <wp:wrapPolygon edited="0">
                <wp:start x="0" y="0"/>
                <wp:lineTo x="0" y="21459"/>
                <wp:lineTo x="21462" y="21459"/>
                <wp:lineTo x="21462" y="0"/>
                <wp:lineTo x="0" y="0"/>
              </wp:wrapPolygon>
            </wp:wrapTight>
            <wp:docPr id="19111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567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6F2DC" w14:textId="54934274" w:rsidR="00AA214C" w:rsidRDefault="00AA214C" w:rsidP="00637CB0">
      <w:pPr>
        <w:spacing w:line="360" w:lineRule="auto"/>
        <w:jc w:val="both"/>
        <w:rPr>
          <w:rFonts w:ascii="Arial" w:hAnsi="Arial" w:cs="Arial"/>
          <w:i/>
          <w:iCs/>
          <w:sz w:val="18"/>
          <w:szCs w:val="18"/>
        </w:rPr>
      </w:pPr>
    </w:p>
    <w:p w14:paraId="058E38AF" w14:textId="7868A59D" w:rsidR="00AA214C" w:rsidRDefault="00AA214C" w:rsidP="00637CB0">
      <w:pPr>
        <w:spacing w:line="360" w:lineRule="auto"/>
        <w:jc w:val="both"/>
        <w:rPr>
          <w:rFonts w:ascii="Arial" w:hAnsi="Arial" w:cs="Arial"/>
          <w:i/>
          <w:iCs/>
          <w:sz w:val="18"/>
          <w:szCs w:val="18"/>
        </w:rPr>
      </w:pPr>
    </w:p>
    <w:p w14:paraId="62B09D69" w14:textId="77777777" w:rsidR="00AA214C" w:rsidRDefault="00AA214C" w:rsidP="00637CB0">
      <w:pPr>
        <w:spacing w:line="360" w:lineRule="auto"/>
        <w:jc w:val="both"/>
        <w:rPr>
          <w:rFonts w:ascii="Arial" w:hAnsi="Arial" w:cs="Arial"/>
          <w:i/>
          <w:iCs/>
          <w:sz w:val="18"/>
          <w:szCs w:val="18"/>
        </w:rPr>
      </w:pPr>
    </w:p>
    <w:p w14:paraId="3A015049" w14:textId="476C1D02" w:rsidR="00AA214C" w:rsidRDefault="00AA214C" w:rsidP="00637CB0">
      <w:pPr>
        <w:spacing w:line="360" w:lineRule="auto"/>
        <w:jc w:val="both"/>
        <w:rPr>
          <w:rFonts w:ascii="Arial" w:hAnsi="Arial" w:cs="Arial"/>
          <w:b/>
          <w:bCs/>
          <w:sz w:val="22"/>
          <w:szCs w:val="22"/>
        </w:rPr>
      </w:pPr>
    </w:p>
    <w:p w14:paraId="243BB261" w14:textId="77777777" w:rsidR="00E428FC" w:rsidRDefault="00E428FC" w:rsidP="00637CB0">
      <w:pPr>
        <w:spacing w:line="360" w:lineRule="auto"/>
        <w:jc w:val="both"/>
        <w:rPr>
          <w:rFonts w:ascii="Arial" w:hAnsi="Arial" w:cs="Arial"/>
          <w:b/>
          <w:bCs/>
          <w:sz w:val="22"/>
          <w:szCs w:val="22"/>
        </w:rPr>
      </w:pPr>
    </w:p>
    <w:p w14:paraId="1ACE45A2" w14:textId="77777777" w:rsidR="00AA214C" w:rsidRDefault="00AA214C" w:rsidP="00637CB0">
      <w:pPr>
        <w:spacing w:line="360" w:lineRule="auto"/>
        <w:jc w:val="both"/>
        <w:rPr>
          <w:rFonts w:ascii="Arial" w:hAnsi="Arial" w:cs="Arial"/>
          <w:b/>
          <w:bCs/>
          <w:sz w:val="22"/>
          <w:szCs w:val="22"/>
        </w:rPr>
      </w:pPr>
    </w:p>
    <w:p w14:paraId="48E1D523" w14:textId="55CDAA63" w:rsidR="00AA214C" w:rsidRPr="00786FDE" w:rsidRDefault="00786FDE" w:rsidP="00637CB0">
      <w:pPr>
        <w:spacing w:line="360" w:lineRule="auto"/>
        <w:jc w:val="both"/>
        <w:rPr>
          <w:rFonts w:ascii="Arial" w:hAnsi="Arial" w:cs="Arial"/>
          <w:i/>
          <w:iCs/>
          <w:sz w:val="18"/>
          <w:szCs w:val="18"/>
        </w:rPr>
      </w:pPr>
      <w:r w:rsidRPr="00786FDE">
        <w:rPr>
          <w:rFonts w:ascii="Arial" w:hAnsi="Arial" w:cs="Arial"/>
          <w:i/>
          <w:iCs/>
          <w:sz w:val="18"/>
          <w:szCs w:val="18"/>
        </w:rPr>
        <w:t>Hygienischer Innenausbau in der Fleischverarbeitung: GFK</w:t>
      </w:r>
      <w:r w:rsidRPr="00786FDE">
        <w:rPr>
          <w:rFonts w:ascii="Cambria Math" w:hAnsi="Cambria Math" w:cs="Cambria Math"/>
          <w:i/>
          <w:iCs/>
          <w:sz w:val="18"/>
          <w:szCs w:val="18"/>
        </w:rPr>
        <w:t>‑</w:t>
      </w:r>
      <w:r w:rsidRPr="00786FDE">
        <w:rPr>
          <w:rFonts w:ascii="Arial" w:hAnsi="Arial" w:cs="Arial"/>
          <w:i/>
          <w:iCs/>
          <w:sz w:val="18"/>
          <w:szCs w:val="18"/>
        </w:rPr>
        <w:t>basierte Wand</w:t>
      </w:r>
      <w:r w:rsidRPr="00786FDE">
        <w:rPr>
          <w:rFonts w:ascii="Cambria Math" w:hAnsi="Cambria Math" w:cs="Cambria Math"/>
          <w:i/>
          <w:iCs/>
          <w:sz w:val="18"/>
          <w:szCs w:val="18"/>
        </w:rPr>
        <w:t>‑</w:t>
      </w:r>
      <w:r w:rsidRPr="00786FDE">
        <w:rPr>
          <w:rFonts w:ascii="Arial" w:hAnsi="Arial" w:cs="Arial"/>
          <w:i/>
          <w:iCs/>
          <w:sz w:val="18"/>
          <w:szCs w:val="18"/>
        </w:rPr>
        <w:t xml:space="preserve"> und Deckensysteme gewährleisten robuste, leicht zu reinigende Oberflächen und unterstützen die Einhaltung strenger Hygieneanforderungen.</w:t>
      </w:r>
    </w:p>
    <w:p w14:paraId="40FBEF98" w14:textId="77777777" w:rsidR="00AA214C" w:rsidRDefault="00AA214C" w:rsidP="00637CB0">
      <w:pPr>
        <w:spacing w:line="360" w:lineRule="auto"/>
        <w:jc w:val="both"/>
        <w:rPr>
          <w:rFonts w:ascii="Arial" w:hAnsi="Arial" w:cs="Arial"/>
          <w:b/>
          <w:bCs/>
          <w:sz w:val="22"/>
          <w:szCs w:val="22"/>
        </w:rPr>
      </w:pPr>
    </w:p>
    <w:p w14:paraId="7DDF07FB" w14:textId="1C236659" w:rsidR="00637CB0" w:rsidRPr="00907935" w:rsidRDefault="00637CB0" w:rsidP="00637CB0">
      <w:pPr>
        <w:spacing w:line="360" w:lineRule="auto"/>
        <w:jc w:val="both"/>
        <w:rPr>
          <w:rFonts w:ascii="Arial" w:hAnsi="Arial" w:cs="Arial"/>
          <w:b/>
          <w:bCs/>
          <w:sz w:val="22"/>
          <w:szCs w:val="22"/>
        </w:rPr>
      </w:pPr>
      <w:r w:rsidRPr="00907935">
        <w:rPr>
          <w:rFonts w:ascii="Arial" w:hAnsi="Arial" w:cs="Arial"/>
          <w:b/>
          <w:bCs/>
          <w:sz w:val="22"/>
          <w:szCs w:val="22"/>
        </w:rPr>
        <w:lastRenderedPageBreak/>
        <w:t>LAMILUX Heinrich Strunz Gruppe, Rehau</w:t>
      </w:r>
    </w:p>
    <w:p w14:paraId="6C1501F4" w14:textId="131BB772" w:rsidR="006657A5" w:rsidRDefault="00637CB0" w:rsidP="006657A5">
      <w:pPr>
        <w:spacing w:line="360" w:lineRule="auto"/>
        <w:jc w:val="both"/>
        <w:rPr>
          <w:rFonts w:ascii="Arial" w:hAnsi="Arial" w:cs="Arial"/>
          <w:sz w:val="22"/>
          <w:szCs w:val="22"/>
        </w:rPr>
      </w:pPr>
      <w:r w:rsidRPr="00907935">
        <w:rPr>
          <w:rFonts w:ascii="Arial" w:hAnsi="Arial" w:cs="Arial"/>
          <w:sz w:val="22"/>
          <w:szCs w:val="22"/>
        </w:rPr>
        <w:t xml:space="preserve">Lichtbänder, </w:t>
      </w:r>
      <w:r w:rsidRPr="00C2693F">
        <w:rPr>
          <w:rFonts w:ascii="Arial" w:hAnsi="Arial" w:cs="Arial"/>
          <w:sz w:val="22"/>
          <w:szCs w:val="22"/>
        </w:rPr>
        <w:t>Glasdächer oder Lichtkuppeln</w:t>
      </w:r>
      <w:r w:rsidRPr="00907935">
        <w:rPr>
          <w:rFonts w:ascii="Arial" w:hAnsi="Arial" w:cs="Arial"/>
          <w:sz w:val="22"/>
          <w:szCs w:val="22"/>
        </w:rPr>
        <w:t xml:space="preserve">: Die LAMILUX Heinrich Strunz Gruppe ist in Europa einer der führenden Hersteller von Tageslichtsystemen. Die Oberlichter sorgen für einen effizienten Gebrauch von natürlichem Tageslicht in unterschiedlichsten Gebäuden. Außerdem bieten spezielle Rauch- und Wärmeabzugsanlagen Sicherheit im Brandfall und sind damit wesentliche Bestandteile von Brandschutzkonzepten. Auch für seine Lösungen zur Objektentrauchung ist LAMILUX bekannt. Darüber hinaus zählt das 1909 gegründete mittelständische Familienunternehmen zu den weltweit größten Produzenten von carbon- und glasfaserverstärkten Kunststoffen. Diese </w:t>
      </w:r>
      <w:r w:rsidR="002658C0" w:rsidRPr="002658C0">
        <w:rPr>
          <w:rFonts w:ascii="Arial" w:hAnsi="Arial" w:cs="Arial"/>
          <w:sz w:val="22"/>
          <w:szCs w:val="22"/>
        </w:rPr>
        <w:t xml:space="preserve">Verbundmaterialien </w:t>
      </w:r>
      <w:r w:rsidRPr="00907935">
        <w:rPr>
          <w:rFonts w:ascii="Arial" w:hAnsi="Arial" w:cs="Arial"/>
          <w:sz w:val="22"/>
          <w:szCs w:val="22"/>
        </w:rPr>
        <w:t xml:space="preserve">sorgen beispielsweise als Dach-, Wand- und Bodenbekleidungen in Nutzfahrzeugen für Stabilität, Leichtbau und Schlagfestigkeit. </w:t>
      </w:r>
      <w:r w:rsidR="006657A5" w:rsidRPr="00615BBA">
        <w:rPr>
          <w:rFonts w:ascii="Arial" w:hAnsi="Arial" w:cs="Arial"/>
          <w:sz w:val="22"/>
          <w:szCs w:val="22"/>
        </w:rPr>
        <w:t>LAMILUX strebt an, Innovations- und Leistungsführer in allen für die Kunden relevanten Bereichen zu sein.</w:t>
      </w:r>
      <w:r w:rsidR="006657A5">
        <w:rPr>
          <w:rFonts w:ascii="Arial" w:hAnsi="Arial" w:cs="Arial"/>
          <w:sz w:val="22"/>
          <w:szCs w:val="22"/>
        </w:rPr>
        <w:t xml:space="preserve"> </w:t>
      </w:r>
      <w:r w:rsidR="006657A5" w:rsidRPr="00615BBA">
        <w:rPr>
          <w:rFonts w:ascii="Arial" w:hAnsi="Arial" w:cs="Arial"/>
          <w:sz w:val="22"/>
          <w:szCs w:val="22"/>
        </w:rPr>
        <w:t>Das Familienunternehmen mit Sitz in Rehau wird in vierter Generation von Dr. Alexander, Johanna und Dr. Sophia Strunz geführt, beschäftigte im Geschäftsjahr 2024 insgesamt 1.335 Mitarbeiterinnen und Mitarbeiter und erzielte einen Umsatz von rund 357 Millionen Euro.</w:t>
      </w:r>
    </w:p>
    <w:p w14:paraId="142D09C2" w14:textId="7CF8ED64" w:rsidR="007C164D" w:rsidRPr="00172B9E" w:rsidRDefault="007C164D" w:rsidP="007C164D">
      <w:pPr>
        <w:spacing w:line="360" w:lineRule="auto"/>
        <w:jc w:val="both"/>
        <w:rPr>
          <w:rFonts w:ascii="Arial" w:hAnsi="Arial" w:cs="Arial"/>
        </w:rPr>
      </w:pPr>
    </w:p>
    <w:p w14:paraId="6687B233" w14:textId="77777777" w:rsidR="000016BA" w:rsidRPr="00A64B78" w:rsidRDefault="000016BA" w:rsidP="000016BA">
      <w:pPr>
        <w:spacing w:line="360" w:lineRule="auto"/>
        <w:jc w:val="both"/>
        <w:rPr>
          <w:rFonts w:ascii="Arial" w:hAnsi="Arial" w:cs="Arial"/>
          <w:color w:val="000000" w:themeColor="text1"/>
        </w:rPr>
      </w:pPr>
      <w:hyperlink r:id="rId13" w:history="1">
        <w:r w:rsidRPr="00A64B78">
          <w:rPr>
            <w:rStyle w:val="Hyperlink"/>
            <w:rFonts w:ascii="Arial" w:hAnsi="Arial" w:cs="Arial"/>
          </w:rPr>
          <w:t>www.lamilux.de</w:t>
        </w:r>
      </w:hyperlink>
      <w:r w:rsidRPr="00A64B78">
        <w:rPr>
          <w:rFonts w:ascii="Arial" w:hAnsi="Arial" w:cs="Arial"/>
          <w:color w:val="000000" w:themeColor="text1"/>
        </w:rPr>
        <w:t xml:space="preserve"> </w:t>
      </w:r>
    </w:p>
    <w:p w14:paraId="1BB9347F" w14:textId="77777777" w:rsidR="0067611C" w:rsidRDefault="0067611C" w:rsidP="000016BA">
      <w:pPr>
        <w:spacing w:line="360" w:lineRule="auto"/>
        <w:jc w:val="both"/>
        <w:rPr>
          <w:rFonts w:ascii="Arial" w:hAnsi="Arial" w:cs="Arial"/>
          <w:sz w:val="22"/>
          <w:szCs w:val="22"/>
        </w:rPr>
      </w:pPr>
    </w:p>
    <w:p w14:paraId="7BB0485C" w14:textId="77777777" w:rsidR="0067611C" w:rsidRDefault="0067611C" w:rsidP="000016BA">
      <w:pPr>
        <w:spacing w:line="360" w:lineRule="auto"/>
        <w:jc w:val="both"/>
        <w:rPr>
          <w:rFonts w:ascii="Arial" w:hAnsi="Arial" w:cs="Arial"/>
          <w:sz w:val="22"/>
          <w:szCs w:val="22"/>
        </w:rPr>
      </w:pPr>
    </w:p>
    <w:p w14:paraId="6A3D6250" w14:textId="77777777" w:rsidR="0067611C" w:rsidRDefault="0067611C" w:rsidP="000016BA">
      <w:pPr>
        <w:spacing w:line="360" w:lineRule="auto"/>
        <w:jc w:val="both"/>
        <w:rPr>
          <w:rFonts w:ascii="Arial" w:hAnsi="Arial" w:cs="Arial"/>
          <w:sz w:val="22"/>
          <w:szCs w:val="22"/>
        </w:rPr>
      </w:pPr>
    </w:p>
    <w:p w14:paraId="0DDA9180" w14:textId="77777777" w:rsidR="0067611C" w:rsidRDefault="0067611C" w:rsidP="000016BA">
      <w:pPr>
        <w:spacing w:line="360" w:lineRule="auto"/>
        <w:jc w:val="both"/>
        <w:rPr>
          <w:rFonts w:ascii="Arial" w:hAnsi="Arial" w:cs="Arial"/>
          <w:sz w:val="22"/>
          <w:szCs w:val="22"/>
        </w:rPr>
      </w:pPr>
    </w:p>
    <w:p w14:paraId="1BD92C63" w14:textId="77777777" w:rsidR="0067611C" w:rsidRDefault="0067611C" w:rsidP="000016BA">
      <w:pPr>
        <w:spacing w:line="360" w:lineRule="auto"/>
        <w:jc w:val="both"/>
        <w:rPr>
          <w:rFonts w:ascii="Arial" w:hAnsi="Arial" w:cs="Arial"/>
          <w:sz w:val="22"/>
          <w:szCs w:val="22"/>
        </w:rPr>
      </w:pPr>
    </w:p>
    <w:p w14:paraId="1EA17714" w14:textId="77777777" w:rsidR="0067611C" w:rsidRDefault="0067611C" w:rsidP="000016BA">
      <w:pPr>
        <w:spacing w:line="360" w:lineRule="auto"/>
        <w:jc w:val="both"/>
        <w:rPr>
          <w:rFonts w:ascii="Arial" w:hAnsi="Arial" w:cs="Arial"/>
          <w:sz w:val="22"/>
          <w:szCs w:val="22"/>
        </w:rPr>
      </w:pPr>
    </w:p>
    <w:sectPr w:rsidR="0067611C" w:rsidSect="009C5D47">
      <w:headerReference w:type="even" r:id="rId14"/>
      <w:headerReference w:type="default" r:id="rId15"/>
      <w:footerReference w:type="even" r:id="rId16"/>
      <w:footerReference w:type="default" r:id="rId17"/>
      <w:headerReference w:type="first" r:id="rId18"/>
      <w:footerReference w:type="first" r:id="rId19"/>
      <w:pgSz w:w="11906" w:h="16838"/>
      <w:pgMar w:top="2665" w:right="2835" w:bottom="3119"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D124" w14:textId="77777777" w:rsidR="00A23E15" w:rsidRDefault="00A23E15" w:rsidP="00D52FF7">
      <w:r>
        <w:separator/>
      </w:r>
    </w:p>
  </w:endnote>
  <w:endnote w:type="continuationSeparator" w:id="0">
    <w:p w14:paraId="46BF6D04" w14:textId="77777777" w:rsidR="00A23E15" w:rsidRDefault="00A23E15" w:rsidP="00D5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395A" w14:textId="77777777" w:rsidR="00104AAC" w:rsidRDefault="00104A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EB1F" w14:textId="6EDFFC62" w:rsidR="00056167" w:rsidRDefault="009C5D47" w:rsidP="00F35C6A">
    <w:pPr>
      <w:pStyle w:val="Fuzeile"/>
      <w:rPr>
        <w:rFonts w:ascii="Calibri" w:hAnsi="Calibri" w:cs="Calibri"/>
        <w:color w:val="999999"/>
        <w:sz w:val="16"/>
        <w:u w:val="single"/>
      </w:rPr>
    </w:pPr>
    <w:r>
      <w:rPr>
        <w:rFonts w:ascii="Calibri" w:hAnsi="Calibri" w:cs="Calibri"/>
        <w:noProof/>
        <w:color w:val="999999"/>
        <w:sz w:val="16"/>
        <w:u w:val="single"/>
      </w:rPr>
      <w:drawing>
        <wp:anchor distT="0" distB="0" distL="114300" distR="114300" simplePos="0" relativeHeight="251661312" behindDoc="1" locked="0" layoutInCell="1" allowOverlap="1" wp14:anchorId="65124451" wp14:editId="74DBEFA1">
          <wp:simplePos x="0" y="0"/>
          <wp:positionH relativeFrom="page">
            <wp:posOffset>6985</wp:posOffset>
          </wp:positionH>
          <wp:positionV relativeFrom="paragraph">
            <wp:posOffset>81610</wp:posOffset>
          </wp:positionV>
          <wp:extent cx="7553325" cy="1394917"/>
          <wp:effectExtent l="0" t="0" r="0" b="0"/>
          <wp:wrapNone/>
          <wp:docPr id="2" name="Grafik 2">
            <a:extLst xmlns:a="http://schemas.openxmlformats.org/drawingml/2006/main">
              <a:ext uri="{FF2B5EF4-FFF2-40B4-BE49-F238E27FC236}">
                <a16:creationId xmlns:a16="http://schemas.microsoft.com/office/drawing/2014/main" id="{4AA81032-914D-4FE7-8C12-CE6786F214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94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11BD3" w14:textId="693D472A" w:rsidR="00056167" w:rsidRDefault="00056167" w:rsidP="00F35C6A">
    <w:pPr>
      <w:pStyle w:val="Fuzeile"/>
      <w:rPr>
        <w:rFonts w:ascii="Calibri" w:hAnsi="Calibri" w:cs="Calibri"/>
        <w:color w:val="999999"/>
        <w:sz w:val="16"/>
        <w:u w:val="single"/>
      </w:rPr>
    </w:pPr>
  </w:p>
  <w:p w14:paraId="11118E93" w14:textId="4CF73CDF" w:rsidR="00430A8E" w:rsidRPr="00123815" w:rsidRDefault="00D1701D" w:rsidP="00F35C6A">
    <w:pPr>
      <w:pStyle w:val="Fuzeile"/>
      <w:rPr>
        <w:rFonts w:ascii="Arial" w:hAnsi="Arial" w:cs="Arial"/>
        <w:color w:val="A6A6A6" w:themeColor="background1" w:themeShade="A6"/>
        <w:sz w:val="16"/>
        <w:u w:val="single"/>
      </w:rPr>
    </w:pPr>
    <w:r w:rsidRPr="00123815">
      <w:rPr>
        <w:rFonts w:ascii="Arial" w:hAnsi="Arial" w:cs="Arial"/>
        <w:color w:val="A6A6A6" w:themeColor="background1" w:themeShade="A6"/>
        <w:sz w:val="16"/>
        <w:u w:val="single"/>
      </w:rPr>
      <w:t>Ansprechpartner für die Redaktion:</w:t>
    </w:r>
  </w:p>
  <w:p w14:paraId="69974749" w14:textId="08C6EC8E" w:rsidR="00430A8E" w:rsidRPr="00123815" w:rsidRDefault="00430A8E" w:rsidP="00F35C6A">
    <w:pPr>
      <w:pStyle w:val="Fuzeile"/>
      <w:rPr>
        <w:rFonts w:ascii="Arial" w:hAnsi="Arial" w:cs="Arial"/>
        <w:color w:val="A6A6A6" w:themeColor="background1" w:themeShade="A6"/>
        <w:sz w:val="16"/>
      </w:rPr>
    </w:pPr>
  </w:p>
  <w:p w14:paraId="6B96A9F6" w14:textId="3630C5E3" w:rsidR="00430A8E" w:rsidRPr="00123815" w:rsidRDefault="00D1701D" w:rsidP="00F35C6A">
    <w:pPr>
      <w:pStyle w:val="Fuzeile"/>
      <w:rPr>
        <w:rFonts w:ascii="Arial" w:hAnsi="Arial" w:cs="Arial"/>
        <w:color w:val="A6A6A6" w:themeColor="background1" w:themeShade="A6"/>
        <w:sz w:val="16"/>
      </w:rPr>
    </w:pPr>
    <w:r w:rsidRPr="00123815">
      <w:rPr>
        <w:rFonts w:ascii="Arial" w:hAnsi="Arial" w:cs="Arial"/>
        <w:color w:val="A6A6A6" w:themeColor="background1" w:themeShade="A6"/>
        <w:sz w:val="16"/>
      </w:rPr>
      <w:t xml:space="preserve">LAMILUX Heinrich Strunz </w:t>
    </w:r>
    <w:r w:rsidR="00D36F94">
      <w:rPr>
        <w:rFonts w:ascii="Arial" w:hAnsi="Arial" w:cs="Arial"/>
        <w:color w:val="A6A6A6" w:themeColor="background1" w:themeShade="A6"/>
        <w:sz w:val="16"/>
      </w:rPr>
      <w:t>Holding GmbH &amp; Co. KG</w:t>
    </w:r>
  </w:p>
  <w:p w14:paraId="0E033888" w14:textId="7D6BB3CC" w:rsidR="00430A8E" w:rsidRPr="00123815" w:rsidRDefault="005A041F" w:rsidP="00F35C6A">
    <w:pPr>
      <w:pStyle w:val="Fuzeile"/>
      <w:rPr>
        <w:rFonts w:ascii="Arial" w:hAnsi="Arial" w:cs="Arial"/>
        <w:color w:val="A6A6A6" w:themeColor="background1" w:themeShade="A6"/>
        <w:sz w:val="16"/>
      </w:rPr>
    </w:pPr>
    <w:r>
      <w:rPr>
        <w:rFonts w:ascii="Arial" w:hAnsi="Arial" w:cs="Arial"/>
        <w:color w:val="A6A6A6" w:themeColor="background1" w:themeShade="A6"/>
        <w:sz w:val="16"/>
      </w:rPr>
      <w:t xml:space="preserve">Natalia Schöttner </w:t>
    </w:r>
  </w:p>
  <w:p w14:paraId="2C9C7E1E" w14:textId="6F871674" w:rsidR="00430A8E" w:rsidRPr="00123815" w:rsidRDefault="005A041F" w:rsidP="00F35C6A">
    <w:pPr>
      <w:pStyle w:val="Fuzeile"/>
      <w:rPr>
        <w:rFonts w:ascii="Arial" w:hAnsi="Arial" w:cs="Arial"/>
        <w:color w:val="A6A6A6" w:themeColor="background1" w:themeShade="A6"/>
        <w:sz w:val="16"/>
      </w:rPr>
    </w:pPr>
    <w:r>
      <w:rPr>
        <w:rFonts w:ascii="Arial" w:hAnsi="Arial" w:cs="Arial"/>
        <w:color w:val="A6A6A6" w:themeColor="background1" w:themeShade="A6"/>
        <w:sz w:val="16"/>
      </w:rPr>
      <w:t xml:space="preserve">Referentin Unternehmenskommunikation </w:t>
    </w:r>
  </w:p>
  <w:p w14:paraId="12EA072D" w14:textId="5FB58E38" w:rsidR="00430A8E" w:rsidRPr="00123815" w:rsidRDefault="00D1701D" w:rsidP="00F35C6A">
    <w:pPr>
      <w:pStyle w:val="Fuzeile"/>
      <w:rPr>
        <w:rFonts w:ascii="Arial" w:hAnsi="Arial" w:cs="Arial"/>
        <w:color w:val="A6A6A6" w:themeColor="background1" w:themeShade="A6"/>
        <w:sz w:val="16"/>
      </w:rPr>
    </w:pPr>
    <w:r w:rsidRPr="00123815">
      <w:rPr>
        <w:rFonts w:ascii="Arial" w:hAnsi="Arial" w:cs="Arial"/>
        <w:color w:val="A6A6A6" w:themeColor="background1" w:themeShade="A6"/>
        <w:sz w:val="16"/>
      </w:rPr>
      <w:t>Zehstraße 2</w:t>
    </w:r>
    <w:r w:rsidR="00C349C2">
      <w:rPr>
        <w:rFonts w:ascii="Arial" w:hAnsi="Arial" w:cs="Arial"/>
        <w:color w:val="A6A6A6" w:themeColor="background1" w:themeShade="A6"/>
        <w:sz w:val="16"/>
      </w:rPr>
      <w:t>,</w:t>
    </w:r>
    <w:r w:rsidRPr="00123815">
      <w:rPr>
        <w:rFonts w:ascii="Arial" w:hAnsi="Arial" w:cs="Arial"/>
        <w:color w:val="A6A6A6" w:themeColor="background1" w:themeShade="A6"/>
        <w:sz w:val="16"/>
      </w:rPr>
      <w:t>95111 Rehau</w:t>
    </w:r>
  </w:p>
  <w:p w14:paraId="3721FAA7" w14:textId="77777777" w:rsidR="00430A8E" w:rsidRPr="00123815" w:rsidRDefault="00430A8E" w:rsidP="00F35C6A">
    <w:pPr>
      <w:pStyle w:val="Fuzeile"/>
      <w:rPr>
        <w:rFonts w:ascii="Arial" w:hAnsi="Arial" w:cs="Arial"/>
        <w:color w:val="A6A6A6" w:themeColor="background1" w:themeShade="A6"/>
        <w:sz w:val="16"/>
      </w:rPr>
    </w:pPr>
  </w:p>
  <w:p w14:paraId="2D99A013" w14:textId="4FD4B582" w:rsidR="00430A8E" w:rsidRPr="00123815" w:rsidRDefault="00D1701D" w:rsidP="00F35C6A">
    <w:pPr>
      <w:pStyle w:val="Fuzeile"/>
      <w:rPr>
        <w:rFonts w:ascii="Arial" w:hAnsi="Arial" w:cs="Arial"/>
        <w:color w:val="A6A6A6" w:themeColor="background1" w:themeShade="A6"/>
        <w:sz w:val="16"/>
      </w:rPr>
    </w:pPr>
    <w:r w:rsidRPr="00123815">
      <w:rPr>
        <w:rFonts w:ascii="Arial" w:hAnsi="Arial" w:cs="Arial"/>
        <w:color w:val="A6A6A6" w:themeColor="background1" w:themeShade="A6"/>
        <w:sz w:val="16"/>
      </w:rPr>
      <w:t>Tel.: 09283/595-</w:t>
    </w:r>
    <w:r w:rsidR="0050048B">
      <w:rPr>
        <w:rFonts w:ascii="Arial" w:hAnsi="Arial" w:cs="Arial"/>
        <w:color w:val="A6A6A6" w:themeColor="background1" w:themeShade="A6"/>
        <w:sz w:val="16"/>
      </w:rPr>
      <w:t>270</w:t>
    </w:r>
  </w:p>
  <w:p w14:paraId="5D9FEDD7" w14:textId="1425D630" w:rsidR="00430A8E" w:rsidRPr="00123815" w:rsidRDefault="00D1701D" w:rsidP="00F35C6A">
    <w:pPr>
      <w:pStyle w:val="Fuzeile"/>
      <w:rPr>
        <w:rFonts w:ascii="Arial" w:hAnsi="Arial" w:cs="Arial"/>
        <w:color w:val="A6A6A6" w:themeColor="background1" w:themeShade="A6"/>
        <w:sz w:val="16"/>
      </w:rPr>
    </w:pPr>
    <w:r w:rsidRPr="00123815">
      <w:rPr>
        <w:rFonts w:ascii="Arial" w:hAnsi="Arial" w:cs="Arial"/>
        <w:color w:val="A6A6A6" w:themeColor="background1" w:themeShade="A6"/>
        <w:sz w:val="16"/>
      </w:rPr>
      <w:t xml:space="preserve">e-Mail: </w:t>
    </w:r>
    <w:r w:rsidR="0050048B">
      <w:rPr>
        <w:rFonts w:ascii="Arial" w:hAnsi="Arial" w:cs="Arial"/>
        <w:color w:val="A6A6A6" w:themeColor="background1" w:themeShade="A6"/>
        <w:sz w:val="16"/>
      </w:rPr>
      <w:t>natalia.schoettner</w:t>
    </w:r>
    <w:r w:rsidRPr="00123815">
      <w:rPr>
        <w:rFonts w:ascii="Arial" w:hAnsi="Arial" w:cs="Arial"/>
        <w:color w:val="A6A6A6" w:themeColor="background1" w:themeShade="A6"/>
        <w:sz w:val="16"/>
      </w:rPr>
      <w:t>@lamilux.de</w:t>
    </w:r>
  </w:p>
  <w:p w14:paraId="5B743655" w14:textId="77777777" w:rsidR="00430A8E" w:rsidRPr="00123815" w:rsidRDefault="00D1701D" w:rsidP="00F35C6A">
    <w:pPr>
      <w:pStyle w:val="Fuzeile"/>
      <w:jc w:val="right"/>
      <w:rPr>
        <w:rFonts w:ascii="Arial" w:hAnsi="Arial" w:cs="Arial"/>
        <w:color w:val="A6A6A6" w:themeColor="background1" w:themeShade="A6"/>
        <w:sz w:val="16"/>
        <w:lang w:val="it-IT"/>
      </w:rPr>
    </w:pPr>
    <w:r w:rsidRPr="00123815">
      <w:rPr>
        <w:rFonts w:ascii="Arial" w:hAnsi="Arial" w:cs="Arial"/>
        <w:color w:val="A6A6A6" w:themeColor="background1" w:themeShade="A6"/>
        <w:sz w:val="16"/>
      </w:rPr>
      <w:t xml:space="preserve">Seite </w:t>
    </w:r>
    <w:r w:rsidRPr="00123815">
      <w:rPr>
        <w:rFonts w:ascii="Arial" w:hAnsi="Arial" w:cs="Arial"/>
        <w:color w:val="A6A6A6" w:themeColor="background1" w:themeShade="A6"/>
        <w:sz w:val="16"/>
      </w:rPr>
      <w:fldChar w:fldCharType="begin"/>
    </w:r>
    <w:r w:rsidRPr="00123815">
      <w:rPr>
        <w:rFonts w:ascii="Arial" w:hAnsi="Arial" w:cs="Arial"/>
        <w:color w:val="A6A6A6" w:themeColor="background1" w:themeShade="A6"/>
        <w:sz w:val="16"/>
      </w:rPr>
      <w:instrText xml:space="preserve"> PAGE </w:instrText>
    </w:r>
    <w:r w:rsidRPr="00123815">
      <w:rPr>
        <w:rFonts w:ascii="Arial" w:hAnsi="Arial" w:cs="Arial"/>
        <w:color w:val="A6A6A6" w:themeColor="background1" w:themeShade="A6"/>
        <w:sz w:val="16"/>
      </w:rPr>
      <w:fldChar w:fldCharType="separate"/>
    </w:r>
    <w:r w:rsidR="00C04799" w:rsidRPr="00123815">
      <w:rPr>
        <w:rFonts w:ascii="Arial" w:hAnsi="Arial" w:cs="Arial"/>
        <w:noProof/>
        <w:color w:val="A6A6A6" w:themeColor="background1" w:themeShade="A6"/>
        <w:sz w:val="16"/>
      </w:rPr>
      <w:t>4</w:t>
    </w:r>
    <w:r w:rsidRPr="00123815">
      <w:rPr>
        <w:rFonts w:ascii="Arial" w:hAnsi="Arial" w:cs="Arial"/>
        <w:color w:val="A6A6A6" w:themeColor="background1" w:themeShade="A6"/>
        <w:sz w:val="16"/>
      </w:rPr>
      <w:fldChar w:fldCharType="end"/>
    </w:r>
    <w:r w:rsidRPr="00123815">
      <w:rPr>
        <w:rFonts w:ascii="Arial" w:hAnsi="Arial" w:cs="Arial"/>
        <w:color w:val="A6A6A6" w:themeColor="background1" w:themeShade="A6"/>
        <w:sz w:val="16"/>
      </w:rPr>
      <w:t xml:space="preserve"> von </w:t>
    </w:r>
    <w:r w:rsidRPr="00123815">
      <w:rPr>
        <w:rFonts w:ascii="Arial" w:hAnsi="Arial" w:cs="Arial"/>
        <w:color w:val="A6A6A6" w:themeColor="background1" w:themeShade="A6"/>
        <w:sz w:val="16"/>
      </w:rPr>
      <w:fldChar w:fldCharType="begin"/>
    </w:r>
    <w:r w:rsidRPr="00123815">
      <w:rPr>
        <w:rFonts w:ascii="Arial" w:hAnsi="Arial" w:cs="Arial"/>
        <w:color w:val="A6A6A6" w:themeColor="background1" w:themeShade="A6"/>
        <w:sz w:val="16"/>
      </w:rPr>
      <w:instrText xml:space="preserve"> NUMPAGES </w:instrText>
    </w:r>
    <w:r w:rsidRPr="00123815">
      <w:rPr>
        <w:rFonts w:ascii="Arial" w:hAnsi="Arial" w:cs="Arial"/>
        <w:color w:val="A6A6A6" w:themeColor="background1" w:themeShade="A6"/>
        <w:sz w:val="16"/>
      </w:rPr>
      <w:fldChar w:fldCharType="separate"/>
    </w:r>
    <w:r w:rsidR="00C04799" w:rsidRPr="00123815">
      <w:rPr>
        <w:rFonts w:ascii="Arial" w:hAnsi="Arial" w:cs="Arial"/>
        <w:noProof/>
        <w:color w:val="A6A6A6" w:themeColor="background1" w:themeShade="A6"/>
        <w:sz w:val="16"/>
      </w:rPr>
      <w:t>4</w:t>
    </w:r>
    <w:r w:rsidRPr="00123815">
      <w:rPr>
        <w:rFonts w:ascii="Arial" w:hAnsi="Arial" w:cs="Arial"/>
        <w:color w:val="A6A6A6" w:themeColor="background1" w:themeShade="A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6DC" w14:textId="77777777" w:rsidR="00104AAC" w:rsidRDefault="00104A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461B" w14:textId="77777777" w:rsidR="00A23E15" w:rsidRDefault="00A23E15" w:rsidP="00D52FF7">
      <w:r>
        <w:separator/>
      </w:r>
    </w:p>
  </w:footnote>
  <w:footnote w:type="continuationSeparator" w:id="0">
    <w:p w14:paraId="60F11841" w14:textId="77777777" w:rsidR="00A23E15" w:rsidRDefault="00A23E15" w:rsidP="00D5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936C" w14:textId="77777777" w:rsidR="00104AAC" w:rsidRDefault="00104A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911E" w14:textId="0F833310" w:rsidR="00056167" w:rsidRDefault="00C349C2" w:rsidP="00056167">
    <w:pPr>
      <w:pStyle w:val="Kopfzeile"/>
      <w:tabs>
        <w:tab w:val="clear" w:pos="4536"/>
        <w:tab w:val="clear" w:pos="9072"/>
        <w:tab w:val="left" w:pos="1820"/>
      </w:tabs>
      <w:rPr>
        <w:rFonts w:ascii="Arial" w:hAnsi="Arial" w:cs="Arial"/>
      </w:rPr>
    </w:pPr>
    <w:r>
      <w:rPr>
        <w:rFonts w:ascii="Arial" w:hAnsi="Arial" w:cs="Arial"/>
        <w:noProof/>
        <w:sz w:val="32"/>
        <w:lang w:val="it-IT"/>
      </w:rPr>
      <w:drawing>
        <wp:anchor distT="0" distB="0" distL="114300" distR="114300" simplePos="0" relativeHeight="251660288" behindDoc="1" locked="0" layoutInCell="1" allowOverlap="1" wp14:anchorId="41F99F1B" wp14:editId="10AD07AA">
          <wp:simplePos x="0" y="0"/>
          <wp:positionH relativeFrom="page">
            <wp:align>left</wp:align>
          </wp:positionH>
          <wp:positionV relativeFrom="paragraph">
            <wp:posOffset>-450215</wp:posOffset>
          </wp:positionV>
          <wp:extent cx="7543800" cy="1393158"/>
          <wp:effectExtent l="0" t="0" r="0" b="0"/>
          <wp:wrapNone/>
          <wp:docPr id="7" name="Grafik 7">
            <a:extLst xmlns:a="http://schemas.openxmlformats.org/drawingml/2006/main">
              <a:ext uri="{FF2B5EF4-FFF2-40B4-BE49-F238E27FC236}">
                <a16:creationId xmlns:a16="http://schemas.microsoft.com/office/drawing/2014/main" id="{3537C936-3094-4414-86BC-20383EB00A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93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9980C" w14:textId="35EE7541" w:rsidR="00056167" w:rsidRDefault="00AC36BF" w:rsidP="00AC36BF">
    <w:pPr>
      <w:pStyle w:val="Kopfzeile"/>
      <w:tabs>
        <w:tab w:val="clear" w:pos="4536"/>
        <w:tab w:val="clear" w:pos="9072"/>
        <w:tab w:val="left" w:pos="1440"/>
      </w:tabs>
      <w:rPr>
        <w:rFonts w:ascii="Arial" w:hAnsi="Arial" w:cs="Arial"/>
      </w:rPr>
    </w:pPr>
    <w:r>
      <w:rPr>
        <w:rFonts w:ascii="Arial" w:hAnsi="Arial" w:cs="Arial"/>
      </w:rPr>
      <w:tab/>
    </w:r>
  </w:p>
  <w:p w14:paraId="15354BE8" w14:textId="344852A0" w:rsidR="00056167" w:rsidRDefault="00C349C2" w:rsidP="00C349C2">
    <w:pPr>
      <w:pStyle w:val="Kopfzeile"/>
      <w:tabs>
        <w:tab w:val="clear" w:pos="4536"/>
        <w:tab w:val="clear" w:pos="9072"/>
        <w:tab w:val="left" w:pos="6570"/>
      </w:tabs>
      <w:rPr>
        <w:rFonts w:ascii="Arial" w:hAnsi="Arial" w:cs="Arial"/>
      </w:rPr>
    </w:pPr>
    <w:r>
      <w:rPr>
        <w:rFonts w:ascii="Arial" w:hAnsi="Arial" w:cs="Arial"/>
      </w:rPr>
      <w:tab/>
    </w:r>
  </w:p>
  <w:p w14:paraId="578D5743" w14:textId="5FBED26E" w:rsidR="00C349C2" w:rsidRDefault="00C349C2" w:rsidP="009C5D47">
    <w:pPr>
      <w:pStyle w:val="Kopfzeile"/>
      <w:tabs>
        <w:tab w:val="clear" w:pos="4536"/>
        <w:tab w:val="clear" w:pos="9072"/>
        <w:tab w:val="left" w:pos="1820"/>
      </w:tabs>
      <w:spacing w:line="60" w:lineRule="exact"/>
      <w:rPr>
        <w:rFonts w:ascii="Arial" w:hAnsi="Arial" w:cs="Arial"/>
      </w:rPr>
    </w:pPr>
    <w:r>
      <w:rPr>
        <w:rFonts w:ascii="Arial" w:hAnsi="Arial" w:cs="Arial"/>
      </w:rPr>
      <w:t xml:space="preserve">    </w:t>
    </w:r>
  </w:p>
  <w:p w14:paraId="6D7F580F" w14:textId="3A317857" w:rsidR="00056167" w:rsidRDefault="00056167" w:rsidP="00056167">
    <w:pPr>
      <w:pStyle w:val="Kopfzeile"/>
      <w:tabs>
        <w:tab w:val="clear" w:pos="4536"/>
        <w:tab w:val="clear" w:pos="9072"/>
        <w:tab w:val="left" w:pos="1820"/>
      </w:tabs>
      <w:rPr>
        <w:rFonts w:ascii="Arial" w:hAnsi="Arial" w:cs="Arial"/>
      </w:rPr>
    </w:pPr>
    <w:r>
      <w:rPr>
        <w:rFonts w:ascii="Arial" w:hAnsi="Arial" w:cs="Arial"/>
      </w:rPr>
      <w:t xml:space="preserve">Rehau, </w:t>
    </w:r>
    <w:r w:rsidR="00BD71C2">
      <w:rPr>
        <w:rFonts w:ascii="Arial" w:hAnsi="Arial" w:cs="Arial"/>
      </w:rPr>
      <w:t>2</w:t>
    </w:r>
    <w:r w:rsidR="00104AAC">
      <w:rPr>
        <w:rFonts w:ascii="Arial" w:hAnsi="Arial" w:cs="Arial"/>
      </w:rPr>
      <w:t>4</w:t>
    </w:r>
    <w:r w:rsidR="00C225AF">
      <w:rPr>
        <w:rFonts w:ascii="Arial" w:hAnsi="Arial" w:cs="Arial"/>
      </w:rPr>
      <w:t>.06.2026</w:t>
    </w:r>
  </w:p>
  <w:p w14:paraId="549B2A5E" w14:textId="77777777" w:rsidR="00056167" w:rsidRDefault="00056167">
    <w:pPr>
      <w:pStyle w:val="Kopfzeile"/>
      <w:rPr>
        <w:rFonts w:ascii="Arial" w:hAnsi="Arial" w:cs="Arial"/>
      </w:rPr>
    </w:pPr>
  </w:p>
  <w:p w14:paraId="59F9D09A" w14:textId="38F3FF19" w:rsidR="00430A8E" w:rsidRDefault="00430A8E">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B3B6" w14:textId="77777777" w:rsidR="00104AAC" w:rsidRDefault="00104A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9FA"/>
    <w:multiLevelType w:val="multilevel"/>
    <w:tmpl w:val="1DDE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425"/>
    <w:multiLevelType w:val="hybridMultilevel"/>
    <w:tmpl w:val="3B826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76457"/>
    <w:multiLevelType w:val="multilevel"/>
    <w:tmpl w:val="329E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80AA9"/>
    <w:multiLevelType w:val="multilevel"/>
    <w:tmpl w:val="6260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64FF7"/>
    <w:multiLevelType w:val="multilevel"/>
    <w:tmpl w:val="1D76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436CC"/>
    <w:multiLevelType w:val="multilevel"/>
    <w:tmpl w:val="D2E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7078D"/>
    <w:multiLevelType w:val="hybridMultilevel"/>
    <w:tmpl w:val="A964E0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4450B6D"/>
    <w:multiLevelType w:val="hybridMultilevel"/>
    <w:tmpl w:val="80DCD502"/>
    <w:lvl w:ilvl="0" w:tplc="F3C468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8A48B8"/>
    <w:multiLevelType w:val="multilevel"/>
    <w:tmpl w:val="E54E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75E9C"/>
    <w:multiLevelType w:val="multilevel"/>
    <w:tmpl w:val="908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474238">
    <w:abstractNumId w:val="4"/>
  </w:num>
  <w:num w:numId="2" w16cid:durableId="1499467164">
    <w:abstractNumId w:val="1"/>
  </w:num>
  <w:num w:numId="3" w16cid:durableId="1508397157">
    <w:abstractNumId w:val="7"/>
  </w:num>
  <w:num w:numId="4" w16cid:durableId="1570726868">
    <w:abstractNumId w:val="2"/>
  </w:num>
  <w:num w:numId="5" w16cid:durableId="2038198053">
    <w:abstractNumId w:val="6"/>
  </w:num>
  <w:num w:numId="6" w16cid:durableId="958990034">
    <w:abstractNumId w:val="3"/>
  </w:num>
  <w:num w:numId="7" w16cid:durableId="1855230">
    <w:abstractNumId w:val="8"/>
  </w:num>
  <w:num w:numId="8" w16cid:durableId="1859469535">
    <w:abstractNumId w:val="5"/>
  </w:num>
  <w:num w:numId="9" w16cid:durableId="144516661">
    <w:abstractNumId w:val="9"/>
  </w:num>
  <w:num w:numId="10" w16cid:durableId="14905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5B"/>
    <w:rsid w:val="000000D6"/>
    <w:rsid w:val="000016BA"/>
    <w:rsid w:val="000028D2"/>
    <w:rsid w:val="00002E18"/>
    <w:rsid w:val="000038EB"/>
    <w:rsid w:val="00003C30"/>
    <w:rsid w:val="0001013C"/>
    <w:rsid w:val="000147ED"/>
    <w:rsid w:val="00033CDC"/>
    <w:rsid w:val="000360BB"/>
    <w:rsid w:val="000526A2"/>
    <w:rsid w:val="00053AAA"/>
    <w:rsid w:val="00056167"/>
    <w:rsid w:val="00060BC4"/>
    <w:rsid w:val="00062629"/>
    <w:rsid w:val="00064CE6"/>
    <w:rsid w:val="000677D7"/>
    <w:rsid w:val="00072172"/>
    <w:rsid w:val="00074003"/>
    <w:rsid w:val="00080CA8"/>
    <w:rsid w:val="00085551"/>
    <w:rsid w:val="00096614"/>
    <w:rsid w:val="000A0CCB"/>
    <w:rsid w:val="000A23F6"/>
    <w:rsid w:val="000A2DCA"/>
    <w:rsid w:val="000B1B76"/>
    <w:rsid w:val="000C2B7C"/>
    <w:rsid w:val="000C4D35"/>
    <w:rsid w:val="000C559E"/>
    <w:rsid w:val="000D27A2"/>
    <w:rsid w:val="000F14A4"/>
    <w:rsid w:val="000F5BC5"/>
    <w:rsid w:val="000F77A3"/>
    <w:rsid w:val="00100F47"/>
    <w:rsid w:val="00102416"/>
    <w:rsid w:val="00103AA4"/>
    <w:rsid w:val="00104AAC"/>
    <w:rsid w:val="00115807"/>
    <w:rsid w:val="001202F0"/>
    <w:rsid w:val="00120D78"/>
    <w:rsid w:val="00123815"/>
    <w:rsid w:val="0013140D"/>
    <w:rsid w:val="00133A37"/>
    <w:rsid w:val="0013787B"/>
    <w:rsid w:val="00137FE0"/>
    <w:rsid w:val="001509EA"/>
    <w:rsid w:val="0015277D"/>
    <w:rsid w:val="00154757"/>
    <w:rsid w:val="00155270"/>
    <w:rsid w:val="00155E60"/>
    <w:rsid w:val="00157050"/>
    <w:rsid w:val="00160915"/>
    <w:rsid w:val="001651E0"/>
    <w:rsid w:val="001662CB"/>
    <w:rsid w:val="001703CA"/>
    <w:rsid w:val="00171DED"/>
    <w:rsid w:val="00172B9E"/>
    <w:rsid w:val="00182B58"/>
    <w:rsid w:val="00182F4E"/>
    <w:rsid w:val="00186A7C"/>
    <w:rsid w:val="0019085E"/>
    <w:rsid w:val="001918D4"/>
    <w:rsid w:val="00196946"/>
    <w:rsid w:val="001A311E"/>
    <w:rsid w:val="001A49BD"/>
    <w:rsid w:val="001A6AA2"/>
    <w:rsid w:val="001B3C93"/>
    <w:rsid w:val="001C0E04"/>
    <w:rsid w:val="001D0D1F"/>
    <w:rsid w:val="001D224F"/>
    <w:rsid w:val="001D3E34"/>
    <w:rsid w:val="001D7E79"/>
    <w:rsid w:val="001E14A6"/>
    <w:rsid w:val="001E16D9"/>
    <w:rsid w:val="001E31F0"/>
    <w:rsid w:val="001E613B"/>
    <w:rsid w:val="001E654C"/>
    <w:rsid w:val="001F066F"/>
    <w:rsid w:val="001F6D1A"/>
    <w:rsid w:val="002001B5"/>
    <w:rsid w:val="002005FE"/>
    <w:rsid w:val="00215F11"/>
    <w:rsid w:val="00224D18"/>
    <w:rsid w:val="00233A1B"/>
    <w:rsid w:val="00233A34"/>
    <w:rsid w:val="002477B1"/>
    <w:rsid w:val="0025449E"/>
    <w:rsid w:val="0025671F"/>
    <w:rsid w:val="00256BC5"/>
    <w:rsid w:val="00257605"/>
    <w:rsid w:val="00260A16"/>
    <w:rsid w:val="00262466"/>
    <w:rsid w:val="00263E2E"/>
    <w:rsid w:val="0026560F"/>
    <w:rsid w:val="002658C0"/>
    <w:rsid w:val="00273D54"/>
    <w:rsid w:val="002753D8"/>
    <w:rsid w:val="00280290"/>
    <w:rsid w:val="00295F09"/>
    <w:rsid w:val="00297D1B"/>
    <w:rsid w:val="00297F1E"/>
    <w:rsid w:val="002A24DC"/>
    <w:rsid w:val="002A27EA"/>
    <w:rsid w:val="002A373B"/>
    <w:rsid w:val="002B1DC2"/>
    <w:rsid w:val="002B2607"/>
    <w:rsid w:val="002B35BD"/>
    <w:rsid w:val="002B378A"/>
    <w:rsid w:val="002D5624"/>
    <w:rsid w:val="002D56C6"/>
    <w:rsid w:val="002F21D5"/>
    <w:rsid w:val="002F45A5"/>
    <w:rsid w:val="00302D48"/>
    <w:rsid w:val="00305B32"/>
    <w:rsid w:val="00306AC4"/>
    <w:rsid w:val="0031225A"/>
    <w:rsid w:val="00320C74"/>
    <w:rsid w:val="00321B9D"/>
    <w:rsid w:val="003234CE"/>
    <w:rsid w:val="00324FEC"/>
    <w:rsid w:val="0032669E"/>
    <w:rsid w:val="00326D66"/>
    <w:rsid w:val="003274D7"/>
    <w:rsid w:val="003312A7"/>
    <w:rsid w:val="00332932"/>
    <w:rsid w:val="003411CB"/>
    <w:rsid w:val="0034224A"/>
    <w:rsid w:val="00342F02"/>
    <w:rsid w:val="00345495"/>
    <w:rsid w:val="00347440"/>
    <w:rsid w:val="00347836"/>
    <w:rsid w:val="00350577"/>
    <w:rsid w:val="00351BB3"/>
    <w:rsid w:val="00354558"/>
    <w:rsid w:val="003553D5"/>
    <w:rsid w:val="00362904"/>
    <w:rsid w:val="00365D3F"/>
    <w:rsid w:val="0036719A"/>
    <w:rsid w:val="003746A2"/>
    <w:rsid w:val="00380D90"/>
    <w:rsid w:val="00381498"/>
    <w:rsid w:val="00382F90"/>
    <w:rsid w:val="00384B77"/>
    <w:rsid w:val="00387BA3"/>
    <w:rsid w:val="00390FA8"/>
    <w:rsid w:val="00392475"/>
    <w:rsid w:val="003A0178"/>
    <w:rsid w:val="003A0AE1"/>
    <w:rsid w:val="003A1A79"/>
    <w:rsid w:val="003A1CBC"/>
    <w:rsid w:val="003A7B55"/>
    <w:rsid w:val="003A7C31"/>
    <w:rsid w:val="003B0305"/>
    <w:rsid w:val="003B4AAB"/>
    <w:rsid w:val="003B571A"/>
    <w:rsid w:val="003B65B0"/>
    <w:rsid w:val="003B6CA1"/>
    <w:rsid w:val="003C17EA"/>
    <w:rsid w:val="003C5E01"/>
    <w:rsid w:val="003C647D"/>
    <w:rsid w:val="003C73D2"/>
    <w:rsid w:val="003D5A17"/>
    <w:rsid w:val="003D72A3"/>
    <w:rsid w:val="003E28F0"/>
    <w:rsid w:val="003F1277"/>
    <w:rsid w:val="003F7897"/>
    <w:rsid w:val="00400C72"/>
    <w:rsid w:val="00401883"/>
    <w:rsid w:val="00402BDE"/>
    <w:rsid w:val="0040391C"/>
    <w:rsid w:val="004067DD"/>
    <w:rsid w:val="00411068"/>
    <w:rsid w:val="00417135"/>
    <w:rsid w:val="004222DF"/>
    <w:rsid w:val="00423556"/>
    <w:rsid w:val="00430A8E"/>
    <w:rsid w:val="004326AB"/>
    <w:rsid w:val="004353BF"/>
    <w:rsid w:val="004366F4"/>
    <w:rsid w:val="0044025A"/>
    <w:rsid w:val="00443807"/>
    <w:rsid w:val="00455774"/>
    <w:rsid w:val="00460359"/>
    <w:rsid w:val="0046080D"/>
    <w:rsid w:val="00460D05"/>
    <w:rsid w:val="004664EE"/>
    <w:rsid w:val="00471DC6"/>
    <w:rsid w:val="00475741"/>
    <w:rsid w:val="00475F1C"/>
    <w:rsid w:val="00476C38"/>
    <w:rsid w:val="00477FA1"/>
    <w:rsid w:val="00481E5C"/>
    <w:rsid w:val="00483EBD"/>
    <w:rsid w:val="004843F3"/>
    <w:rsid w:val="00491C64"/>
    <w:rsid w:val="00491FDB"/>
    <w:rsid w:val="00497177"/>
    <w:rsid w:val="004A4455"/>
    <w:rsid w:val="004A6570"/>
    <w:rsid w:val="004B0953"/>
    <w:rsid w:val="004B340A"/>
    <w:rsid w:val="004C4972"/>
    <w:rsid w:val="004C5392"/>
    <w:rsid w:val="004C76A8"/>
    <w:rsid w:val="004D5C4A"/>
    <w:rsid w:val="004D67E0"/>
    <w:rsid w:val="004E079E"/>
    <w:rsid w:val="004E0AC9"/>
    <w:rsid w:val="004E49C1"/>
    <w:rsid w:val="004F2009"/>
    <w:rsid w:val="004F2C43"/>
    <w:rsid w:val="004F596F"/>
    <w:rsid w:val="00500234"/>
    <w:rsid w:val="0050048B"/>
    <w:rsid w:val="00505161"/>
    <w:rsid w:val="005075C4"/>
    <w:rsid w:val="00520F9C"/>
    <w:rsid w:val="00521744"/>
    <w:rsid w:val="00524852"/>
    <w:rsid w:val="005300A6"/>
    <w:rsid w:val="005327D5"/>
    <w:rsid w:val="005363AE"/>
    <w:rsid w:val="00537460"/>
    <w:rsid w:val="00557B1E"/>
    <w:rsid w:val="00560A6B"/>
    <w:rsid w:val="005620EB"/>
    <w:rsid w:val="00563D15"/>
    <w:rsid w:val="005667C0"/>
    <w:rsid w:val="00573478"/>
    <w:rsid w:val="0057683F"/>
    <w:rsid w:val="00580FEA"/>
    <w:rsid w:val="005826D9"/>
    <w:rsid w:val="0058298C"/>
    <w:rsid w:val="00584198"/>
    <w:rsid w:val="0058559C"/>
    <w:rsid w:val="005865B6"/>
    <w:rsid w:val="00590732"/>
    <w:rsid w:val="00594A52"/>
    <w:rsid w:val="0059530D"/>
    <w:rsid w:val="005961C2"/>
    <w:rsid w:val="005A041F"/>
    <w:rsid w:val="005A3599"/>
    <w:rsid w:val="005B1218"/>
    <w:rsid w:val="005B50F9"/>
    <w:rsid w:val="005B54D3"/>
    <w:rsid w:val="005C0943"/>
    <w:rsid w:val="005C7F11"/>
    <w:rsid w:val="005D4B5D"/>
    <w:rsid w:val="005D4F98"/>
    <w:rsid w:val="005D57E4"/>
    <w:rsid w:val="005D7110"/>
    <w:rsid w:val="005D719D"/>
    <w:rsid w:val="005E7EE0"/>
    <w:rsid w:val="00605A08"/>
    <w:rsid w:val="00606173"/>
    <w:rsid w:val="0061372F"/>
    <w:rsid w:val="00620C52"/>
    <w:rsid w:val="006236DC"/>
    <w:rsid w:val="006260B5"/>
    <w:rsid w:val="006272FF"/>
    <w:rsid w:val="0063099F"/>
    <w:rsid w:val="00630BD9"/>
    <w:rsid w:val="006312A6"/>
    <w:rsid w:val="00632818"/>
    <w:rsid w:val="00634549"/>
    <w:rsid w:val="00637CB0"/>
    <w:rsid w:val="006461C4"/>
    <w:rsid w:val="00661C3E"/>
    <w:rsid w:val="006657A5"/>
    <w:rsid w:val="00665AA3"/>
    <w:rsid w:val="006670BB"/>
    <w:rsid w:val="00667140"/>
    <w:rsid w:val="00672C26"/>
    <w:rsid w:val="0067611C"/>
    <w:rsid w:val="006876EE"/>
    <w:rsid w:val="006905D0"/>
    <w:rsid w:val="00693240"/>
    <w:rsid w:val="00695C64"/>
    <w:rsid w:val="0069662B"/>
    <w:rsid w:val="006A10E7"/>
    <w:rsid w:val="006A5AB1"/>
    <w:rsid w:val="006A6009"/>
    <w:rsid w:val="006B2016"/>
    <w:rsid w:val="006B4902"/>
    <w:rsid w:val="006B5296"/>
    <w:rsid w:val="006B6879"/>
    <w:rsid w:val="006C170D"/>
    <w:rsid w:val="006C2043"/>
    <w:rsid w:val="006C32FE"/>
    <w:rsid w:val="006C7C4D"/>
    <w:rsid w:val="006D0853"/>
    <w:rsid w:val="006D2B69"/>
    <w:rsid w:val="006F412D"/>
    <w:rsid w:val="006F70AC"/>
    <w:rsid w:val="006F793D"/>
    <w:rsid w:val="007154FB"/>
    <w:rsid w:val="007215FB"/>
    <w:rsid w:val="00724A6B"/>
    <w:rsid w:val="00731591"/>
    <w:rsid w:val="007334F3"/>
    <w:rsid w:val="00744DD2"/>
    <w:rsid w:val="00751907"/>
    <w:rsid w:val="00753C46"/>
    <w:rsid w:val="00755CED"/>
    <w:rsid w:val="00755E6A"/>
    <w:rsid w:val="00760BA8"/>
    <w:rsid w:val="00761767"/>
    <w:rsid w:val="00764350"/>
    <w:rsid w:val="00773AB1"/>
    <w:rsid w:val="00783661"/>
    <w:rsid w:val="00784502"/>
    <w:rsid w:val="00786FDE"/>
    <w:rsid w:val="007911CB"/>
    <w:rsid w:val="0079159D"/>
    <w:rsid w:val="00793BD5"/>
    <w:rsid w:val="00795D07"/>
    <w:rsid w:val="007A45BF"/>
    <w:rsid w:val="007A722A"/>
    <w:rsid w:val="007B1865"/>
    <w:rsid w:val="007C164D"/>
    <w:rsid w:val="007C4273"/>
    <w:rsid w:val="007C6052"/>
    <w:rsid w:val="007D31DD"/>
    <w:rsid w:val="007D677D"/>
    <w:rsid w:val="007E0C13"/>
    <w:rsid w:val="007E1507"/>
    <w:rsid w:val="007E6A09"/>
    <w:rsid w:val="007F4AFE"/>
    <w:rsid w:val="00800556"/>
    <w:rsid w:val="008051B0"/>
    <w:rsid w:val="00811647"/>
    <w:rsid w:val="00814838"/>
    <w:rsid w:val="00815E7C"/>
    <w:rsid w:val="00820876"/>
    <w:rsid w:val="00824079"/>
    <w:rsid w:val="00824B49"/>
    <w:rsid w:val="00830831"/>
    <w:rsid w:val="00842D74"/>
    <w:rsid w:val="00861794"/>
    <w:rsid w:val="0086446A"/>
    <w:rsid w:val="00865760"/>
    <w:rsid w:val="00874044"/>
    <w:rsid w:val="00883276"/>
    <w:rsid w:val="00885B0B"/>
    <w:rsid w:val="008B3D98"/>
    <w:rsid w:val="008B6A06"/>
    <w:rsid w:val="008C50DE"/>
    <w:rsid w:val="008D0BD1"/>
    <w:rsid w:val="008D172E"/>
    <w:rsid w:val="008D2F0E"/>
    <w:rsid w:val="008D3798"/>
    <w:rsid w:val="008D58B4"/>
    <w:rsid w:val="008D6A0C"/>
    <w:rsid w:val="008D71DC"/>
    <w:rsid w:val="008E0A40"/>
    <w:rsid w:val="008E220A"/>
    <w:rsid w:val="008E66E4"/>
    <w:rsid w:val="008E6F6A"/>
    <w:rsid w:val="008E7967"/>
    <w:rsid w:val="00900115"/>
    <w:rsid w:val="009014C0"/>
    <w:rsid w:val="009107C6"/>
    <w:rsid w:val="009225A7"/>
    <w:rsid w:val="0092338E"/>
    <w:rsid w:val="009242B2"/>
    <w:rsid w:val="00925760"/>
    <w:rsid w:val="009260D0"/>
    <w:rsid w:val="00930C3B"/>
    <w:rsid w:val="00930C5B"/>
    <w:rsid w:val="00935A60"/>
    <w:rsid w:val="00937614"/>
    <w:rsid w:val="009463B5"/>
    <w:rsid w:val="00950695"/>
    <w:rsid w:val="009518A3"/>
    <w:rsid w:val="00955805"/>
    <w:rsid w:val="009669E8"/>
    <w:rsid w:val="009713CA"/>
    <w:rsid w:val="00971DF7"/>
    <w:rsid w:val="00972419"/>
    <w:rsid w:val="00972EAE"/>
    <w:rsid w:val="00975A39"/>
    <w:rsid w:val="009760A1"/>
    <w:rsid w:val="00976B22"/>
    <w:rsid w:val="00982081"/>
    <w:rsid w:val="00991C21"/>
    <w:rsid w:val="009A240E"/>
    <w:rsid w:val="009A2D41"/>
    <w:rsid w:val="009A3CEE"/>
    <w:rsid w:val="009B0762"/>
    <w:rsid w:val="009B571E"/>
    <w:rsid w:val="009B6B27"/>
    <w:rsid w:val="009B6EED"/>
    <w:rsid w:val="009B7157"/>
    <w:rsid w:val="009C077B"/>
    <w:rsid w:val="009C2D61"/>
    <w:rsid w:val="009C5D47"/>
    <w:rsid w:val="009C6D6D"/>
    <w:rsid w:val="009C78F4"/>
    <w:rsid w:val="009D057A"/>
    <w:rsid w:val="009D1176"/>
    <w:rsid w:val="009D61FE"/>
    <w:rsid w:val="009E0D1F"/>
    <w:rsid w:val="009E60D8"/>
    <w:rsid w:val="009E6283"/>
    <w:rsid w:val="009E76C2"/>
    <w:rsid w:val="009F0DDE"/>
    <w:rsid w:val="009F3F74"/>
    <w:rsid w:val="00A02584"/>
    <w:rsid w:val="00A1051B"/>
    <w:rsid w:val="00A10873"/>
    <w:rsid w:val="00A14256"/>
    <w:rsid w:val="00A16269"/>
    <w:rsid w:val="00A21595"/>
    <w:rsid w:val="00A21BA1"/>
    <w:rsid w:val="00A23B2B"/>
    <w:rsid w:val="00A23E15"/>
    <w:rsid w:val="00A246BC"/>
    <w:rsid w:val="00A24B68"/>
    <w:rsid w:val="00A31F9C"/>
    <w:rsid w:val="00A32662"/>
    <w:rsid w:val="00A44E19"/>
    <w:rsid w:val="00A46C13"/>
    <w:rsid w:val="00A46FC6"/>
    <w:rsid w:val="00A474A8"/>
    <w:rsid w:val="00A476A6"/>
    <w:rsid w:val="00A64B78"/>
    <w:rsid w:val="00A65D28"/>
    <w:rsid w:val="00A710DE"/>
    <w:rsid w:val="00A740FB"/>
    <w:rsid w:val="00A81808"/>
    <w:rsid w:val="00A853BA"/>
    <w:rsid w:val="00A872E9"/>
    <w:rsid w:val="00A9295C"/>
    <w:rsid w:val="00A97D5A"/>
    <w:rsid w:val="00AA214C"/>
    <w:rsid w:val="00AB2ED5"/>
    <w:rsid w:val="00AB4307"/>
    <w:rsid w:val="00AC19F6"/>
    <w:rsid w:val="00AC36BF"/>
    <w:rsid w:val="00AD7EAE"/>
    <w:rsid w:val="00AE0976"/>
    <w:rsid w:val="00AE7295"/>
    <w:rsid w:val="00AF1B8C"/>
    <w:rsid w:val="00AF25A1"/>
    <w:rsid w:val="00AF52FC"/>
    <w:rsid w:val="00B13199"/>
    <w:rsid w:val="00B15ED4"/>
    <w:rsid w:val="00B213D6"/>
    <w:rsid w:val="00B22912"/>
    <w:rsid w:val="00B362C6"/>
    <w:rsid w:val="00B40F5A"/>
    <w:rsid w:val="00B43E3B"/>
    <w:rsid w:val="00B51434"/>
    <w:rsid w:val="00B51FDD"/>
    <w:rsid w:val="00B53882"/>
    <w:rsid w:val="00B56E45"/>
    <w:rsid w:val="00B67E12"/>
    <w:rsid w:val="00B7115A"/>
    <w:rsid w:val="00B73390"/>
    <w:rsid w:val="00B76C04"/>
    <w:rsid w:val="00B90D69"/>
    <w:rsid w:val="00BA1132"/>
    <w:rsid w:val="00BA37FD"/>
    <w:rsid w:val="00BA52E5"/>
    <w:rsid w:val="00BB3BE8"/>
    <w:rsid w:val="00BB47EB"/>
    <w:rsid w:val="00BC09D4"/>
    <w:rsid w:val="00BC7E27"/>
    <w:rsid w:val="00BD1638"/>
    <w:rsid w:val="00BD4B20"/>
    <w:rsid w:val="00BD71C2"/>
    <w:rsid w:val="00BD7388"/>
    <w:rsid w:val="00BD77FB"/>
    <w:rsid w:val="00BE5BDA"/>
    <w:rsid w:val="00BF203E"/>
    <w:rsid w:val="00BF2589"/>
    <w:rsid w:val="00BF60E7"/>
    <w:rsid w:val="00C007E9"/>
    <w:rsid w:val="00C04799"/>
    <w:rsid w:val="00C07649"/>
    <w:rsid w:val="00C1564D"/>
    <w:rsid w:val="00C16D1B"/>
    <w:rsid w:val="00C225AF"/>
    <w:rsid w:val="00C2693F"/>
    <w:rsid w:val="00C30AAF"/>
    <w:rsid w:val="00C349C2"/>
    <w:rsid w:val="00C42648"/>
    <w:rsid w:val="00C50810"/>
    <w:rsid w:val="00C52CAC"/>
    <w:rsid w:val="00C54619"/>
    <w:rsid w:val="00C5699E"/>
    <w:rsid w:val="00C5783A"/>
    <w:rsid w:val="00C64692"/>
    <w:rsid w:val="00C6729F"/>
    <w:rsid w:val="00C816E8"/>
    <w:rsid w:val="00C83B0C"/>
    <w:rsid w:val="00C94BE4"/>
    <w:rsid w:val="00CA6966"/>
    <w:rsid w:val="00CB1CC7"/>
    <w:rsid w:val="00CB41B6"/>
    <w:rsid w:val="00CB553C"/>
    <w:rsid w:val="00CB6D8B"/>
    <w:rsid w:val="00CC012A"/>
    <w:rsid w:val="00CC3817"/>
    <w:rsid w:val="00CD16BC"/>
    <w:rsid w:val="00CD3F3A"/>
    <w:rsid w:val="00CD4380"/>
    <w:rsid w:val="00CE0D56"/>
    <w:rsid w:val="00CE45A3"/>
    <w:rsid w:val="00CF154E"/>
    <w:rsid w:val="00CF6903"/>
    <w:rsid w:val="00D002F1"/>
    <w:rsid w:val="00D0353D"/>
    <w:rsid w:val="00D1701D"/>
    <w:rsid w:val="00D319B3"/>
    <w:rsid w:val="00D32787"/>
    <w:rsid w:val="00D336D8"/>
    <w:rsid w:val="00D35DDE"/>
    <w:rsid w:val="00D36F94"/>
    <w:rsid w:val="00D507EF"/>
    <w:rsid w:val="00D52FF7"/>
    <w:rsid w:val="00D60711"/>
    <w:rsid w:val="00D65ABF"/>
    <w:rsid w:val="00D72D94"/>
    <w:rsid w:val="00D746E3"/>
    <w:rsid w:val="00D861BD"/>
    <w:rsid w:val="00D90451"/>
    <w:rsid w:val="00D9247C"/>
    <w:rsid w:val="00D93090"/>
    <w:rsid w:val="00D96EB7"/>
    <w:rsid w:val="00DA5C0A"/>
    <w:rsid w:val="00DB104A"/>
    <w:rsid w:val="00DB3D05"/>
    <w:rsid w:val="00DB40B6"/>
    <w:rsid w:val="00DB5C6D"/>
    <w:rsid w:val="00DB694F"/>
    <w:rsid w:val="00DD1675"/>
    <w:rsid w:val="00DE71A6"/>
    <w:rsid w:val="00DF494F"/>
    <w:rsid w:val="00DF59D8"/>
    <w:rsid w:val="00E04278"/>
    <w:rsid w:val="00E0608C"/>
    <w:rsid w:val="00E06832"/>
    <w:rsid w:val="00E06F6B"/>
    <w:rsid w:val="00E16486"/>
    <w:rsid w:val="00E1774D"/>
    <w:rsid w:val="00E22333"/>
    <w:rsid w:val="00E23AC9"/>
    <w:rsid w:val="00E23E62"/>
    <w:rsid w:val="00E23E6D"/>
    <w:rsid w:val="00E246FE"/>
    <w:rsid w:val="00E25423"/>
    <w:rsid w:val="00E25DBA"/>
    <w:rsid w:val="00E27064"/>
    <w:rsid w:val="00E27369"/>
    <w:rsid w:val="00E3467A"/>
    <w:rsid w:val="00E404D2"/>
    <w:rsid w:val="00E42469"/>
    <w:rsid w:val="00E428FC"/>
    <w:rsid w:val="00E440DA"/>
    <w:rsid w:val="00E608B6"/>
    <w:rsid w:val="00E6317B"/>
    <w:rsid w:val="00E64C32"/>
    <w:rsid w:val="00E7003F"/>
    <w:rsid w:val="00E710A4"/>
    <w:rsid w:val="00E724E6"/>
    <w:rsid w:val="00E72FAA"/>
    <w:rsid w:val="00E73B03"/>
    <w:rsid w:val="00E77DD8"/>
    <w:rsid w:val="00E92649"/>
    <w:rsid w:val="00EA303A"/>
    <w:rsid w:val="00EA32C7"/>
    <w:rsid w:val="00EA6F9F"/>
    <w:rsid w:val="00EA7725"/>
    <w:rsid w:val="00EB2CE2"/>
    <w:rsid w:val="00EB541C"/>
    <w:rsid w:val="00EB54A0"/>
    <w:rsid w:val="00EB6BE0"/>
    <w:rsid w:val="00EC13D7"/>
    <w:rsid w:val="00ED1D2F"/>
    <w:rsid w:val="00ED1ECA"/>
    <w:rsid w:val="00EE2D68"/>
    <w:rsid w:val="00EE661A"/>
    <w:rsid w:val="00EE670F"/>
    <w:rsid w:val="00EF015A"/>
    <w:rsid w:val="00EF419C"/>
    <w:rsid w:val="00EF74DE"/>
    <w:rsid w:val="00F11C67"/>
    <w:rsid w:val="00F15EBA"/>
    <w:rsid w:val="00F209EE"/>
    <w:rsid w:val="00F269C2"/>
    <w:rsid w:val="00F3059E"/>
    <w:rsid w:val="00F35443"/>
    <w:rsid w:val="00F35C6A"/>
    <w:rsid w:val="00F40A6A"/>
    <w:rsid w:val="00F44EF5"/>
    <w:rsid w:val="00F520BA"/>
    <w:rsid w:val="00F540E4"/>
    <w:rsid w:val="00F62DF4"/>
    <w:rsid w:val="00F65CE8"/>
    <w:rsid w:val="00F703B5"/>
    <w:rsid w:val="00F70511"/>
    <w:rsid w:val="00F766A9"/>
    <w:rsid w:val="00F8035B"/>
    <w:rsid w:val="00F82746"/>
    <w:rsid w:val="00F82E6C"/>
    <w:rsid w:val="00F84A51"/>
    <w:rsid w:val="00F93A77"/>
    <w:rsid w:val="00F95A5B"/>
    <w:rsid w:val="00F96EC7"/>
    <w:rsid w:val="00FA2D59"/>
    <w:rsid w:val="00FA63DD"/>
    <w:rsid w:val="00FA71F3"/>
    <w:rsid w:val="00FB3C12"/>
    <w:rsid w:val="00FB6222"/>
    <w:rsid w:val="00FB7A08"/>
    <w:rsid w:val="00FC1840"/>
    <w:rsid w:val="00FC2CA8"/>
    <w:rsid w:val="00FD0984"/>
    <w:rsid w:val="00FD1850"/>
    <w:rsid w:val="00FE15F6"/>
    <w:rsid w:val="00FF39A3"/>
    <w:rsid w:val="00FF513B"/>
    <w:rsid w:val="21FD42C4"/>
    <w:rsid w:val="230C6F43"/>
    <w:rsid w:val="34CF8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F182"/>
  <w15:chartTrackingRefBased/>
  <w15:docId w15:val="{8B209832-DE4E-47ED-AD3E-1193FAD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0C5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30C5B"/>
    <w:pPr>
      <w:tabs>
        <w:tab w:val="center" w:pos="4536"/>
        <w:tab w:val="right" w:pos="9072"/>
      </w:tabs>
    </w:pPr>
  </w:style>
  <w:style w:type="character" w:customStyle="1" w:styleId="KopfzeileZchn">
    <w:name w:val="Kopfzeile Zchn"/>
    <w:basedOn w:val="Absatz-Standardschriftart"/>
    <w:link w:val="Kopfzeile"/>
    <w:rsid w:val="00930C5B"/>
    <w:rPr>
      <w:rFonts w:ascii="Times New Roman" w:eastAsia="Times New Roman" w:hAnsi="Times New Roman" w:cs="Times New Roman"/>
      <w:sz w:val="24"/>
      <w:szCs w:val="24"/>
      <w:lang w:eastAsia="de-DE"/>
    </w:rPr>
  </w:style>
  <w:style w:type="paragraph" w:styleId="Fuzeile">
    <w:name w:val="footer"/>
    <w:basedOn w:val="Standard"/>
    <w:link w:val="FuzeileZchn"/>
    <w:rsid w:val="00930C5B"/>
    <w:pPr>
      <w:tabs>
        <w:tab w:val="center" w:pos="4536"/>
        <w:tab w:val="right" w:pos="9072"/>
      </w:tabs>
    </w:pPr>
  </w:style>
  <w:style w:type="character" w:customStyle="1" w:styleId="FuzeileZchn">
    <w:name w:val="Fußzeile Zchn"/>
    <w:basedOn w:val="Absatz-Standardschriftart"/>
    <w:link w:val="Fuzeile"/>
    <w:rsid w:val="00930C5B"/>
    <w:rPr>
      <w:rFonts w:ascii="Times New Roman" w:eastAsia="Times New Roman" w:hAnsi="Times New Roman" w:cs="Times New Roman"/>
      <w:sz w:val="24"/>
      <w:szCs w:val="24"/>
      <w:lang w:eastAsia="de-DE"/>
    </w:rPr>
  </w:style>
  <w:style w:type="paragraph" w:styleId="Textkrper">
    <w:name w:val="Body Text"/>
    <w:basedOn w:val="Standard"/>
    <w:link w:val="TextkrperZchn"/>
    <w:rsid w:val="00930C5B"/>
    <w:pPr>
      <w:jc w:val="both"/>
    </w:pPr>
    <w:rPr>
      <w:rFonts w:ascii="Arial" w:hAnsi="Arial" w:cs="Arial"/>
      <w:b/>
      <w:bCs/>
      <w:sz w:val="22"/>
    </w:rPr>
  </w:style>
  <w:style w:type="character" w:customStyle="1" w:styleId="TextkrperZchn">
    <w:name w:val="Textkörper Zchn"/>
    <w:basedOn w:val="Absatz-Standardschriftart"/>
    <w:link w:val="Textkrper"/>
    <w:rsid w:val="00930C5B"/>
    <w:rPr>
      <w:rFonts w:ascii="Arial" w:eastAsia="Times New Roman" w:hAnsi="Arial" w:cs="Arial"/>
      <w:b/>
      <w:bCs/>
      <w:szCs w:val="24"/>
      <w:lang w:eastAsia="de-DE"/>
    </w:rPr>
  </w:style>
  <w:style w:type="character" w:styleId="Fett">
    <w:name w:val="Strong"/>
    <w:qFormat/>
    <w:rsid w:val="00930C5B"/>
    <w:rPr>
      <w:b/>
      <w:bCs/>
    </w:rPr>
  </w:style>
  <w:style w:type="character" w:styleId="Hyperlink">
    <w:name w:val="Hyperlink"/>
    <w:basedOn w:val="Absatz-Standardschriftart"/>
    <w:uiPriority w:val="99"/>
    <w:unhideWhenUsed/>
    <w:rsid w:val="002477B1"/>
    <w:rPr>
      <w:color w:val="0563C1" w:themeColor="hyperlink"/>
      <w:u w:val="single"/>
    </w:rPr>
  </w:style>
  <w:style w:type="character" w:styleId="NichtaufgelsteErwhnung">
    <w:name w:val="Unresolved Mention"/>
    <w:basedOn w:val="Absatz-Standardschriftart"/>
    <w:uiPriority w:val="99"/>
    <w:semiHidden/>
    <w:unhideWhenUsed/>
    <w:rsid w:val="002477B1"/>
    <w:rPr>
      <w:color w:val="605E5C"/>
      <w:shd w:val="clear" w:color="auto" w:fill="E1DFDD"/>
    </w:rPr>
  </w:style>
  <w:style w:type="paragraph" w:customStyle="1" w:styleId="Verzeichnis">
    <w:name w:val="Verzeichnis"/>
    <w:basedOn w:val="Standard"/>
    <w:rsid w:val="00EF419C"/>
    <w:pPr>
      <w:suppressLineNumbers/>
      <w:suppressAutoHyphens/>
    </w:pPr>
    <w:rPr>
      <w:rFonts w:cs="Tahoma"/>
      <w:sz w:val="20"/>
      <w:szCs w:val="20"/>
    </w:rPr>
  </w:style>
  <w:style w:type="paragraph" w:customStyle="1" w:styleId="WW-Textkrper21">
    <w:name w:val="WW-Textkörper 21"/>
    <w:basedOn w:val="Standard"/>
    <w:rsid w:val="00EF419C"/>
    <w:pPr>
      <w:suppressAutoHyphens/>
      <w:spacing w:line="400" w:lineRule="exact"/>
      <w:jc w:val="both"/>
    </w:pPr>
    <w:rPr>
      <w:rFonts w:ascii="Arial" w:hAnsi="Arial" w:cs="Arial"/>
      <w:i/>
      <w:sz w:val="20"/>
      <w:szCs w:val="20"/>
    </w:rPr>
  </w:style>
  <w:style w:type="character" w:styleId="Kommentarzeichen">
    <w:name w:val="annotation reference"/>
    <w:basedOn w:val="Absatz-Standardschriftart"/>
    <w:uiPriority w:val="99"/>
    <w:semiHidden/>
    <w:unhideWhenUsed/>
    <w:rsid w:val="00731591"/>
    <w:rPr>
      <w:sz w:val="16"/>
      <w:szCs w:val="16"/>
    </w:rPr>
  </w:style>
  <w:style w:type="paragraph" w:styleId="Kommentartext">
    <w:name w:val="annotation text"/>
    <w:basedOn w:val="Standard"/>
    <w:link w:val="KommentartextZchn"/>
    <w:uiPriority w:val="99"/>
    <w:unhideWhenUsed/>
    <w:rsid w:val="00731591"/>
    <w:rPr>
      <w:sz w:val="20"/>
      <w:szCs w:val="20"/>
    </w:rPr>
  </w:style>
  <w:style w:type="character" w:customStyle="1" w:styleId="KommentartextZchn">
    <w:name w:val="Kommentartext Zchn"/>
    <w:basedOn w:val="Absatz-Standardschriftart"/>
    <w:link w:val="Kommentartext"/>
    <w:uiPriority w:val="99"/>
    <w:rsid w:val="0073159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31591"/>
    <w:rPr>
      <w:b/>
      <w:bCs/>
    </w:rPr>
  </w:style>
  <w:style w:type="character" w:customStyle="1" w:styleId="KommentarthemaZchn">
    <w:name w:val="Kommentarthema Zchn"/>
    <w:basedOn w:val="KommentartextZchn"/>
    <w:link w:val="Kommentarthema"/>
    <w:uiPriority w:val="99"/>
    <w:semiHidden/>
    <w:rsid w:val="00731591"/>
    <w:rPr>
      <w:rFonts w:ascii="Times New Roman" w:eastAsia="Times New Roman" w:hAnsi="Times New Roman" w:cs="Times New Roman"/>
      <w:b/>
      <w:bCs/>
      <w:sz w:val="20"/>
      <w:szCs w:val="20"/>
      <w:lang w:eastAsia="de-DE"/>
    </w:rPr>
  </w:style>
  <w:style w:type="paragraph" w:styleId="berarbeitung">
    <w:name w:val="Revision"/>
    <w:hidden/>
    <w:uiPriority w:val="99"/>
    <w:semiHidden/>
    <w:rsid w:val="00D65ABF"/>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47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milux.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0879A6E288174187779BF5BECD2869" ma:contentTypeVersion="12" ma:contentTypeDescription="Ein neues Dokument erstellen." ma:contentTypeScope="" ma:versionID="b2e28f81303b1d7404136f1982ce7e61">
  <xsd:schema xmlns:xsd="http://www.w3.org/2001/XMLSchema" xmlns:xs="http://www.w3.org/2001/XMLSchema" xmlns:p="http://schemas.microsoft.com/office/2006/metadata/properties" xmlns:ns2="cadd59ce-1a24-4458-85b3-413f5cabd500" xmlns:ns3="005f247a-68eb-455f-a4b9-b3ec90b2f801" targetNamespace="http://schemas.microsoft.com/office/2006/metadata/properties" ma:root="true" ma:fieldsID="603e8e2a6d443858f5547a50b60980d7" ns2:_="" ns3:_="">
    <xsd:import namespace="cadd59ce-1a24-4458-85b3-413f5cabd500"/>
    <xsd:import namespace="005f247a-68eb-455f-a4b9-b3ec90b2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9ce-1a24-4458-85b3-413f5cabd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10698c9-172a-41ce-8928-7b9bd7f60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f247a-68eb-455f-a4b9-b3ec90b2f8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4a74a8-fafc-4ca1-9e1c-a8ce8ccd66ab}" ma:internalName="TaxCatchAll" ma:showField="CatchAllData" ma:web="005f247a-68eb-455f-a4b9-b3ec90b2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5f247a-68eb-455f-a4b9-b3ec90b2f801" xsi:nil="true"/>
    <lcf76f155ced4ddcb4097134ff3c332f xmlns="cadd59ce-1a24-4458-85b3-413f5cabd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CD4D1-E267-4769-AD63-6CB788CA5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9ce-1a24-4458-85b3-413f5cabd500"/>
    <ds:schemaRef ds:uri="005f247a-68eb-455f-a4b9-b3ec90b2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905DF-747F-4BF2-AFE8-4EE5F728F9E7}">
  <ds:schemaRefs>
    <ds:schemaRef ds:uri="http://schemas.microsoft.com/office/2006/metadata/properties"/>
    <ds:schemaRef ds:uri="http://schemas.microsoft.com/office/infopath/2007/PartnerControls"/>
    <ds:schemaRef ds:uri="005f247a-68eb-455f-a4b9-b3ec90b2f801"/>
    <ds:schemaRef ds:uri="cadd59ce-1a24-4458-85b3-413f5cabd500"/>
  </ds:schemaRefs>
</ds:datastoreItem>
</file>

<file path=customXml/itemProps3.xml><?xml version="1.0" encoding="utf-8"?>
<ds:datastoreItem xmlns:ds="http://schemas.openxmlformats.org/officeDocument/2006/customXml" ds:itemID="{2530E328-CF81-47FA-9FB3-B5EC17225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6071</Characters>
  <Application>Microsoft Office Word</Application>
  <DocSecurity>0</DocSecurity>
  <Lines>50</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Kemnitzer, Pamela</dc:creator>
  <cp:keywords/>
  <dc:description/>
  <cp:lastModifiedBy>Schöttner, Natalia</cp:lastModifiedBy>
  <cp:revision>115</cp:revision>
  <cp:lastPrinted>2026-05-18T09:54:00Z</cp:lastPrinted>
  <dcterms:created xsi:type="dcterms:W3CDTF">2026-04-22T16:58:00Z</dcterms:created>
  <dcterms:modified xsi:type="dcterms:W3CDTF">2026-06-24T08:22:00Z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0x010100C70879A6E288174187779BF5BECD2869</vt:lpwstr>
  </property>
  <property fmtid="{D5CDD505-2E9C-101B-9397-08002B2CF9AE}" pid="3" name="docLang">
    <vt:lpwstr>de</vt:lpwstr>
  </property>
  <property fmtid="{D5CDD505-2E9C-101B-9397-08002B2CF9AE}" pid="4" name="Order">
    <vt:r8>722600</vt:r8>
  </property>
  <property fmtid="{D5CDD505-2E9C-101B-9397-08002B2CF9AE}" pid="5" name="ComplianceAssetId">
    <vt:lpwstr/>
  </property>
  <property fmtid="{D5CDD505-2E9C-101B-9397-08002B2CF9AE}" pid="6" name="_activity">
    <vt:lpwstr>{"FileActivityType":"9","FileActivityTimeStamp":"2026-05-20T12:25:46.867Z","FileActivityUsersOnPage":[{"DisplayName":"Zeidler, Anke","Id":"anke.zeidler@lamilux.de"},{"DisplayName":"Hoier, Alexander","Id":"alexander.hoier@lamilux.de"}],"FileActivityNavigationId":null}</vt:lpwstr>
  </property>
  <property fmtid="{D5CDD505-2E9C-101B-9397-08002B2CF9AE}" pid="7" name="_ExtendedDescription">
    <vt:lpwstr/>
  </property>
  <property fmtid="{D5CDD505-2E9C-101B-9397-08002B2CF9AE}" pid="8" name="TriggerFlowInfo">
    <vt:lpwstr/>
  </property>
</Properties>
</file>