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F6D22" w14:textId="0A0B504A" w:rsidR="009C077F" w:rsidRPr="00545B30" w:rsidRDefault="00127D31" w:rsidP="00545B30">
      <w:pPr>
        <w:spacing w:line="264" w:lineRule="auto"/>
        <w:jc w:val="right"/>
        <w:rPr>
          <w:rFonts w:ascii="Plain Thin" w:hAnsi="Plain Thin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6F13CB98" wp14:editId="65768692">
            <wp:extent cx="640403" cy="360000"/>
            <wp:effectExtent l="0" t="0" r="762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3175_20161020_ETL_2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0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A7C95" w14:textId="77777777" w:rsidR="0091575F" w:rsidRPr="007079FE" w:rsidRDefault="0091575F" w:rsidP="004251C0">
      <w:pPr>
        <w:spacing w:line="264" w:lineRule="auto"/>
        <w:rPr>
          <w:rFonts w:ascii="Plain Thin" w:hAnsi="Plain Thin"/>
        </w:rPr>
      </w:pPr>
    </w:p>
    <w:p w14:paraId="723B5AAA" w14:textId="77777777" w:rsidR="00D34F30" w:rsidRPr="007079FE" w:rsidRDefault="00D34F30" w:rsidP="00D34F30">
      <w:pPr>
        <w:spacing w:line="264" w:lineRule="auto"/>
        <w:rPr>
          <w:rFonts w:ascii="Plain Thin" w:hAnsi="Plain Thin"/>
          <w:sz w:val="24"/>
          <w:szCs w:val="24"/>
        </w:rPr>
      </w:pPr>
      <w:r w:rsidRPr="007079FE">
        <w:rPr>
          <w:rFonts w:ascii="Plain Thin" w:hAnsi="Plain Thin"/>
          <w:sz w:val="24"/>
          <w:szCs w:val="24"/>
        </w:rPr>
        <w:t>PRESSE</w:t>
      </w:r>
      <w:r w:rsidR="00775B18">
        <w:rPr>
          <w:rFonts w:ascii="Plain Thin" w:hAnsi="Plain Thin"/>
          <w:sz w:val="24"/>
          <w:szCs w:val="24"/>
        </w:rPr>
        <w:t>INFORMATION</w:t>
      </w:r>
    </w:p>
    <w:p w14:paraId="6A12242A" w14:textId="059C847E" w:rsidR="00834EDA" w:rsidRPr="00834EDA" w:rsidRDefault="00127D31" w:rsidP="00834EDA">
      <w:pPr>
        <w:rPr>
          <w:rFonts w:ascii="Plain Thin" w:eastAsia="Times New Roman" w:hAnsi="Plain Thin" w:cs="Arial"/>
          <w:b/>
          <w:bCs/>
          <w:kern w:val="36"/>
          <w:sz w:val="32"/>
          <w:szCs w:val="32"/>
          <w:lang w:eastAsia="de-DE"/>
        </w:rPr>
      </w:pPr>
      <w:r>
        <w:rPr>
          <w:rFonts w:ascii="Plain Thin" w:eastAsia="Times New Roman" w:hAnsi="Plain Thin" w:cs="Arial"/>
          <w:b/>
          <w:bCs/>
          <w:kern w:val="36"/>
          <w:sz w:val="32"/>
          <w:szCs w:val="32"/>
          <w:lang w:eastAsia="de-DE"/>
        </w:rPr>
        <w:t>Steuerfreie Coronaprämie</w:t>
      </w:r>
      <w:r w:rsidR="001D3F7A">
        <w:rPr>
          <w:rFonts w:ascii="Plain Thin" w:eastAsia="Times New Roman" w:hAnsi="Plain Thin" w:cs="Arial"/>
          <w:b/>
          <w:bCs/>
          <w:kern w:val="36"/>
          <w:sz w:val="32"/>
          <w:szCs w:val="32"/>
          <w:lang w:eastAsia="de-DE"/>
        </w:rPr>
        <w:t xml:space="preserve"> für Mitarbeiter</w:t>
      </w:r>
      <w:r w:rsidR="00834EDA">
        <w:rPr>
          <w:rFonts w:ascii="Plain Thin" w:eastAsia="Times New Roman" w:hAnsi="Plain Thin" w:cs="Arial"/>
          <w:b/>
          <w:bCs/>
          <w:kern w:val="36"/>
          <w:sz w:val="32"/>
          <w:szCs w:val="32"/>
          <w:lang w:eastAsia="de-DE"/>
        </w:rPr>
        <w:t xml:space="preserve">: </w:t>
      </w:r>
      <w:r>
        <w:rPr>
          <w:rFonts w:ascii="Plain Thin" w:eastAsia="Times New Roman" w:hAnsi="Plain Thin" w:cs="Arial"/>
          <w:b/>
          <w:bCs/>
          <w:kern w:val="36"/>
          <w:sz w:val="32"/>
          <w:szCs w:val="32"/>
          <w:lang w:eastAsia="de-DE"/>
        </w:rPr>
        <w:t>Mehrfachzahlung in Ausnahmefällen möglich</w:t>
      </w:r>
    </w:p>
    <w:p w14:paraId="6960C5B4" w14:textId="0830885F" w:rsidR="00AB1797" w:rsidRDefault="006964E4" w:rsidP="00961790">
      <w:pPr>
        <w:spacing w:after="120"/>
        <w:rPr>
          <w:rFonts w:ascii="Plain Thin" w:hAnsi="Plain Thin" w:cs="Arial"/>
          <w:b/>
          <w:sz w:val="19"/>
          <w:szCs w:val="19"/>
        </w:rPr>
      </w:pPr>
      <w:r w:rsidRPr="00A2388D">
        <w:rPr>
          <w:rFonts w:ascii="Plain Thin" w:hAnsi="Plain Thin"/>
          <w:i/>
          <w:sz w:val="19"/>
          <w:szCs w:val="19"/>
        </w:rPr>
        <w:t xml:space="preserve">Berlin/Essen, </w:t>
      </w:r>
      <w:r w:rsidR="00E42C34">
        <w:rPr>
          <w:rFonts w:ascii="Plain Thin" w:hAnsi="Plain Thin"/>
          <w:i/>
          <w:sz w:val="19"/>
          <w:szCs w:val="19"/>
        </w:rPr>
        <w:t>23</w:t>
      </w:r>
      <w:r w:rsidRPr="00A2388D">
        <w:rPr>
          <w:rFonts w:ascii="Plain Thin" w:hAnsi="Plain Thin"/>
          <w:i/>
          <w:sz w:val="19"/>
          <w:szCs w:val="19"/>
        </w:rPr>
        <w:t>.</w:t>
      </w:r>
      <w:r w:rsidR="00331DE7">
        <w:rPr>
          <w:rFonts w:ascii="Plain Thin" w:hAnsi="Plain Thin"/>
          <w:i/>
          <w:sz w:val="19"/>
          <w:szCs w:val="19"/>
        </w:rPr>
        <w:t>0</w:t>
      </w:r>
      <w:r w:rsidR="00127D31">
        <w:rPr>
          <w:rFonts w:ascii="Plain Thin" w:hAnsi="Plain Thin"/>
          <w:i/>
          <w:sz w:val="19"/>
          <w:szCs w:val="19"/>
        </w:rPr>
        <w:t>2.2022:</w:t>
      </w:r>
      <w:r w:rsidR="00834EDA">
        <w:rPr>
          <w:rFonts w:ascii="Plain Thin" w:hAnsi="Plain Thin"/>
          <w:sz w:val="19"/>
          <w:szCs w:val="19"/>
        </w:rPr>
        <w:t xml:space="preserve"> </w:t>
      </w:r>
      <w:r w:rsidR="00127D31" w:rsidRPr="00127D31">
        <w:rPr>
          <w:rFonts w:ascii="Plain Thin" w:hAnsi="Plain Thin" w:cs="Arial"/>
          <w:b/>
          <w:sz w:val="19"/>
          <w:szCs w:val="19"/>
        </w:rPr>
        <w:t>Corona hat die Arbeitswelt verändert un</w:t>
      </w:r>
      <w:r w:rsidR="00127D31">
        <w:rPr>
          <w:rFonts w:ascii="Plain Thin" w:hAnsi="Plain Thin" w:cs="Arial"/>
          <w:b/>
          <w:sz w:val="19"/>
          <w:szCs w:val="19"/>
        </w:rPr>
        <w:t>d fordert nach wie vor von vielen Arbeitnehmer</w:t>
      </w:r>
      <w:r w:rsidR="006865B1">
        <w:rPr>
          <w:rFonts w:ascii="Plain Thin" w:hAnsi="Plain Thin" w:cs="Arial"/>
          <w:b/>
          <w:sz w:val="19"/>
          <w:szCs w:val="19"/>
        </w:rPr>
        <w:t>n</w:t>
      </w:r>
      <w:r w:rsidR="00127D31">
        <w:rPr>
          <w:rFonts w:ascii="Plain Thin" w:hAnsi="Plain Thin" w:cs="Arial"/>
          <w:b/>
          <w:sz w:val="19"/>
          <w:szCs w:val="19"/>
        </w:rPr>
        <w:t xml:space="preserve"> Außergewöhnliches. </w:t>
      </w:r>
      <w:r w:rsidR="00127D31" w:rsidRPr="00127D31">
        <w:rPr>
          <w:rFonts w:ascii="Plain Thin" w:hAnsi="Plain Thin" w:cs="Arial"/>
          <w:b/>
          <w:sz w:val="19"/>
          <w:szCs w:val="19"/>
        </w:rPr>
        <w:t xml:space="preserve">Als kleines Dankeschön </w:t>
      </w:r>
      <w:r w:rsidR="00127D31">
        <w:rPr>
          <w:rFonts w:ascii="Plain Thin" w:hAnsi="Plain Thin" w:cs="Arial"/>
          <w:b/>
          <w:sz w:val="19"/>
          <w:szCs w:val="19"/>
        </w:rPr>
        <w:t xml:space="preserve">möchten </w:t>
      </w:r>
      <w:r w:rsidR="00127D31" w:rsidRPr="00127D31">
        <w:rPr>
          <w:rFonts w:ascii="Plain Thin" w:hAnsi="Plain Thin" w:cs="Arial"/>
          <w:b/>
          <w:sz w:val="19"/>
          <w:szCs w:val="19"/>
        </w:rPr>
        <w:t xml:space="preserve">Arbeitgeber </w:t>
      </w:r>
      <w:r w:rsidR="00127D31">
        <w:rPr>
          <w:rFonts w:ascii="Plain Thin" w:hAnsi="Plain Thin" w:cs="Arial"/>
          <w:b/>
          <w:sz w:val="19"/>
          <w:szCs w:val="19"/>
        </w:rPr>
        <w:t>diese</w:t>
      </w:r>
      <w:r w:rsidR="00FD5E5E">
        <w:rPr>
          <w:rFonts w:ascii="Plain Thin" w:hAnsi="Plain Thin" w:cs="Arial"/>
          <w:b/>
          <w:sz w:val="19"/>
          <w:szCs w:val="19"/>
        </w:rPr>
        <w:t xml:space="preserve">s </w:t>
      </w:r>
      <w:r w:rsidR="00127D31">
        <w:rPr>
          <w:rFonts w:ascii="Plain Thin" w:hAnsi="Plain Thin" w:cs="Arial"/>
          <w:b/>
          <w:sz w:val="19"/>
          <w:szCs w:val="19"/>
        </w:rPr>
        <w:t xml:space="preserve">Engagement mit einer </w:t>
      </w:r>
      <w:r w:rsidR="00FD5E5E" w:rsidRPr="00835746">
        <w:rPr>
          <w:rFonts w:ascii="Plain Thin" w:hAnsi="Plain Thin" w:cs="Arial"/>
          <w:b/>
          <w:sz w:val="19"/>
          <w:szCs w:val="19"/>
        </w:rPr>
        <w:t>Geld- oder Sachprämie</w:t>
      </w:r>
      <w:r w:rsidR="00FD5E5E">
        <w:rPr>
          <w:rFonts w:ascii="Plain Thin" w:hAnsi="Plain Thin" w:cs="Arial"/>
          <w:b/>
          <w:sz w:val="19"/>
          <w:szCs w:val="19"/>
        </w:rPr>
        <w:t xml:space="preserve"> belohnen. </w:t>
      </w:r>
      <w:r w:rsidR="00AB1797">
        <w:rPr>
          <w:rFonts w:ascii="Plain Thin" w:hAnsi="Plain Thin" w:cs="Arial"/>
          <w:b/>
          <w:sz w:val="19"/>
          <w:szCs w:val="19"/>
        </w:rPr>
        <w:t>Mit der</w:t>
      </w:r>
      <w:r w:rsidR="00127D31" w:rsidRPr="00127D31">
        <w:rPr>
          <w:rFonts w:ascii="Plain Thin" w:hAnsi="Plain Thin" w:cs="Arial"/>
          <w:b/>
          <w:sz w:val="19"/>
          <w:szCs w:val="19"/>
        </w:rPr>
        <w:t xml:space="preserve"> sogenannten Corona-Prämie </w:t>
      </w:r>
      <w:r w:rsidR="00AB1797">
        <w:rPr>
          <w:rFonts w:ascii="Plain Thin" w:hAnsi="Plain Thin" w:cs="Arial"/>
          <w:b/>
          <w:sz w:val="19"/>
          <w:szCs w:val="19"/>
        </w:rPr>
        <w:t>geht das teilweise</w:t>
      </w:r>
      <w:r w:rsidR="00127D31" w:rsidRPr="00127D31">
        <w:rPr>
          <w:rFonts w:ascii="Plain Thin" w:hAnsi="Plain Thin" w:cs="Arial"/>
          <w:b/>
          <w:sz w:val="19"/>
          <w:szCs w:val="19"/>
        </w:rPr>
        <w:t xml:space="preserve"> s</w:t>
      </w:r>
      <w:r w:rsidR="00AB1797">
        <w:rPr>
          <w:rFonts w:ascii="Plain Thin" w:hAnsi="Plain Thin" w:cs="Arial"/>
          <w:b/>
          <w:sz w:val="19"/>
          <w:szCs w:val="19"/>
        </w:rPr>
        <w:t>ogar s</w:t>
      </w:r>
      <w:r w:rsidR="00127D31" w:rsidRPr="00127D31">
        <w:rPr>
          <w:rFonts w:ascii="Plain Thin" w:hAnsi="Plain Thin" w:cs="Arial"/>
          <w:b/>
          <w:sz w:val="19"/>
          <w:szCs w:val="19"/>
        </w:rPr>
        <w:t>teuer- und sozialversicherungsfrei</w:t>
      </w:r>
      <w:r w:rsidR="00AB1797">
        <w:rPr>
          <w:rFonts w:ascii="Plain Thin" w:hAnsi="Plain Thin" w:cs="Arial"/>
          <w:b/>
          <w:sz w:val="19"/>
          <w:szCs w:val="19"/>
        </w:rPr>
        <w:t xml:space="preserve">. </w:t>
      </w:r>
      <w:r w:rsidR="00AB1797" w:rsidRPr="00BC49A3">
        <w:rPr>
          <w:rFonts w:ascii="Plain Thin" w:hAnsi="Plain Thin" w:cs="Arial"/>
          <w:b/>
          <w:i/>
          <w:sz w:val="19"/>
          <w:szCs w:val="19"/>
        </w:rPr>
        <w:t>„</w:t>
      </w:r>
      <w:r w:rsidR="00AB1797">
        <w:rPr>
          <w:rFonts w:ascii="Plain Thin" w:hAnsi="Plain Thin" w:cs="Arial"/>
          <w:b/>
          <w:i/>
          <w:sz w:val="19"/>
          <w:szCs w:val="19"/>
        </w:rPr>
        <w:t>Es gibt zwar für alle Zahlungen zwischen dem 1. März 2020 und dem 31. März 2022 einen Höchstbetrag von insgesamt 1.500 Euro. Doch dieser gilt je Arbeitsverhältnis und Arbeitgeber</w:t>
      </w:r>
      <w:r w:rsidR="00AB1797" w:rsidRPr="00BC49A3">
        <w:rPr>
          <w:rFonts w:ascii="Plain Thin" w:hAnsi="Plain Thin" w:cs="Arial"/>
          <w:b/>
          <w:i/>
          <w:sz w:val="19"/>
          <w:szCs w:val="19"/>
        </w:rPr>
        <w:t>“</w:t>
      </w:r>
      <w:r w:rsidR="00AB1797" w:rsidRPr="00834EDA">
        <w:rPr>
          <w:rFonts w:ascii="Plain Thin" w:hAnsi="Plain Thin" w:cs="Arial"/>
          <w:b/>
          <w:sz w:val="19"/>
          <w:szCs w:val="19"/>
        </w:rPr>
        <w:t xml:space="preserve">, </w:t>
      </w:r>
      <w:r w:rsidR="00AB1797" w:rsidRPr="00331DE7">
        <w:rPr>
          <w:rFonts w:ascii="Plain Thin" w:hAnsi="Plain Thin" w:cs="Arial"/>
          <w:b/>
          <w:sz w:val="19"/>
          <w:szCs w:val="19"/>
        </w:rPr>
        <w:t xml:space="preserve">erklärt </w:t>
      </w:r>
      <w:r w:rsidR="00AB1797">
        <w:rPr>
          <w:rFonts w:ascii="Plain Thin" w:hAnsi="Plain Thin" w:cs="Arial"/>
          <w:b/>
          <w:sz w:val="19"/>
          <w:szCs w:val="19"/>
        </w:rPr>
        <w:t xml:space="preserve">Rechtsanwalt und </w:t>
      </w:r>
      <w:r w:rsidR="00AB1797" w:rsidRPr="00331DE7">
        <w:rPr>
          <w:rFonts w:ascii="Plain Thin" w:hAnsi="Plain Thin" w:cs="Arial"/>
          <w:b/>
          <w:sz w:val="19"/>
          <w:szCs w:val="19"/>
        </w:rPr>
        <w:t xml:space="preserve">Steuerberater Dietrich Loll, Leiter der ETL </w:t>
      </w:r>
      <w:proofErr w:type="spellStart"/>
      <w:r w:rsidR="00AB1797" w:rsidRPr="00331DE7">
        <w:rPr>
          <w:rFonts w:ascii="Plain Thin" w:hAnsi="Plain Thin" w:cs="Arial"/>
          <w:b/>
          <w:sz w:val="19"/>
          <w:szCs w:val="19"/>
        </w:rPr>
        <w:t>SteuerRecht</w:t>
      </w:r>
      <w:proofErr w:type="spellEnd"/>
      <w:r w:rsidR="00AB1797" w:rsidRPr="00331DE7">
        <w:rPr>
          <w:rFonts w:ascii="Plain Thin" w:hAnsi="Plain Thin" w:cs="Arial"/>
          <w:b/>
          <w:sz w:val="19"/>
          <w:szCs w:val="19"/>
        </w:rPr>
        <w:t xml:space="preserve"> Berlin.</w:t>
      </w:r>
      <w:r w:rsidR="00AB1797">
        <w:rPr>
          <w:rFonts w:ascii="Plain Thin" w:hAnsi="Plain Thin" w:cs="Arial"/>
          <w:b/>
          <w:sz w:val="19"/>
          <w:szCs w:val="19"/>
        </w:rPr>
        <w:t xml:space="preserve"> Unter bestimmten Voraussetzungen kann daher die Corona-Prämie auch mehrfach gezahlt werden.</w:t>
      </w:r>
      <w:r w:rsidR="00AB1797" w:rsidRPr="00835746">
        <w:rPr>
          <w:rFonts w:ascii="Plain Thin" w:hAnsi="Plain Thin" w:cs="Arial"/>
          <w:b/>
          <w:sz w:val="19"/>
          <w:szCs w:val="19"/>
        </w:rPr>
        <w:t xml:space="preserve"> </w:t>
      </w:r>
    </w:p>
    <w:p w14:paraId="2DF2BFAE" w14:textId="77777777" w:rsidR="00AB1797" w:rsidRDefault="00AB1797" w:rsidP="00BC49A3">
      <w:pPr>
        <w:spacing w:after="0" w:line="240" w:lineRule="auto"/>
        <w:rPr>
          <w:rFonts w:ascii="Plain Thin" w:hAnsi="Plain Thin" w:cs="Arial"/>
          <w:sz w:val="19"/>
          <w:szCs w:val="19"/>
        </w:rPr>
      </w:pPr>
    </w:p>
    <w:p w14:paraId="07B47A29" w14:textId="3B607801" w:rsidR="00AB1797" w:rsidRDefault="00A54BAF" w:rsidP="00BC49A3">
      <w:pPr>
        <w:spacing w:after="0" w:line="240" w:lineRule="auto"/>
        <w:rPr>
          <w:rFonts w:ascii="Plain Thin" w:hAnsi="Plain Thin" w:cs="Arial"/>
          <w:sz w:val="19"/>
          <w:szCs w:val="19"/>
        </w:rPr>
      </w:pPr>
      <w:r>
        <w:rPr>
          <w:rFonts w:ascii="Plain Thin" w:hAnsi="Plain Thin" w:cs="Arial"/>
          <w:sz w:val="19"/>
          <w:szCs w:val="19"/>
        </w:rPr>
        <w:t xml:space="preserve">Eine steuer- und sozialversicherungsfreie </w:t>
      </w:r>
      <w:r w:rsidR="00AB1797">
        <w:rPr>
          <w:rFonts w:ascii="Plain Thin" w:hAnsi="Plain Thin" w:cs="Arial"/>
          <w:sz w:val="19"/>
          <w:szCs w:val="19"/>
        </w:rPr>
        <w:t xml:space="preserve">Corona-Prämie </w:t>
      </w:r>
      <w:r>
        <w:rPr>
          <w:rFonts w:ascii="Plain Thin" w:hAnsi="Plain Thin" w:cs="Arial"/>
          <w:sz w:val="19"/>
          <w:szCs w:val="19"/>
        </w:rPr>
        <w:t xml:space="preserve">bis maximal 1.500 Euro </w:t>
      </w:r>
      <w:r w:rsidR="00AB1797">
        <w:rPr>
          <w:rFonts w:ascii="Plain Thin" w:hAnsi="Plain Thin" w:cs="Arial"/>
          <w:sz w:val="19"/>
          <w:szCs w:val="19"/>
        </w:rPr>
        <w:t xml:space="preserve">kann jeder </w:t>
      </w:r>
      <w:r w:rsidR="00AB1797" w:rsidRPr="00AB1797">
        <w:rPr>
          <w:rFonts w:ascii="Plain Thin" w:hAnsi="Plain Thin" w:cs="Arial"/>
          <w:sz w:val="19"/>
          <w:szCs w:val="19"/>
        </w:rPr>
        <w:t>Arbeitnehmer</w:t>
      </w:r>
      <w:r w:rsidR="00AB1797">
        <w:rPr>
          <w:rFonts w:ascii="Plain Thin" w:hAnsi="Plain Thin" w:cs="Arial"/>
          <w:sz w:val="19"/>
          <w:szCs w:val="19"/>
        </w:rPr>
        <w:t xml:space="preserve"> erhalten - </w:t>
      </w:r>
      <w:r w:rsidR="00AB1797" w:rsidRPr="00AB1797">
        <w:rPr>
          <w:rFonts w:ascii="Plain Thin" w:hAnsi="Plain Thin" w:cs="Arial"/>
          <w:sz w:val="19"/>
          <w:szCs w:val="19"/>
        </w:rPr>
        <w:t>Voll- oder Teilzeitbeschäftigt</w:t>
      </w:r>
      <w:r w:rsidR="00AB1797">
        <w:rPr>
          <w:rFonts w:ascii="Plain Thin" w:hAnsi="Plain Thin" w:cs="Arial"/>
          <w:sz w:val="19"/>
          <w:szCs w:val="19"/>
        </w:rPr>
        <w:t>e</w:t>
      </w:r>
      <w:r w:rsidR="00AB1797" w:rsidRPr="00AB1797">
        <w:rPr>
          <w:rFonts w:ascii="Plain Thin" w:hAnsi="Plain Thin" w:cs="Arial"/>
          <w:sz w:val="19"/>
          <w:szCs w:val="19"/>
        </w:rPr>
        <w:t>, Aushilfe</w:t>
      </w:r>
      <w:r w:rsidR="00AB1797">
        <w:rPr>
          <w:rFonts w:ascii="Plain Thin" w:hAnsi="Plain Thin" w:cs="Arial"/>
          <w:sz w:val="19"/>
          <w:szCs w:val="19"/>
        </w:rPr>
        <w:t>n</w:t>
      </w:r>
      <w:r w:rsidR="00AB1797" w:rsidRPr="00AB1797">
        <w:rPr>
          <w:rFonts w:ascii="Plain Thin" w:hAnsi="Plain Thin" w:cs="Arial"/>
          <w:sz w:val="19"/>
          <w:szCs w:val="19"/>
        </w:rPr>
        <w:t>, geringfügig Beschäftigt</w:t>
      </w:r>
      <w:r w:rsidR="00AB1797">
        <w:rPr>
          <w:rFonts w:ascii="Plain Thin" w:hAnsi="Plain Thin" w:cs="Arial"/>
          <w:sz w:val="19"/>
          <w:szCs w:val="19"/>
        </w:rPr>
        <w:t>e</w:t>
      </w:r>
      <w:r w:rsidR="00AB1797" w:rsidRPr="00AB1797">
        <w:rPr>
          <w:rFonts w:ascii="Plain Thin" w:hAnsi="Plain Thin" w:cs="Arial"/>
          <w:sz w:val="19"/>
          <w:szCs w:val="19"/>
        </w:rPr>
        <w:t>, Werkstudent</w:t>
      </w:r>
      <w:r w:rsidR="00AB1797">
        <w:rPr>
          <w:rFonts w:ascii="Plain Thin" w:hAnsi="Plain Thin" w:cs="Arial"/>
          <w:sz w:val="19"/>
          <w:szCs w:val="19"/>
        </w:rPr>
        <w:t>en</w:t>
      </w:r>
      <w:r w:rsidR="00AB1797" w:rsidRPr="00AB1797">
        <w:rPr>
          <w:rFonts w:ascii="Plain Thin" w:hAnsi="Plain Thin" w:cs="Arial"/>
          <w:sz w:val="19"/>
          <w:szCs w:val="19"/>
        </w:rPr>
        <w:t xml:space="preserve"> oder Geschäftsführer. Voraussetzung ist, dass </w:t>
      </w:r>
      <w:r w:rsidR="00AB1797">
        <w:rPr>
          <w:rFonts w:ascii="Plain Thin" w:hAnsi="Plain Thin" w:cs="Arial"/>
          <w:sz w:val="19"/>
          <w:szCs w:val="19"/>
        </w:rPr>
        <w:t>sie</w:t>
      </w:r>
      <w:r w:rsidR="00AB1797" w:rsidRPr="00AB1797">
        <w:rPr>
          <w:rFonts w:ascii="Plain Thin" w:hAnsi="Plain Thin" w:cs="Arial"/>
          <w:sz w:val="19"/>
          <w:szCs w:val="19"/>
        </w:rPr>
        <w:t xml:space="preserve"> zusätzlich zum ohnehin geschuldeten Arbeitslohn gewährt wird. </w:t>
      </w:r>
      <w:r w:rsidR="00574062" w:rsidRPr="00574062">
        <w:rPr>
          <w:rFonts w:ascii="Plain Thin" w:hAnsi="Plain Thin" w:cs="Arial"/>
          <w:sz w:val="19"/>
          <w:szCs w:val="19"/>
        </w:rPr>
        <w:t>Sie kann also andere Sonderzahlungen, wie Urlaubsgeld nicht ersetzen und grundsätzlich auch nicht zur Abgeltung von Überstunden eingesetzt werden.</w:t>
      </w:r>
      <w:r w:rsidR="00574062">
        <w:rPr>
          <w:rFonts w:ascii="Plain Thin" w:hAnsi="Plain Thin" w:cs="Arial"/>
          <w:sz w:val="19"/>
          <w:szCs w:val="19"/>
        </w:rPr>
        <w:t xml:space="preserve"> </w:t>
      </w:r>
      <w:r>
        <w:rPr>
          <w:rFonts w:ascii="Plain Thin" w:hAnsi="Plain Thin" w:cs="Arial"/>
          <w:sz w:val="19"/>
          <w:szCs w:val="19"/>
        </w:rPr>
        <w:t>Die 1.500 Euro sind allerdings kein Jahresb</w:t>
      </w:r>
      <w:r w:rsidRPr="00A54BAF">
        <w:rPr>
          <w:rFonts w:ascii="Plain Thin" w:hAnsi="Plain Thin" w:cs="Arial"/>
          <w:sz w:val="19"/>
          <w:szCs w:val="19"/>
        </w:rPr>
        <w:t xml:space="preserve">etrag, sondern </w:t>
      </w:r>
      <w:r>
        <w:rPr>
          <w:rFonts w:ascii="Plain Thin" w:hAnsi="Plain Thin" w:cs="Arial"/>
          <w:sz w:val="19"/>
          <w:szCs w:val="19"/>
        </w:rPr>
        <w:t>ein</w:t>
      </w:r>
      <w:r w:rsidRPr="00A54BAF">
        <w:rPr>
          <w:rFonts w:ascii="Plain Thin" w:hAnsi="Plain Thin" w:cs="Arial"/>
          <w:sz w:val="19"/>
          <w:szCs w:val="19"/>
        </w:rPr>
        <w:t xml:space="preserve"> Höchstbetrag für alle Corona-Prämien, die ein Arbeitgeber eine</w:t>
      </w:r>
      <w:r>
        <w:rPr>
          <w:rFonts w:ascii="Plain Thin" w:hAnsi="Plain Thin" w:cs="Arial"/>
          <w:sz w:val="19"/>
          <w:szCs w:val="19"/>
        </w:rPr>
        <w:t>m</w:t>
      </w:r>
      <w:r w:rsidRPr="00A54BAF">
        <w:rPr>
          <w:rFonts w:ascii="Plain Thin" w:hAnsi="Plain Thin" w:cs="Arial"/>
          <w:sz w:val="19"/>
          <w:szCs w:val="19"/>
        </w:rPr>
        <w:t xml:space="preserve"> Arbeitnehmer zwischen dem 1. März 2020 und dem 31. März 2022 gewährt. </w:t>
      </w:r>
      <w:r w:rsidR="006865B1">
        <w:rPr>
          <w:rFonts w:ascii="Plain Thin" w:hAnsi="Plain Thin" w:cs="Arial"/>
          <w:sz w:val="19"/>
          <w:szCs w:val="19"/>
        </w:rPr>
        <w:t>O</w:t>
      </w:r>
      <w:r w:rsidRPr="00A54BAF">
        <w:rPr>
          <w:rFonts w:ascii="Plain Thin" w:hAnsi="Plain Thin" w:cs="Arial"/>
          <w:sz w:val="19"/>
          <w:szCs w:val="19"/>
        </w:rPr>
        <w:t>b die 1.500 Euro in einer Summe oder in mehreren Teilbeträgen gezahlt werden</w:t>
      </w:r>
      <w:r w:rsidR="006865B1">
        <w:rPr>
          <w:rFonts w:ascii="Plain Thin" w:hAnsi="Plain Thin" w:cs="Arial"/>
          <w:sz w:val="19"/>
          <w:szCs w:val="19"/>
        </w:rPr>
        <w:t>, ist unbeachtlich</w:t>
      </w:r>
      <w:r w:rsidRPr="00A54BAF">
        <w:rPr>
          <w:rFonts w:ascii="Plain Thin" w:hAnsi="Plain Thin" w:cs="Arial"/>
          <w:sz w:val="19"/>
          <w:szCs w:val="19"/>
        </w:rPr>
        <w:t>.</w:t>
      </w:r>
      <w:r>
        <w:rPr>
          <w:rFonts w:ascii="Plain Thin" w:hAnsi="Plain Thin" w:cs="Arial"/>
          <w:sz w:val="19"/>
          <w:szCs w:val="19"/>
        </w:rPr>
        <w:t xml:space="preserve"> Da es sich um einen Steuerfreibetrag handelt, ist nur der 1.500 Euro übersteigende Betrag steuer- und beitragspflichtig.</w:t>
      </w:r>
    </w:p>
    <w:p w14:paraId="6A1ADC58" w14:textId="23840C5D" w:rsidR="00A54BAF" w:rsidRDefault="00A54BAF" w:rsidP="00BC49A3">
      <w:pPr>
        <w:spacing w:after="0" w:line="240" w:lineRule="auto"/>
        <w:rPr>
          <w:rFonts w:ascii="Plain Thin" w:hAnsi="Plain Thin" w:cs="Arial"/>
          <w:sz w:val="19"/>
          <w:szCs w:val="19"/>
        </w:rPr>
      </w:pPr>
    </w:p>
    <w:p w14:paraId="1BDB10F2" w14:textId="0A3734CC" w:rsidR="00A54BAF" w:rsidRPr="008F6793" w:rsidRDefault="00A54BAF" w:rsidP="00BC49A3">
      <w:pPr>
        <w:spacing w:after="0" w:line="240" w:lineRule="auto"/>
        <w:rPr>
          <w:rFonts w:ascii="Plain Thin" w:hAnsi="Plain Thin" w:cs="Arial"/>
          <w:i/>
          <w:iCs/>
          <w:sz w:val="19"/>
          <w:szCs w:val="19"/>
        </w:rPr>
      </w:pPr>
      <w:r w:rsidRPr="00A54BAF">
        <w:rPr>
          <w:rFonts w:ascii="Plain Thin" w:hAnsi="Plain Thin" w:cs="Arial"/>
          <w:sz w:val="19"/>
          <w:szCs w:val="19"/>
        </w:rPr>
        <w:t>Der Freibetrag ist arbeitgeberbezogen. Das bedeutet: Ein Arbeitnehmer mit mehreren Arbeitsverhältnissen kann den Corona-Bonus mehrfach erhalten. Arbeitnehmer</w:t>
      </w:r>
      <w:r>
        <w:rPr>
          <w:rFonts w:ascii="Plain Thin" w:hAnsi="Plain Thin" w:cs="Arial"/>
          <w:sz w:val="19"/>
          <w:szCs w:val="19"/>
        </w:rPr>
        <w:t>, die ihren Job gewechselt haben oder noch in einem Zweitjob tätig sind,</w:t>
      </w:r>
      <w:r w:rsidRPr="00A54BAF">
        <w:rPr>
          <w:rFonts w:ascii="Plain Thin" w:hAnsi="Plain Thin" w:cs="Arial"/>
          <w:sz w:val="19"/>
          <w:szCs w:val="19"/>
        </w:rPr>
        <w:t xml:space="preserve"> können also doppelt profitieren</w:t>
      </w:r>
      <w:r w:rsidR="008F6793">
        <w:rPr>
          <w:rFonts w:ascii="Plain Thin" w:hAnsi="Plain Thin" w:cs="Arial"/>
          <w:sz w:val="19"/>
          <w:szCs w:val="19"/>
        </w:rPr>
        <w:t>.</w:t>
      </w:r>
      <w:r w:rsidRPr="00A54BAF">
        <w:rPr>
          <w:rFonts w:ascii="Plain Thin" w:hAnsi="Plain Thin" w:cs="Arial"/>
          <w:sz w:val="19"/>
          <w:szCs w:val="19"/>
        </w:rPr>
        <w:t xml:space="preserve"> Dabei spielt es keine Rolle, ob die Arbeitsverhältnisse parallel bestehen (z. B. Vollzeit- und Nebenjob) oder nacheinander eingegangen werden.</w:t>
      </w:r>
      <w:r w:rsidR="008F6793">
        <w:rPr>
          <w:rFonts w:ascii="Plain Thin" w:hAnsi="Plain Thin" w:cs="Arial"/>
          <w:sz w:val="19"/>
          <w:szCs w:val="19"/>
        </w:rPr>
        <w:t xml:space="preserve"> „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>Jeder Arbeitgeber kann selbst entscheiden, ob, wann und in welcher Höhe er eine</w:t>
      </w:r>
      <w:r w:rsidR="008F6793">
        <w:rPr>
          <w:rFonts w:ascii="Plain Thin" w:hAnsi="Plain Thin" w:cs="Arial"/>
          <w:i/>
          <w:iCs/>
          <w:sz w:val="19"/>
          <w:szCs w:val="19"/>
        </w:rPr>
        <w:t>m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 xml:space="preserve"> Arbeitnehmer eine steuer- und beitragsfreie Corona-Prämie zahlt. </w:t>
      </w:r>
      <w:r w:rsidR="008F6793">
        <w:rPr>
          <w:rFonts w:ascii="Plain Thin" w:hAnsi="Plain Thin" w:cs="Arial"/>
          <w:i/>
          <w:iCs/>
          <w:sz w:val="19"/>
          <w:szCs w:val="19"/>
        </w:rPr>
        <w:t>Er muss nicht prüfen, ob der Arbeitnehmer bereits bei ei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>nem anderen Arbeitgeber</w:t>
      </w:r>
      <w:r w:rsidR="008F6793">
        <w:rPr>
          <w:rFonts w:ascii="Plain Thin" w:hAnsi="Plain Thin" w:cs="Arial"/>
          <w:i/>
          <w:iCs/>
          <w:sz w:val="19"/>
          <w:szCs w:val="19"/>
        </w:rPr>
        <w:t xml:space="preserve"> eine Corona-Prämie erhalten hat. </w:t>
      </w:r>
      <w:r w:rsidR="00574062">
        <w:rPr>
          <w:rFonts w:ascii="Plain Thin" w:hAnsi="Plain Thin" w:cs="Arial"/>
          <w:i/>
          <w:iCs/>
          <w:sz w:val="19"/>
          <w:szCs w:val="19"/>
        </w:rPr>
        <w:t xml:space="preserve">Doch Vorsicht, 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 xml:space="preserve">wenn ein Arbeitnehmer </w:t>
      </w:r>
      <w:r w:rsidR="00574062">
        <w:rPr>
          <w:rFonts w:ascii="Plain Thin" w:hAnsi="Plain Thin" w:cs="Arial"/>
          <w:i/>
          <w:iCs/>
          <w:sz w:val="19"/>
          <w:szCs w:val="19"/>
        </w:rPr>
        <w:t>zwischen dem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 xml:space="preserve"> </w:t>
      </w:r>
      <w:r w:rsidR="006865B1">
        <w:rPr>
          <w:rFonts w:ascii="Plain Thin" w:hAnsi="Plain Thin" w:cs="Arial"/>
          <w:i/>
          <w:iCs/>
          <w:sz w:val="19"/>
          <w:szCs w:val="19"/>
        </w:rPr>
        <w:t xml:space="preserve">1. März 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 xml:space="preserve">2020 </w:t>
      </w:r>
      <w:r w:rsidR="00574062">
        <w:rPr>
          <w:rFonts w:ascii="Plain Thin" w:hAnsi="Plain Thin" w:cs="Arial"/>
          <w:i/>
          <w:iCs/>
          <w:sz w:val="19"/>
          <w:szCs w:val="19"/>
        </w:rPr>
        <w:t>und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 xml:space="preserve"> 31.</w:t>
      </w:r>
      <w:r w:rsidR="006865B1">
        <w:rPr>
          <w:rFonts w:ascii="Plain Thin" w:hAnsi="Plain Thin" w:cs="Arial"/>
          <w:i/>
          <w:iCs/>
          <w:sz w:val="19"/>
          <w:szCs w:val="19"/>
        </w:rPr>
        <w:t xml:space="preserve"> März 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>2022 von seinem Arbeitgeber entlassen und später wieder eingestellt w</w:t>
      </w:r>
      <w:r w:rsidR="00574062">
        <w:rPr>
          <w:rFonts w:ascii="Plain Thin" w:hAnsi="Plain Thin" w:cs="Arial"/>
          <w:i/>
          <w:iCs/>
          <w:sz w:val="19"/>
          <w:szCs w:val="19"/>
        </w:rPr>
        <w:t>urde,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 xml:space="preserve"> handelt es sich um mehrere Arbeitsverhältnisse bei demselben Arbeitgeber</w:t>
      </w:r>
      <w:r w:rsidR="00574062">
        <w:rPr>
          <w:rFonts w:ascii="Plain Thin" w:hAnsi="Plain Thin" w:cs="Arial"/>
          <w:i/>
          <w:iCs/>
          <w:sz w:val="19"/>
          <w:szCs w:val="19"/>
        </w:rPr>
        <w:t xml:space="preserve">“, </w:t>
      </w:r>
      <w:r w:rsidR="00574062" w:rsidRPr="00574062">
        <w:rPr>
          <w:rFonts w:ascii="Plain Thin" w:hAnsi="Plain Thin" w:cs="Arial"/>
          <w:sz w:val="19"/>
          <w:szCs w:val="19"/>
        </w:rPr>
        <w:t xml:space="preserve">warnt </w:t>
      </w:r>
      <w:r w:rsidR="00574062" w:rsidRPr="00F34DF0">
        <w:rPr>
          <w:rFonts w:ascii="Plain Thin" w:hAnsi="Plain Thin" w:cs="Arial"/>
          <w:b/>
          <w:sz w:val="19"/>
          <w:szCs w:val="19"/>
        </w:rPr>
        <w:t>Rechtsanwalt und</w:t>
      </w:r>
      <w:r w:rsidR="00574062">
        <w:rPr>
          <w:rFonts w:ascii="Plain Thin" w:hAnsi="Plain Thin" w:cs="Arial"/>
          <w:sz w:val="19"/>
          <w:szCs w:val="19"/>
        </w:rPr>
        <w:t xml:space="preserve"> </w:t>
      </w:r>
      <w:r w:rsidR="00574062" w:rsidRPr="00300DF1">
        <w:rPr>
          <w:rFonts w:ascii="Plain Thin" w:hAnsi="Plain Thin" w:cs="Arial"/>
          <w:b/>
          <w:sz w:val="19"/>
          <w:szCs w:val="19"/>
        </w:rPr>
        <w:t>Steuerberater Dietrich Loll</w:t>
      </w:r>
      <w:r w:rsidR="00574062" w:rsidRPr="00834EDA">
        <w:rPr>
          <w:rFonts w:ascii="Plain Thin" w:hAnsi="Plain Thin" w:cs="Arial"/>
          <w:sz w:val="19"/>
          <w:szCs w:val="19"/>
        </w:rPr>
        <w:t>.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 xml:space="preserve"> </w:t>
      </w:r>
      <w:r w:rsidR="00574062">
        <w:rPr>
          <w:rFonts w:ascii="Plain Thin" w:hAnsi="Plain Thin" w:cs="Arial"/>
          <w:i/>
          <w:iCs/>
          <w:sz w:val="19"/>
          <w:szCs w:val="19"/>
        </w:rPr>
        <w:t>„In diesem Fall darf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 xml:space="preserve"> der Freibetrag von </w:t>
      </w:r>
      <w:r w:rsidR="00961790">
        <w:rPr>
          <w:rFonts w:ascii="Plain Thin" w:hAnsi="Plain Thin" w:cs="Arial"/>
          <w:i/>
          <w:iCs/>
          <w:sz w:val="19"/>
          <w:szCs w:val="19"/>
        </w:rPr>
        <w:t xml:space="preserve">insgesamt 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 xml:space="preserve">1.500 Euro nur einmal </w:t>
      </w:r>
      <w:r w:rsidR="00574062">
        <w:rPr>
          <w:rFonts w:ascii="Plain Thin" w:hAnsi="Plain Thin" w:cs="Arial"/>
          <w:i/>
          <w:iCs/>
          <w:sz w:val="19"/>
          <w:szCs w:val="19"/>
        </w:rPr>
        <w:t>genutzt werden</w:t>
      </w:r>
      <w:r w:rsidR="008F6793" w:rsidRPr="008F6793">
        <w:rPr>
          <w:rFonts w:ascii="Plain Thin" w:hAnsi="Plain Thin" w:cs="Arial"/>
          <w:i/>
          <w:iCs/>
          <w:sz w:val="19"/>
          <w:szCs w:val="19"/>
        </w:rPr>
        <w:t>.</w:t>
      </w:r>
      <w:r w:rsidR="008F6793">
        <w:rPr>
          <w:rFonts w:ascii="Plain Thin" w:hAnsi="Plain Thin" w:cs="Arial"/>
          <w:i/>
          <w:iCs/>
          <w:sz w:val="19"/>
          <w:szCs w:val="19"/>
        </w:rPr>
        <w:t>“</w:t>
      </w:r>
    </w:p>
    <w:p w14:paraId="0FD478A6" w14:textId="55640227" w:rsidR="00AB1797" w:rsidRDefault="00AB1797" w:rsidP="00BC49A3">
      <w:pPr>
        <w:spacing w:after="0" w:line="240" w:lineRule="auto"/>
        <w:rPr>
          <w:rFonts w:ascii="Plain Thin" w:hAnsi="Plain Thin" w:cs="Arial"/>
          <w:sz w:val="19"/>
          <w:szCs w:val="19"/>
        </w:rPr>
      </w:pPr>
    </w:p>
    <w:p w14:paraId="06B532BE" w14:textId="2BC1F185" w:rsidR="00BC49A3" w:rsidRPr="00000B00" w:rsidRDefault="00574062" w:rsidP="00BC49A3">
      <w:pPr>
        <w:spacing w:after="0" w:line="240" w:lineRule="auto"/>
        <w:rPr>
          <w:rFonts w:ascii="Plain Thin" w:hAnsi="Plain Thin" w:cs="Arial"/>
          <w:sz w:val="19"/>
          <w:szCs w:val="19"/>
        </w:rPr>
      </w:pPr>
      <w:r>
        <w:rPr>
          <w:rFonts w:ascii="Plain Thin" w:hAnsi="Plain Thin" w:cs="Arial"/>
          <w:sz w:val="19"/>
          <w:szCs w:val="19"/>
        </w:rPr>
        <w:t xml:space="preserve">Die Corona-Prämie muss als </w:t>
      </w:r>
      <w:r w:rsidRPr="00574062">
        <w:rPr>
          <w:rFonts w:ascii="Plain Thin" w:hAnsi="Plain Thin" w:cs="Arial"/>
          <w:sz w:val="19"/>
          <w:szCs w:val="19"/>
        </w:rPr>
        <w:t xml:space="preserve">Beihilfe im Zusammenhang mit der Corona-Krise </w:t>
      </w:r>
      <w:r>
        <w:rPr>
          <w:rFonts w:ascii="Plain Thin" w:hAnsi="Plain Thin" w:cs="Arial"/>
          <w:sz w:val="19"/>
          <w:szCs w:val="19"/>
        </w:rPr>
        <w:t xml:space="preserve">gewährt werden. Als Nachweis </w:t>
      </w:r>
      <w:r w:rsidRPr="00574062">
        <w:rPr>
          <w:rFonts w:ascii="Plain Thin" w:hAnsi="Plain Thin" w:cs="Arial"/>
          <w:sz w:val="19"/>
          <w:szCs w:val="19"/>
        </w:rPr>
        <w:t xml:space="preserve">reichen </w:t>
      </w:r>
      <w:r>
        <w:rPr>
          <w:rFonts w:ascii="Plain Thin" w:hAnsi="Plain Thin" w:cs="Arial"/>
          <w:sz w:val="19"/>
          <w:szCs w:val="19"/>
        </w:rPr>
        <w:t xml:space="preserve">aber </w:t>
      </w:r>
      <w:r w:rsidRPr="00574062">
        <w:rPr>
          <w:rFonts w:ascii="Plain Thin" w:hAnsi="Plain Thin" w:cs="Arial"/>
          <w:sz w:val="19"/>
          <w:szCs w:val="19"/>
        </w:rPr>
        <w:t>individuelle Lohnabrechnungen oder Überweisungsbelege aus, in denen die Corona-Sonderzahlungen als solche ausgewiesen sind.</w:t>
      </w:r>
      <w:r>
        <w:rPr>
          <w:rFonts w:ascii="Plain Thin" w:hAnsi="Plain Thin" w:cs="Arial"/>
          <w:sz w:val="19"/>
          <w:szCs w:val="19"/>
        </w:rPr>
        <w:t xml:space="preserve"> </w:t>
      </w:r>
      <w:r w:rsidR="00000B00" w:rsidRPr="00000B00">
        <w:rPr>
          <w:rFonts w:ascii="Plain Thin" w:hAnsi="Plain Thin" w:cs="Arial"/>
          <w:i/>
          <w:iCs/>
          <w:sz w:val="19"/>
          <w:szCs w:val="19"/>
        </w:rPr>
        <w:t>„Arbeitgeber, die noch</w:t>
      </w:r>
      <w:r w:rsidR="006865B1">
        <w:rPr>
          <w:rFonts w:ascii="Plain Thin" w:hAnsi="Plain Thin" w:cs="Arial"/>
          <w:i/>
          <w:iCs/>
          <w:sz w:val="19"/>
          <w:szCs w:val="19"/>
        </w:rPr>
        <w:t xml:space="preserve"> </w:t>
      </w:r>
      <w:r w:rsidR="00000B00" w:rsidRPr="00000B00">
        <w:rPr>
          <w:rFonts w:ascii="Plain Thin" w:hAnsi="Plain Thin" w:cs="Arial"/>
          <w:i/>
          <w:iCs/>
          <w:sz w:val="19"/>
          <w:szCs w:val="19"/>
        </w:rPr>
        <w:t>steuer- und beitragsfreie Corona-Prämien zahlen wollen, sollte</w:t>
      </w:r>
      <w:r w:rsidR="002D142E">
        <w:rPr>
          <w:rFonts w:ascii="Plain Thin" w:hAnsi="Plain Thin" w:cs="Arial"/>
          <w:i/>
          <w:iCs/>
          <w:sz w:val="19"/>
          <w:szCs w:val="19"/>
        </w:rPr>
        <w:t>n</w:t>
      </w:r>
      <w:r w:rsidR="00000B00" w:rsidRPr="00000B00">
        <w:rPr>
          <w:rFonts w:ascii="Plain Thin" w:hAnsi="Plain Thin" w:cs="Arial"/>
          <w:i/>
          <w:iCs/>
          <w:sz w:val="19"/>
          <w:szCs w:val="19"/>
        </w:rPr>
        <w:t xml:space="preserve"> sich beeilen“,</w:t>
      </w:r>
      <w:r w:rsidR="00000B00">
        <w:rPr>
          <w:rFonts w:ascii="Plain Thin" w:hAnsi="Plain Thin" w:cs="Arial"/>
          <w:sz w:val="19"/>
          <w:szCs w:val="19"/>
        </w:rPr>
        <w:t xml:space="preserve"> </w:t>
      </w:r>
      <w:r w:rsidR="00000B00" w:rsidRPr="00A862A6">
        <w:rPr>
          <w:rFonts w:ascii="Plain Thin" w:hAnsi="Plain Thin" w:cs="Arial"/>
          <w:sz w:val="19"/>
          <w:szCs w:val="19"/>
        </w:rPr>
        <w:t xml:space="preserve">empfiehlt </w:t>
      </w:r>
      <w:r w:rsidR="00000B00" w:rsidRPr="00F34DF0">
        <w:rPr>
          <w:rFonts w:ascii="Plain Thin" w:hAnsi="Plain Thin" w:cs="Arial"/>
          <w:b/>
          <w:sz w:val="19"/>
          <w:szCs w:val="19"/>
        </w:rPr>
        <w:t>Rechtsanwalt und</w:t>
      </w:r>
      <w:r w:rsidR="00000B00">
        <w:rPr>
          <w:rFonts w:ascii="Plain Thin" w:hAnsi="Plain Thin" w:cs="Arial"/>
          <w:sz w:val="19"/>
          <w:szCs w:val="19"/>
        </w:rPr>
        <w:t xml:space="preserve"> </w:t>
      </w:r>
      <w:r w:rsidR="00000B00" w:rsidRPr="00A862A6">
        <w:rPr>
          <w:rFonts w:ascii="Plain Thin" w:hAnsi="Plain Thin" w:cs="Arial"/>
          <w:b/>
          <w:sz w:val="19"/>
          <w:szCs w:val="19"/>
        </w:rPr>
        <w:t>Steuerberater Dietrich Loll</w:t>
      </w:r>
      <w:r w:rsidR="00000B00">
        <w:rPr>
          <w:rFonts w:ascii="Plain Thin" w:hAnsi="Plain Thin" w:cs="Arial"/>
          <w:b/>
          <w:sz w:val="19"/>
          <w:szCs w:val="19"/>
        </w:rPr>
        <w:t xml:space="preserve">, </w:t>
      </w:r>
      <w:r w:rsidR="00000B00" w:rsidRPr="00000B00">
        <w:rPr>
          <w:rFonts w:ascii="Plain Thin" w:hAnsi="Plain Thin" w:cs="Arial"/>
          <w:bCs/>
          <w:i/>
          <w:iCs/>
          <w:sz w:val="19"/>
          <w:szCs w:val="19"/>
        </w:rPr>
        <w:t>„denn die Zahlungen</w:t>
      </w:r>
      <w:r w:rsidRPr="00000B00">
        <w:rPr>
          <w:rFonts w:ascii="Plain Thin" w:hAnsi="Plain Thin" w:cs="Arial"/>
          <w:i/>
          <w:iCs/>
          <w:sz w:val="19"/>
          <w:szCs w:val="19"/>
        </w:rPr>
        <w:t xml:space="preserve"> müssen spätestens am 31. März 2022 auf dem Konto des Arbeitnehmers sein, damit sie als steuer- und sozialversicherungsfrei behandelt werden können.</w:t>
      </w:r>
      <w:r w:rsidR="00000B00">
        <w:rPr>
          <w:rFonts w:ascii="Plain Thin" w:hAnsi="Plain Thin" w:cs="Arial"/>
          <w:i/>
          <w:iCs/>
          <w:sz w:val="19"/>
          <w:szCs w:val="19"/>
        </w:rPr>
        <w:t xml:space="preserve">“ </w:t>
      </w:r>
      <w:r w:rsidR="00000B00">
        <w:rPr>
          <w:rFonts w:ascii="Plain Thin" w:hAnsi="Plain Thin" w:cs="Arial"/>
          <w:sz w:val="19"/>
          <w:szCs w:val="19"/>
        </w:rPr>
        <w:t>Für bestimmte Arbeitnehmer im Gesundheitswesen, insbesondere in der ambulanten und stationären Pflege, plant der Gesetzgeber allerdings eine weitere steuer- und beitragsfreie Corona-Prämie von bis zu 3.000 Euro.</w:t>
      </w:r>
    </w:p>
    <w:p w14:paraId="5C4715F5" w14:textId="2E223E5B" w:rsidR="00574062" w:rsidRDefault="00574062" w:rsidP="00BC49A3">
      <w:pPr>
        <w:spacing w:after="0" w:line="240" w:lineRule="auto"/>
        <w:rPr>
          <w:rFonts w:ascii="Plain Thin" w:hAnsi="Plain Thin" w:cs="Arial"/>
          <w:sz w:val="19"/>
          <w:szCs w:val="19"/>
        </w:rPr>
      </w:pPr>
    </w:p>
    <w:p w14:paraId="72BF078A" w14:textId="77777777" w:rsidR="00574062" w:rsidRPr="00BC49A3" w:rsidRDefault="00574062" w:rsidP="00BC49A3">
      <w:pPr>
        <w:spacing w:after="0" w:line="240" w:lineRule="auto"/>
        <w:rPr>
          <w:rFonts w:ascii="Plain Thin" w:hAnsi="Plain Thin" w:cs="Arial"/>
          <w:sz w:val="19"/>
          <w:szCs w:val="19"/>
        </w:rPr>
      </w:pPr>
    </w:p>
    <w:p w14:paraId="3FA0624F" w14:textId="421964F0" w:rsidR="00A2388D" w:rsidRDefault="00CC2EC4" w:rsidP="00A2388D">
      <w:pPr>
        <w:spacing w:after="0" w:line="240" w:lineRule="auto"/>
        <w:contextualSpacing/>
        <w:jc w:val="both"/>
        <w:rPr>
          <w:rFonts w:ascii="Plain Thin" w:hAnsi="Plain Thin"/>
          <w:sz w:val="16"/>
          <w:szCs w:val="16"/>
        </w:rPr>
      </w:pPr>
      <w:r w:rsidRPr="007079FE">
        <w:rPr>
          <w:rFonts w:ascii="Plain Thin" w:hAnsi="Plain Thin"/>
          <w:sz w:val="16"/>
          <w:szCs w:val="16"/>
        </w:rPr>
        <w:t xml:space="preserve">Die </w:t>
      </w:r>
      <w:r w:rsidRPr="007079FE">
        <w:rPr>
          <w:rFonts w:ascii="Plain Thin" w:hAnsi="Plain Thin"/>
          <w:b/>
          <w:sz w:val="16"/>
          <w:szCs w:val="16"/>
        </w:rPr>
        <w:t>ETL-Gruppe</w:t>
      </w:r>
      <w:r w:rsidRPr="007079FE">
        <w:rPr>
          <w:rFonts w:ascii="Plain Thin" w:hAnsi="Plain Thin"/>
          <w:sz w:val="16"/>
          <w:szCs w:val="16"/>
        </w:rPr>
        <w:t xml:space="preserve"> ist in Deutschland mit über 870 Kanzleien vertreten und darüber hina</w:t>
      </w:r>
      <w:r w:rsidR="003D68FB">
        <w:rPr>
          <w:rFonts w:ascii="Plain Thin" w:hAnsi="Plain Thin"/>
          <w:sz w:val="16"/>
          <w:szCs w:val="16"/>
        </w:rPr>
        <w:t>us in 50 Ländern weltweit mit</w:t>
      </w:r>
      <w:r w:rsidR="003D68FB">
        <w:rPr>
          <w:rFonts w:ascii="Plain Thin" w:hAnsi="Plain Thin"/>
          <w:sz w:val="16"/>
          <w:szCs w:val="16"/>
        </w:rPr>
        <w:br/>
      </w:r>
      <w:r w:rsidR="00000B00">
        <w:rPr>
          <w:rFonts w:ascii="Plain Thin" w:hAnsi="Plain Thin"/>
          <w:sz w:val="16"/>
          <w:szCs w:val="16"/>
        </w:rPr>
        <w:t>1.300 Standorten</w:t>
      </w:r>
      <w:r w:rsidRPr="007079FE">
        <w:rPr>
          <w:rFonts w:ascii="Plain Thin" w:hAnsi="Plain Thin"/>
          <w:sz w:val="16"/>
          <w:szCs w:val="16"/>
        </w:rPr>
        <w:t xml:space="preserve"> präsent. ETL ist Marktführer im Bereich Steuerberatung und gehört zu den Top 5 der Wirtschaftsprüfungs- und Steuerberatungsgesellschaften in Deutschland. Die Unternehmensgruppe erwirtschaftet mit ihren Geschäftsbereichen Steuerberatung, Wirtschaftsprüfung, Rechtsberatung, Unternehmensberatung und IT bundesweit</w:t>
      </w:r>
      <w:r w:rsidR="00B82AFF" w:rsidRPr="007079FE">
        <w:rPr>
          <w:rFonts w:ascii="Plain Thin" w:hAnsi="Plain Thin"/>
          <w:sz w:val="16"/>
          <w:szCs w:val="16"/>
        </w:rPr>
        <w:t xml:space="preserve"> einen Gruppenumsatz von über 9</w:t>
      </w:r>
      <w:r w:rsidR="00385A39">
        <w:rPr>
          <w:rFonts w:ascii="Plain Thin" w:hAnsi="Plain Thin"/>
          <w:sz w:val="16"/>
          <w:szCs w:val="16"/>
        </w:rPr>
        <w:t>79</w:t>
      </w:r>
      <w:r w:rsidRPr="007079FE">
        <w:rPr>
          <w:rFonts w:ascii="Plain Thin" w:hAnsi="Plain Thin"/>
          <w:sz w:val="16"/>
          <w:szCs w:val="16"/>
        </w:rPr>
        <w:t xml:space="preserve"> Mio. Euro. Insgesamt betreuen über </w:t>
      </w:r>
      <w:r w:rsidR="00E42C34">
        <w:rPr>
          <w:rFonts w:ascii="Plain Thin" w:hAnsi="Plain Thin"/>
          <w:sz w:val="16"/>
          <w:szCs w:val="16"/>
        </w:rPr>
        <w:t>12</w:t>
      </w:r>
      <w:bookmarkStart w:id="0" w:name="_GoBack"/>
      <w:bookmarkEnd w:id="0"/>
      <w:r w:rsidRPr="007079FE">
        <w:rPr>
          <w:rFonts w:ascii="Plain Thin" w:hAnsi="Plain Thin"/>
          <w:sz w:val="16"/>
          <w:szCs w:val="16"/>
        </w:rPr>
        <w:t>.000 M</w:t>
      </w:r>
      <w:r w:rsidR="000C7455">
        <w:rPr>
          <w:rFonts w:ascii="Plain Thin" w:hAnsi="Plain Thin"/>
          <w:sz w:val="16"/>
          <w:szCs w:val="16"/>
        </w:rPr>
        <w:t>itarbeiter – darunter mehr als</w:t>
      </w:r>
      <w:r w:rsidR="000C7455">
        <w:rPr>
          <w:rFonts w:ascii="Plain Thin" w:hAnsi="Plain Thin"/>
          <w:sz w:val="16"/>
          <w:szCs w:val="16"/>
        </w:rPr>
        <w:br/>
      </w:r>
      <w:r w:rsidRPr="007079FE">
        <w:rPr>
          <w:rFonts w:ascii="Plain Thin" w:hAnsi="Plain Thin"/>
          <w:sz w:val="16"/>
          <w:szCs w:val="16"/>
        </w:rPr>
        <w:t>1.500 Steuerberater, Rechtsanwälte, Wirtschaftsprüfer und Unternehmensberater – überall in Deutschl</w:t>
      </w:r>
      <w:r w:rsidR="000C7455">
        <w:rPr>
          <w:rFonts w:ascii="Plain Thin" w:hAnsi="Plain Thin"/>
          <w:sz w:val="16"/>
          <w:szCs w:val="16"/>
        </w:rPr>
        <w:t>and</w:t>
      </w:r>
      <w:r w:rsidR="000C7455">
        <w:rPr>
          <w:rFonts w:ascii="Plain Thin" w:hAnsi="Plain Thin"/>
          <w:sz w:val="16"/>
          <w:szCs w:val="16"/>
        </w:rPr>
        <w:br/>
      </w:r>
      <w:r w:rsidR="00B82AFF" w:rsidRPr="007079FE">
        <w:rPr>
          <w:rFonts w:ascii="Plain Thin" w:hAnsi="Plain Thin"/>
          <w:sz w:val="16"/>
          <w:szCs w:val="16"/>
        </w:rPr>
        <w:t>mehr als 2</w:t>
      </w:r>
      <w:r w:rsidR="00385A39">
        <w:rPr>
          <w:rFonts w:ascii="Plain Thin" w:hAnsi="Plain Thin"/>
          <w:sz w:val="16"/>
          <w:szCs w:val="16"/>
        </w:rPr>
        <w:t>1</w:t>
      </w:r>
      <w:r w:rsidR="00D2581E" w:rsidRPr="007079FE">
        <w:rPr>
          <w:rFonts w:ascii="Plain Thin" w:hAnsi="Plain Thin"/>
          <w:sz w:val="16"/>
          <w:szCs w:val="16"/>
        </w:rPr>
        <w:t>0.000 Mandanten.</w:t>
      </w:r>
    </w:p>
    <w:p w14:paraId="06E835A3" w14:textId="77777777" w:rsidR="00A2388D" w:rsidRDefault="00A2388D" w:rsidP="00A2388D">
      <w:pPr>
        <w:spacing w:before="360" w:after="0" w:line="240" w:lineRule="auto"/>
        <w:contextualSpacing/>
        <w:jc w:val="both"/>
        <w:rPr>
          <w:rFonts w:ascii="Plain Thin" w:hAnsi="Plain Thin"/>
          <w:b/>
          <w:sz w:val="16"/>
          <w:szCs w:val="16"/>
        </w:rPr>
      </w:pPr>
    </w:p>
    <w:p w14:paraId="155E65E4" w14:textId="77777777" w:rsidR="00D34F30" w:rsidRPr="007079FE" w:rsidRDefault="00D34F30" w:rsidP="00A2388D">
      <w:pPr>
        <w:spacing w:before="360" w:after="0" w:line="240" w:lineRule="auto"/>
        <w:contextualSpacing/>
        <w:jc w:val="both"/>
        <w:rPr>
          <w:rFonts w:ascii="Plain Thin" w:hAnsi="Plain Thin"/>
          <w:b/>
          <w:sz w:val="16"/>
          <w:szCs w:val="16"/>
        </w:rPr>
      </w:pPr>
      <w:r w:rsidRPr="007079FE">
        <w:rPr>
          <w:rFonts w:ascii="Plain Thin" w:hAnsi="Plain Thin"/>
          <w:b/>
          <w:sz w:val="16"/>
          <w:szCs w:val="16"/>
        </w:rPr>
        <w:t>Pressekontakt</w:t>
      </w:r>
    </w:p>
    <w:p w14:paraId="61778DBB" w14:textId="77777777" w:rsidR="00F601E5" w:rsidRPr="007079FE" w:rsidRDefault="00815723" w:rsidP="007079FE">
      <w:pPr>
        <w:spacing w:after="0" w:line="240" w:lineRule="auto"/>
        <w:contextualSpacing/>
        <w:jc w:val="both"/>
        <w:rPr>
          <w:rFonts w:ascii="Plain Thin" w:hAnsi="Plain Thin" w:cs="Calibri Light"/>
          <w:sz w:val="16"/>
          <w:szCs w:val="16"/>
        </w:rPr>
      </w:pPr>
      <w:r>
        <w:rPr>
          <w:rFonts w:ascii="Plain Thin" w:hAnsi="Plain Thin" w:cs="Calibri Light"/>
          <w:sz w:val="16"/>
          <w:szCs w:val="16"/>
        </w:rPr>
        <w:t>Danyal Alaybeyoglu</w:t>
      </w:r>
      <w:r w:rsidR="006964E4" w:rsidRPr="007079FE">
        <w:rPr>
          <w:rFonts w:ascii="Plain Thin" w:hAnsi="Plain Thin" w:cs="Calibri Light"/>
          <w:sz w:val="16"/>
          <w:szCs w:val="16"/>
        </w:rPr>
        <w:t xml:space="preserve">, Tel.: 030 22 64 02 </w:t>
      </w:r>
      <w:r>
        <w:rPr>
          <w:rFonts w:ascii="Plain Thin" w:hAnsi="Plain Thin" w:cs="Calibri Light"/>
          <w:sz w:val="16"/>
          <w:szCs w:val="16"/>
        </w:rPr>
        <w:t>3</w:t>
      </w:r>
      <w:r w:rsidR="00991E52" w:rsidRPr="007079FE">
        <w:rPr>
          <w:rFonts w:ascii="Plain Thin" w:hAnsi="Plain Thin" w:cs="Calibri Light"/>
          <w:sz w:val="16"/>
          <w:szCs w:val="16"/>
        </w:rPr>
        <w:t>0</w:t>
      </w:r>
      <w:r w:rsidR="00D2581E" w:rsidRPr="007079FE">
        <w:rPr>
          <w:rFonts w:ascii="Plain Thin" w:hAnsi="Plain Thin" w:cs="Calibri Light"/>
          <w:sz w:val="16"/>
          <w:szCs w:val="16"/>
        </w:rPr>
        <w:t xml:space="preserve">, E-Mail: </w:t>
      </w:r>
      <w:r>
        <w:rPr>
          <w:rFonts w:ascii="Plain Thin" w:hAnsi="Plain Thin" w:cs="Calibri Light"/>
          <w:sz w:val="16"/>
          <w:szCs w:val="16"/>
        </w:rPr>
        <w:t>danyal.alaybeyoglu</w:t>
      </w:r>
      <w:r w:rsidR="007079FE" w:rsidRPr="007079FE">
        <w:rPr>
          <w:rFonts w:ascii="Plain Thin" w:hAnsi="Plain Thin" w:cs="Calibri Light"/>
          <w:sz w:val="16"/>
          <w:szCs w:val="16"/>
        </w:rPr>
        <w:t>@etl.de</w:t>
      </w:r>
      <w:r w:rsidR="007079FE">
        <w:rPr>
          <w:rFonts w:ascii="Plain Thin" w:hAnsi="Plain Thin" w:cs="Calibri Light"/>
          <w:sz w:val="16"/>
          <w:szCs w:val="16"/>
        </w:rPr>
        <w:t xml:space="preserve">, </w:t>
      </w:r>
      <w:r w:rsidR="006964E4" w:rsidRPr="007079FE">
        <w:rPr>
          <w:rFonts w:ascii="Plain Thin" w:hAnsi="Plain Thin" w:cs="Calibri Light"/>
          <w:sz w:val="16"/>
          <w:szCs w:val="16"/>
        </w:rPr>
        <w:t>ETL, Mauerstraße 86-88, 10117 Berlin, www.etl.de</w:t>
      </w:r>
    </w:p>
    <w:sectPr w:rsidR="00F601E5" w:rsidRPr="007079FE" w:rsidSect="00F10B3E">
      <w:headerReference w:type="default" r:id="rId9"/>
      <w:pgSz w:w="11906" w:h="16838"/>
      <w:pgMar w:top="1418" w:right="153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81ED4" w14:textId="77777777" w:rsidR="00E55D11" w:rsidRDefault="00E55D11" w:rsidP="00F601E5">
      <w:pPr>
        <w:spacing w:after="0" w:line="240" w:lineRule="auto"/>
      </w:pPr>
      <w:r>
        <w:separator/>
      </w:r>
    </w:p>
  </w:endnote>
  <w:endnote w:type="continuationSeparator" w:id="0">
    <w:p w14:paraId="441A740E" w14:textId="77777777" w:rsidR="00E55D11" w:rsidRDefault="00E55D11" w:rsidP="00F6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in Thin">
    <w:panose1 w:val="020B0403020202020204"/>
    <w:charset w:val="00"/>
    <w:family w:val="swiss"/>
    <w:notTrueType/>
    <w:pitch w:val="variable"/>
    <w:sig w:usb0="8000002F" w:usb1="0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FBD4A" w14:textId="77777777" w:rsidR="00E55D11" w:rsidRDefault="00E55D11" w:rsidP="00F601E5">
      <w:pPr>
        <w:spacing w:after="0" w:line="240" w:lineRule="auto"/>
      </w:pPr>
      <w:r>
        <w:separator/>
      </w:r>
    </w:p>
  </w:footnote>
  <w:footnote w:type="continuationSeparator" w:id="0">
    <w:p w14:paraId="3B71E08B" w14:textId="77777777" w:rsidR="00E55D11" w:rsidRDefault="00E55D11" w:rsidP="00F6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87F7" w14:textId="77777777" w:rsidR="00F601E5" w:rsidRDefault="00F601E5" w:rsidP="00CC3661">
    <w:pPr>
      <w:pStyle w:val="Kopfzeile"/>
      <w:ind w:righ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36DD"/>
    <w:multiLevelType w:val="hybridMultilevel"/>
    <w:tmpl w:val="54DE29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26"/>
    <w:rsid w:val="00000B00"/>
    <w:rsid w:val="00000FF8"/>
    <w:rsid w:val="00006588"/>
    <w:rsid w:val="00015226"/>
    <w:rsid w:val="000308B3"/>
    <w:rsid w:val="000322EC"/>
    <w:rsid w:val="000374F7"/>
    <w:rsid w:val="0004003A"/>
    <w:rsid w:val="000452A2"/>
    <w:rsid w:val="00045508"/>
    <w:rsid w:val="00061561"/>
    <w:rsid w:val="000673F1"/>
    <w:rsid w:val="00077904"/>
    <w:rsid w:val="000779F7"/>
    <w:rsid w:val="00083E93"/>
    <w:rsid w:val="00083F35"/>
    <w:rsid w:val="00094BAC"/>
    <w:rsid w:val="000C7455"/>
    <w:rsid w:val="000D3FA2"/>
    <w:rsid w:val="000E3E36"/>
    <w:rsid w:val="000E5DF9"/>
    <w:rsid w:val="000F3D16"/>
    <w:rsid w:val="001037ED"/>
    <w:rsid w:val="00111D56"/>
    <w:rsid w:val="00126E29"/>
    <w:rsid w:val="00127D31"/>
    <w:rsid w:val="00130381"/>
    <w:rsid w:val="001316E8"/>
    <w:rsid w:val="00137090"/>
    <w:rsid w:val="00165A43"/>
    <w:rsid w:val="0017462A"/>
    <w:rsid w:val="00174ED1"/>
    <w:rsid w:val="0018199B"/>
    <w:rsid w:val="0018287E"/>
    <w:rsid w:val="00186BB1"/>
    <w:rsid w:val="001A459C"/>
    <w:rsid w:val="001B18EE"/>
    <w:rsid w:val="001B3650"/>
    <w:rsid w:val="001B44F3"/>
    <w:rsid w:val="001B5649"/>
    <w:rsid w:val="001D024D"/>
    <w:rsid w:val="001D18F5"/>
    <w:rsid w:val="001D3E4E"/>
    <w:rsid w:val="001D3F7A"/>
    <w:rsid w:val="0020371B"/>
    <w:rsid w:val="00212D5B"/>
    <w:rsid w:val="00240425"/>
    <w:rsid w:val="00261E74"/>
    <w:rsid w:val="0026710F"/>
    <w:rsid w:val="0027627C"/>
    <w:rsid w:val="00283481"/>
    <w:rsid w:val="00290671"/>
    <w:rsid w:val="002943BA"/>
    <w:rsid w:val="002A10D1"/>
    <w:rsid w:val="002A45A2"/>
    <w:rsid w:val="002C7D15"/>
    <w:rsid w:val="002D142E"/>
    <w:rsid w:val="002D2F81"/>
    <w:rsid w:val="002E6734"/>
    <w:rsid w:val="002E788F"/>
    <w:rsid w:val="002F2F5C"/>
    <w:rsid w:val="00300DF1"/>
    <w:rsid w:val="00300EBF"/>
    <w:rsid w:val="00331DE7"/>
    <w:rsid w:val="00346B4D"/>
    <w:rsid w:val="00363EC8"/>
    <w:rsid w:val="00366A31"/>
    <w:rsid w:val="00374A48"/>
    <w:rsid w:val="00385A39"/>
    <w:rsid w:val="0038778C"/>
    <w:rsid w:val="00394064"/>
    <w:rsid w:val="003B27F1"/>
    <w:rsid w:val="003C3491"/>
    <w:rsid w:val="003C7E02"/>
    <w:rsid w:val="003D68FB"/>
    <w:rsid w:val="003E1B15"/>
    <w:rsid w:val="003E7763"/>
    <w:rsid w:val="003F319F"/>
    <w:rsid w:val="003F48E0"/>
    <w:rsid w:val="00411500"/>
    <w:rsid w:val="004229FE"/>
    <w:rsid w:val="004251C0"/>
    <w:rsid w:val="004462D6"/>
    <w:rsid w:val="00450330"/>
    <w:rsid w:val="004629D2"/>
    <w:rsid w:val="004658F4"/>
    <w:rsid w:val="00471D82"/>
    <w:rsid w:val="00482CDD"/>
    <w:rsid w:val="004A5F53"/>
    <w:rsid w:val="004C36A9"/>
    <w:rsid w:val="004D497E"/>
    <w:rsid w:val="004E001F"/>
    <w:rsid w:val="004F6A51"/>
    <w:rsid w:val="00500F7E"/>
    <w:rsid w:val="00502D4A"/>
    <w:rsid w:val="0051113C"/>
    <w:rsid w:val="00512D97"/>
    <w:rsid w:val="005132D1"/>
    <w:rsid w:val="005135E5"/>
    <w:rsid w:val="0052029F"/>
    <w:rsid w:val="005205AC"/>
    <w:rsid w:val="00535467"/>
    <w:rsid w:val="005362F4"/>
    <w:rsid w:val="00545B30"/>
    <w:rsid w:val="00552AA4"/>
    <w:rsid w:val="00563E9F"/>
    <w:rsid w:val="00574062"/>
    <w:rsid w:val="00577D88"/>
    <w:rsid w:val="00582CA0"/>
    <w:rsid w:val="005A4F33"/>
    <w:rsid w:val="005A7A1C"/>
    <w:rsid w:val="005E57AD"/>
    <w:rsid w:val="005F03C0"/>
    <w:rsid w:val="005F4254"/>
    <w:rsid w:val="0061143B"/>
    <w:rsid w:val="006248D0"/>
    <w:rsid w:val="006300B3"/>
    <w:rsid w:val="006341FF"/>
    <w:rsid w:val="00635EDB"/>
    <w:rsid w:val="0063649A"/>
    <w:rsid w:val="00642889"/>
    <w:rsid w:val="00644FA7"/>
    <w:rsid w:val="00650461"/>
    <w:rsid w:val="00655C68"/>
    <w:rsid w:val="00686062"/>
    <w:rsid w:val="006865B1"/>
    <w:rsid w:val="00686CEC"/>
    <w:rsid w:val="00691F3A"/>
    <w:rsid w:val="0069410C"/>
    <w:rsid w:val="006964E4"/>
    <w:rsid w:val="006A1027"/>
    <w:rsid w:val="006C3000"/>
    <w:rsid w:val="006C54DD"/>
    <w:rsid w:val="006D3C62"/>
    <w:rsid w:val="006F1C8F"/>
    <w:rsid w:val="006F23B0"/>
    <w:rsid w:val="0070034F"/>
    <w:rsid w:val="00700551"/>
    <w:rsid w:val="007057C1"/>
    <w:rsid w:val="007079FE"/>
    <w:rsid w:val="007434EC"/>
    <w:rsid w:val="00761EAD"/>
    <w:rsid w:val="00772FFB"/>
    <w:rsid w:val="00775B18"/>
    <w:rsid w:val="00782ED8"/>
    <w:rsid w:val="00795B2F"/>
    <w:rsid w:val="007A6957"/>
    <w:rsid w:val="007B5DAA"/>
    <w:rsid w:val="007C0A9B"/>
    <w:rsid w:val="007C3840"/>
    <w:rsid w:val="007D3159"/>
    <w:rsid w:val="007D599A"/>
    <w:rsid w:val="00802814"/>
    <w:rsid w:val="008036C9"/>
    <w:rsid w:val="00807C09"/>
    <w:rsid w:val="00815723"/>
    <w:rsid w:val="00816A91"/>
    <w:rsid w:val="00834EDA"/>
    <w:rsid w:val="00835746"/>
    <w:rsid w:val="0084038C"/>
    <w:rsid w:val="008450EA"/>
    <w:rsid w:val="00850B10"/>
    <w:rsid w:val="008550B5"/>
    <w:rsid w:val="00867AF6"/>
    <w:rsid w:val="008C48BE"/>
    <w:rsid w:val="008D3479"/>
    <w:rsid w:val="008F63E0"/>
    <w:rsid w:val="008F6793"/>
    <w:rsid w:val="009107E2"/>
    <w:rsid w:val="0091151F"/>
    <w:rsid w:val="00914705"/>
    <w:rsid w:val="00914D6F"/>
    <w:rsid w:val="0091575F"/>
    <w:rsid w:val="009163EC"/>
    <w:rsid w:val="009171DD"/>
    <w:rsid w:val="00930F6C"/>
    <w:rsid w:val="009348D0"/>
    <w:rsid w:val="00944DB0"/>
    <w:rsid w:val="0095615B"/>
    <w:rsid w:val="00961790"/>
    <w:rsid w:val="009829D0"/>
    <w:rsid w:val="00984F6C"/>
    <w:rsid w:val="00985015"/>
    <w:rsid w:val="00987248"/>
    <w:rsid w:val="00991E52"/>
    <w:rsid w:val="009A04B4"/>
    <w:rsid w:val="009A75FB"/>
    <w:rsid w:val="009C077F"/>
    <w:rsid w:val="009C4EA7"/>
    <w:rsid w:val="009C6414"/>
    <w:rsid w:val="009C6914"/>
    <w:rsid w:val="009D74B0"/>
    <w:rsid w:val="009E4912"/>
    <w:rsid w:val="009F56D2"/>
    <w:rsid w:val="00A143B3"/>
    <w:rsid w:val="00A2388D"/>
    <w:rsid w:val="00A24D21"/>
    <w:rsid w:val="00A24D94"/>
    <w:rsid w:val="00A26C1C"/>
    <w:rsid w:val="00A53CEE"/>
    <w:rsid w:val="00A54BAF"/>
    <w:rsid w:val="00A66031"/>
    <w:rsid w:val="00A862A6"/>
    <w:rsid w:val="00AA1039"/>
    <w:rsid w:val="00AA6BC1"/>
    <w:rsid w:val="00AB1797"/>
    <w:rsid w:val="00AB2909"/>
    <w:rsid w:val="00AC3108"/>
    <w:rsid w:val="00AD3CAE"/>
    <w:rsid w:val="00AF49E5"/>
    <w:rsid w:val="00AF79B3"/>
    <w:rsid w:val="00B043B6"/>
    <w:rsid w:val="00B62CF7"/>
    <w:rsid w:val="00B70851"/>
    <w:rsid w:val="00B82AFF"/>
    <w:rsid w:val="00B950CB"/>
    <w:rsid w:val="00B95630"/>
    <w:rsid w:val="00B96B72"/>
    <w:rsid w:val="00BC49A3"/>
    <w:rsid w:val="00BE010C"/>
    <w:rsid w:val="00BE4F0B"/>
    <w:rsid w:val="00C1666B"/>
    <w:rsid w:val="00C22C4C"/>
    <w:rsid w:val="00C4116A"/>
    <w:rsid w:val="00C57FB7"/>
    <w:rsid w:val="00C848AC"/>
    <w:rsid w:val="00C8507A"/>
    <w:rsid w:val="00C9371B"/>
    <w:rsid w:val="00CA041E"/>
    <w:rsid w:val="00CB5EAB"/>
    <w:rsid w:val="00CC1793"/>
    <w:rsid w:val="00CC246B"/>
    <w:rsid w:val="00CC2EC4"/>
    <w:rsid w:val="00CC3661"/>
    <w:rsid w:val="00CC6100"/>
    <w:rsid w:val="00CC66AD"/>
    <w:rsid w:val="00CD2EA5"/>
    <w:rsid w:val="00CE0F3D"/>
    <w:rsid w:val="00CE19E9"/>
    <w:rsid w:val="00CE731A"/>
    <w:rsid w:val="00D0735A"/>
    <w:rsid w:val="00D2581E"/>
    <w:rsid w:val="00D30B5B"/>
    <w:rsid w:val="00D3298B"/>
    <w:rsid w:val="00D32A42"/>
    <w:rsid w:val="00D34707"/>
    <w:rsid w:val="00D34F30"/>
    <w:rsid w:val="00D47CFE"/>
    <w:rsid w:val="00D72921"/>
    <w:rsid w:val="00D8093D"/>
    <w:rsid w:val="00D85DAC"/>
    <w:rsid w:val="00D872DA"/>
    <w:rsid w:val="00DA4CFE"/>
    <w:rsid w:val="00DB1BE8"/>
    <w:rsid w:val="00DD0FE4"/>
    <w:rsid w:val="00DD312D"/>
    <w:rsid w:val="00DD53E0"/>
    <w:rsid w:val="00DE0FC4"/>
    <w:rsid w:val="00DE1EA4"/>
    <w:rsid w:val="00DF367B"/>
    <w:rsid w:val="00DF6812"/>
    <w:rsid w:val="00E054FC"/>
    <w:rsid w:val="00E06151"/>
    <w:rsid w:val="00E42C34"/>
    <w:rsid w:val="00E50ED1"/>
    <w:rsid w:val="00E51A3A"/>
    <w:rsid w:val="00E54CAA"/>
    <w:rsid w:val="00E55D11"/>
    <w:rsid w:val="00E56233"/>
    <w:rsid w:val="00E57EA8"/>
    <w:rsid w:val="00E6494E"/>
    <w:rsid w:val="00E66B39"/>
    <w:rsid w:val="00E80201"/>
    <w:rsid w:val="00E91050"/>
    <w:rsid w:val="00E91F50"/>
    <w:rsid w:val="00EA6DD7"/>
    <w:rsid w:val="00EC4EF3"/>
    <w:rsid w:val="00ED4539"/>
    <w:rsid w:val="00ED7061"/>
    <w:rsid w:val="00EE1E8F"/>
    <w:rsid w:val="00EF3D8E"/>
    <w:rsid w:val="00F10B3E"/>
    <w:rsid w:val="00F34DF0"/>
    <w:rsid w:val="00F52418"/>
    <w:rsid w:val="00F601E5"/>
    <w:rsid w:val="00F72DFB"/>
    <w:rsid w:val="00FA233A"/>
    <w:rsid w:val="00FA2B3B"/>
    <w:rsid w:val="00FB1D7F"/>
    <w:rsid w:val="00FC496C"/>
    <w:rsid w:val="00FD5E5E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AFD3C"/>
  <w15:docId w15:val="{75626096-296E-45CA-90F2-05795275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363EC8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5F5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00F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01E5"/>
  </w:style>
  <w:style w:type="paragraph" w:styleId="Fuzeile">
    <w:name w:val="footer"/>
    <w:basedOn w:val="Standard"/>
    <w:link w:val="FuzeileZchn"/>
    <w:uiPriority w:val="99"/>
    <w:unhideWhenUsed/>
    <w:rsid w:val="00F6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01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01E5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363EC8"/>
    <w:rPr>
      <w:rFonts w:ascii="Arial" w:eastAsia="Times New Roman" w:hAnsi="Arial" w:cs="Times New Roman"/>
      <w:b/>
      <w:bCs/>
      <w:sz w:val="2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363EC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63EC8"/>
    <w:rPr>
      <w:rFonts w:ascii="Arial" w:eastAsia="Times New Roman" w:hAnsi="Arial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A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C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D3E28-EFB0-4963-B4CE-8A074F14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Admin</cp:lastModifiedBy>
  <cp:revision>12</cp:revision>
  <cp:lastPrinted>2020-11-09T11:01:00Z</cp:lastPrinted>
  <dcterms:created xsi:type="dcterms:W3CDTF">2022-02-21T07:54:00Z</dcterms:created>
  <dcterms:modified xsi:type="dcterms:W3CDTF">2022-02-23T07:13:00Z</dcterms:modified>
</cp:coreProperties>
</file>