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A44C" w14:textId="396EA503" w:rsidR="00E67CD9" w:rsidRDefault="009B5B8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C0EE60" wp14:editId="5459795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52625" cy="342265"/>
            <wp:effectExtent l="0" t="0" r="9525" b="635"/>
            <wp:wrapTight wrapText="bothSides">
              <wp:wrapPolygon edited="0">
                <wp:start x="5690" y="0"/>
                <wp:lineTo x="0" y="1202"/>
                <wp:lineTo x="0" y="19236"/>
                <wp:lineTo x="5690" y="20438"/>
                <wp:lineTo x="6743" y="20438"/>
                <wp:lineTo x="21495" y="19236"/>
                <wp:lineTo x="21495" y="1202"/>
                <wp:lineTo x="6743" y="0"/>
                <wp:lineTo x="569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73D97" w14:textId="77777777" w:rsidR="00D75D49" w:rsidRDefault="00D75D49" w:rsidP="00D75D49">
      <w:pPr>
        <w:spacing w:line="264" w:lineRule="auto"/>
        <w:rPr>
          <w:rFonts w:ascii="Plain Thin" w:hAnsi="Plain Thin"/>
          <w:sz w:val="24"/>
          <w:szCs w:val="24"/>
        </w:rPr>
      </w:pPr>
    </w:p>
    <w:p w14:paraId="302BFFFE" w14:textId="747E9F6E" w:rsidR="00D75D49" w:rsidRPr="00D75D49" w:rsidRDefault="00D75D49" w:rsidP="00D75D49">
      <w:pPr>
        <w:spacing w:line="264" w:lineRule="auto"/>
        <w:rPr>
          <w:rFonts w:ascii="Plain Thin" w:hAnsi="Plain Thin"/>
          <w:sz w:val="24"/>
          <w:szCs w:val="24"/>
        </w:rPr>
      </w:pPr>
      <w:r>
        <w:rPr>
          <w:rFonts w:ascii="Plain Thin" w:hAnsi="Plain Thin"/>
          <w:sz w:val="24"/>
          <w:szCs w:val="24"/>
        </w:rPr>
        <w:t>PRESSEINFORMATION</w:t>
      </w:r>
    </w:p>
    <w:p w14:paraId="1AED2F1E" w14:textId="56DC679F" w:rsidR="00D75D49" w:rsidRPr="00D75D49" w:rsidRDefault="00565BBB" w:rsidP="00D75D49">
      <w:pPr>
        <w:spacing w:line="264" w:lineRule="auto"/>
        <w:rPr>
          <w:sz w:val="32"/>
          <w:szCs w:val="32"/>
        </w:rPr>
      </w:pPr>
      <w:r w:rsidRPr="00565BBB">
        <w:rPr>
          <w:rFonts w:ascii="Plain Light" w:hAnsi="Plain Light"/>
          <w:b/>
          <w:bCs/>
          <w:sz w:val="40"/>
          <w:szCs w:val="40"/>
        </w:rPr>
        <w:t>Flickenteppich statt Planungssicherheit</w:t>
      </w:r>
      <w:r w:rsidR="00485B5A">
        <w:rPr>
          <w:rFonts w:ascii="Plain Light" w:hAnsi="Plain Light"/>
          <w:b/>
          <w:bCs/>
          <w:sz w:val="40"/>
          <w:szCs w:val="40"/>
        </w:rPr>
        <w:t>: ETL ADHOGA-</w:t>
      </w:r>
      <w:r>
        <w:rPr>
          <w:rFonts w:ascii="Plain Light" w:hAnsi="Plain Light"/>
          <w:b/>
          <w:bCs/>
          <w:sz w:val="40"/>
          <w:szCs w:val="40"/>
        </w:rPr>
        <w:t xml:space="preserve">Infografik zu 3G-Regelungen </w:t>
      </w:r>
      <w:r w:rsidR="00485B5A">
        <w:rPr>
          <w:rFonts w:ascii="Plain Light" w:hAnsi="Plain Light"/>
          <w:b/>
          <w:bCs/>
          <w:sz w:val="40"/>
          <w:szCs w:val="40"/>
        </w:rPr>
        <w:t>jetzt auch für Clubs und Dis</w:t>
      </w:r>
      <w:bookmarkStart w:id="0" w:name="_GoBack"/>
      <w:bookmarkEnd w:id="0"/>
      <w:r w:rsidR="00485B5A">
        <w:rPr>
          <w:rFonts w:ascii="Plain Light" w:hAnsi="Plain Light"/>
          <w:b/>
          <w:bCs/>
          <w:sz w:val="40"/>
          <w:szCs w:val="40"/>
        </w:rPr>
        <w:t>kotheken</w:t>
      </w:r>
    </w:p>
    <w:p w14:paraId="2C79CBF5" w14:textId="78F02A3E" w:rsidR="007359D5" w:rsidRPr="00E67CD9" w:rsidRDefault="00485B5A" w:rsidP="00E67CD9">
      <w:pPr>
        <w:spacing w:after="240"/>
        <w:rPr>
          <w:rFonts w:ascii="Plain Thin" w:hAnsi="Plain Thin"/>
          <w:b/>
          <w:bCs/>
          <w:i/>
          <w:iCs/>
        </w:rPr>
      </w:pPr>
      <w:r>
        <w:rPr>
          <w:rFonts w:ascii="Plain Thin" w:hAnsi="Plain Thin"/>
          <w:b/>
          <w:bCs/>
          <w:i/>
          <w:iCs/>
        </w:rPr>
        <w:t>Berlin/Essen. 06.09</w:t>
      </w:r>
      <w:r w:rsidR="00703FB2">
        <w:rPr>
          <w:rFonts w:ascii="Plain Thin" w:hAnsi="Plain Thin"/>
          <w:b/>
          <w:bCs/>
          <w:i/>
          <w:iCs/>
        </w:rPr>
        <w:t>.</w:t>
      </w:r>
      <w:r w:rsidR="00E67CD9" w:rsidRPr="00E67CD9">
        <w:rPr>
          <w:rFonts w:ascii="Plain Thin" w:hAnsi="Plain Thin"/>
          <w:b/>
          <w:bCs/>
          <w:i/>
          <w:iCs/>
        </w:rPr>
        <w:t xml:space="preserve">2021. </w:t>
      </w:r>
      <w:r w:rsidR="0036393A">
        <w:rPr>
          <w:rFonts w:ascii="Plain Thin" w:hAnsi="Plain Thin"/>
          <w:b/>
          <w:bCs/>
          <w:i/>
          <w:iCs/>
        </w:rPr>
        <w:t>Die Beschlüsse der Ministerpräsidentenkonferenz vom 10. August soll</w:t>
      </w:r>
      <w:r w:rsidR="00FF69F2">
        <w:rPr>
          <w:rFonts w:ascii="Plain Thin" w:hAnsi="Plain Thin"/>
          <w:b/>
          <w:bCs/>
          <w:i/>
          <w:iCs/>
        </w:rPr>
        <w:t>t</w:t>
      </w:r>
      <w:r w:rsidR="0036393A">
        <w:rPr>
          <w:rFonts w:ascii="Plain Thin" w:hAnsi="Plain Thin"/>
          <w:b/>
          <w:bCs/>
          <w:i/>
          <w:iCs/>
        </w:rPr>
        <w:t>en Klarheit schaffen und Erleichterung</w:t>
      </w:r>
      <w:r w:rsidR="001A4DD2">
        <w:rPr>
          <w:rFonts w:ascii="Plain Thin" w:hAnsi="Plain Thin"/>
          <w:b/>
          <w:bCs/>
          <w:i/>
          <w:iCs/>
        </w:rPr>
        <w:t>en</w:t>
      </w:r>
      <w:r w:rsidR="0036393A">
        <w:rPr>
          <w:rFonts w:ascii="Plain Thin" w:hAnsi="Plain Thin"/>
          <w:b/>
          <w:bCs/>
          <w:i/>
          <w:iCs/>
        </w:rPr>
        <w:t xml:space="preserve"> für bereits gegen das Corona-Virus geimpfte </w:t>
      </w:r>
      <w:r w:rsidR="001A4DD2">
        <w:rPr>
          <w:rFonts w:ascii="Plain Thin" w:hAnsi="Plain Thin"/>
          <w:b/>
          <w:bCs/>
          <w:i/>
          <w:iCs/>
        </w:rPr>
        <w:t>Personen bringen. Auch Gastronomie und Hotellerie könnten von den Lockerungen profitieren –</w:t>
      </w:r>
      <w:r w:rsidR="00FF69F2">
        <w:rPr>
          <w:rFonts w:ascii="Plain Thin" w:hAnsi="Plain Thin"/>
          <w:b/>
          <w:bCs/>
          <w:i/>
          <w:iCs/>
        </w:rPr>
        <w:t xml:space="preserve"> </w:t>
      </w:r>
      <w:r w:rsidR="001A4DD2">
        <w:rPr>
          <w:rFonts w:ascii="Plain Thin" w:hAnsi="Plain Thin"/>
          <w:b/>
          <w:bCs/>
          <w:i/>
          <w:iCs/>
        </w:rPr>
        <w:t>doch noch herrscht ein Flickenteppich an</w:t>
      </w:r>
      <w:r w:rsidR="002700E7">
        <w:rPr>
          <w:rFonts w:ascii="Plain Thin" w:hAnsi="Plain Thin"/>
          <w:b/>
          <w:bCs/>
          <w:i/>
          <w:iCs/>
        </w:rPr>
        <w:t xml:space="preserve"> Verordnungen. </w:t>
      </w:r>
      <w:r w:rsidR="00565BBB">
        <w:rPr>
          <w:rFonts w:ascii="Plain Thin" w:hAnsi="Plain Thin"/>
          <w:b/>
          <w:bCs/>
          <w:i/>
          <w:iCs/>
        </w:rPr>
        <w:t>Mit einer exklusiven und regelmäßig aktualisierten Infografik</w:t>
      </w:r>
      <w:r w:rsidR="00FF69F2">
        <w:rPr>
          <w:rFonts w:ascii="Plain Thin" w:hAnsi="Plain Thin"/>
          <w:b/>
          <w:bCs/>
          <w:i/>
          <w:iCs/>
        </w:rPr>
        <w:t>, die jetzt um den Status Quo für Clubs und Diskotheken ergänzt wurde,</w:t>
      </w:r>
      <w:r w:rsidR="00565BBB">
        <w:rPr>
          <w:rFonts w:ascii="Plain Thin" w:hAnsi="Plain Thin"/>
          <w:b/>
          <w:bCs/>
          <w:i/>
          <w:iCs/>
        </w:rPr>
        <w:t xml:space="preserve"> gibt ETL ADHOGA einen Überblick über die </w:t>
      </w:r>
      <w:r w:rsidR="00FF69F2">
        <w:rPr>
          <w:rFonts w:ascii="Plain Thin" w:hAnsi="Plain Thin"/>
          <w:b/>
          <w:bCs/>
          <w:i/>
          <w:iCs/>
        </w:rPr>
        <w:t>Regelungen in den Bundesländern.</w:t>
      </w:r>
    </w:p>
    <w:p w14:paraId="233CA814" w14:textId="77777777" w:rsidR="001A4DD2" w:rsidRDefault="001A4DD2" w:rsidP="00960240">
      <w:pPr>
        <w:spacing w:line="240" w:lineRule="auto"/>
        <w:rPr>
          <w:rFonts w:ascii="Plain Thin" w:hAnsi="Plain Thin" w:cs="Times New Roman"/>
        </w:rPr>
      </w:pPr>
    </w:p>
    <w:p w14:paraId="0ED41DFE" w14:textId="434AC547" w:rsidR="001A4DD2" w:rsidRDefault="001A4DD2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Angesichts steigender Infektionszahlen droht Deutschland eine vierte Corona-Welle im Herbst</w:t>
      </w:r>
      <w:r w:rsidR="008605EC">
        <w:rPr>
          <w:rFonts w:ascii="Plain Thin" w:hAnsi="Plain Thin" w:cs="Times New Roman"/>
        </w:rPr>
        <w:t xml:space="preserve">. </w:t>
      </w:r>
      <w:r w:rsidR="008605EC" w:rsidRPr="008605EC">
        <w:rPr>
          <w:rFonts w:ascii="Plain Thin" w:hAnsi="Plain Thin" w:cs="Times New Roman"/>
        </w:rPr>
        <w:t>Bundeskanzlerin Angela M</w:t>
      </w:r>
      <w:r w:rsidR="002700E7">
        <w:rPr>
          <w:rFonts w:ascii="Plain Thin" w:hAnsi="Plain Thin" w:cs="Times New Roman"/>
        </w:rPr>
        <w:t>erkel und die Ministerpräsident</w:t>
      </w:r>
      <w:r w:rsidR="00FF69F2">
        <w:rPr>
          <w:rFonts w:ascii="Plain Thin" w:hAnsi="Plain Thin" w:cs="Times New Roman"/>
        </w:rPr>
        <w:t>en</w:t>
      </w:r>
      <w:r w:rsidR="008605EC" w:rsidRPr="008605EC">
        <w:rPr>
          <w:rFonts w:ascii="Plain Thin" w:hAnsi="Plain Thin" w:cs="Times New Roman"/>
        </w:rPr>
        <w:t xml:space="preserve"> der Länder haben sich</w:t>
      </w:r>
      <w:r w:rsidR="008605EC">
        <w:rPr>
          <w:rFonts w:ascii="Plain Thin" w:hAnsi="Plain Thin" w:cs="Times New Roman"/>
        </w:rPr>
        <w:t xml:space="preserve"> deshalb am 10. August auf Regelungen und Maßnahmen verständigt, um die Impfquote in der Bevölkerung zu erhöhen und einen erneuten </w:t>
      </w:r>
      <w:proofErr w:type="spellStart"/>
      <w:r w:rsidR="008605EC">
        <w:rPr>
          <w:rFonts w:ascii="Plain Thin" w:hAnsi="Plain Thin" w:cs="Times New Roman"/>
        </w:rPr>
        <w:t>Lockdown</w:t>
      </w:r>
      <w:proofErr w:type="spellEnd"/>
      <w:r w:rsidR="008605EC">
        <w:rPr>
          <w:rFonts w:ascii="Plain Thin" w:hAnsi="Plain Thin" w:cs="Times New Roman"/>
        </w:rPr>
        <w:t xml:space="preserve"> unbedingt zu vermeiden. Eine zentrale Rolle spielt dabei das 3G-Prinzip –Genesen, Geimpft, Getestet. </w:t>
      </w:r>
      <w:r w:rsidR="00B15485">
        <w:rPr>
          <w:rFonts w:ascii="Plain Thin" w:hAnsi="Plain Thin" w:cs="Times New Roman"/>
        </w:rPr>
        <w:t>Seit</w:t>
      </w:r>
      <w:r w:rsidR="008605EC">
        <w:rPr>
          <w:rFonts w:ascii="Plain Thin" w:hAnsi="Plain Thin" w:cs="Times New Roman"/>
        </w:rPr>
        <w:t xml:space="preserve"> dem 23. August sollen in bestimmten Innenräumen im öffentlichen Leb</w:t>
      </w:r>
      <w:r w:rsidR="00602042">
        <w:rPr>
          <w:rFonts w:ascii="Plain Thin" w:hAnsi="Plain Thin" w:cs="Times New Roman"/>
        </w:rPr>
        <w:t xml:space="preserve">en nur noch Personen Zutritt finden, die vollständig gegen das Corona-Virus geimpft sind oder genesen. Alle anderen benötigen dann einen negativen Antigen- oder PCR-Test. </w:t>
      </w:r>
    </w:p>
    <w:p w14:paraId="70017824" w14:textId="0F49FCA2" w:rsidR="002700E7" w:rsidRDefault="00602042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Für die Gastronomie und Hotellerie, die wie kaum eine andere Branche von den „</w:t>
      </w:r>
      <w:proofErr w:type="spellStart"/>
      <w:r>
        <w:rPr>
          <w:rFonts w:ascii="Plain Thin" w:hAnsi="Plain Thin" w:cs="Times New Roman"/>
        </w:rPr>
        <w:t>Lockdown</w:t>
      </w:r>
      <w:proofErr w:type="spellEnd"/>
      <w:r>
        <w:rPr>
          <w:rFonts w:ascii="Plain Thin" w:hAnsi="Plain Thin" w:cs="Times New Roman"/>
        </w:rPr>
        <w:t xml:space="preserve">“-Verordnungen betroffen war, könnte eine solche bundeseinheitliche Regelung dringend benötigte Planungssicherheit für die Herbstmonate bedeuten. </w:t>
      </w:r>
      <w:r w:rsidR="00B15485">
        <w:rPr>
          <w:rFonts w:ascii="Plain Thin" w:hAnsi="Plain Thin" w:cs="Times New Roman"/>
        </w:rPr>
        <w:t xml:space="preserve">Auch Clubs und Diskotheken sehnen sich nach praktikablen Lösungen für die anstehenden Herbst- und Wintermonate. </w:t>
      </w:r>
      <w:r>
        <w:rPr>
          <w:rFonts w:ascii="Plain Thin" w:hAnsi="Plain Thin" w:cs="Times New Roman"/>
        </w:rPr>
        <w:t xml:space="preserve">Doch wie schon in der Vergangenheit </w:t>
      </w:r>
      <w:r w:rsidR="00203F4E">
        <w:rPr>
          <w:rFonts w:ascii="Plain Thin" w:hAnsi="Plain Thin" w:cs="Times New Roman"/>
        </w:rPr>
        <w:t xml:space="preserve">drohen </w:t>
      </w:r>
      <w:r>
        <w:rPr>
          <w:rFonts w:ascii="Plain Thin" w:hAnsi="Plain Thin" w:cs="Times New Roman"/>
        </w:rPr>
        <w:t>auch diesmal zahlreiche Detailregelungen der einzelnen Bundesländer die angestrebte Übers</w:t>
      </w:r>
      <w:r w:rsidR="00B15485">
        <w:rPr>
          <w:rFonts w:ascii="Plain Thin" w:hAnsi="Plain Thin" w:cs="Times New Roman"/>
        </w:rPr>
        <w:t>ichtlichkeit zu konterkarieren.</w:t>
      </w:r>
    </w:p>
    <w:p w14:paraId="23FC50F2" w14:textId="77777777" w:rsidR="00B15485" w:rsidRDefault="002700E7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Während einige Bundesländer die von der Ministerpräsidentenkonferenz (MPK) beschlos</w:t>
      </w:r>
      <w:r w:rsidR="00B15485">
        <w:rPr>
          <w:rFonts w:ascii="Plain Thin" w:hAnsi="Plain Thin" w:cs="Times New Roman"/>
        </w:rPr>
        <w:t>senen Maßnahmen bereits umsetzen</w:t>
      </w:r>
      <w:r>
        <w:rPr>
          <w:rFonts w:ascii="Plain Thin" w:hAnsi="Plain Thin" w:cs="Times New Roman"/>
        </w:rPr>
        <w:t xml:space="preserve">, verknüpfen andere Länder die 3G-Regelungen in der Innengastronomie und Hotellerie mit Inzidenzwerten. Wieder andere wollen zusätzlich zum Inzidenzwert weitere Parameter berücksichtigen. </w:t>
      </w:r>
      <w:r w:rsidR="00B15485">
        <w:rPr>
          <w:rFonts w:ascii="Plain Thin" w:hAnsi="Plain Thin" w:cs="Times New Roman"/>
        </w:rPr>
        <w:t xml:space="preserve">Und in Hamburg </w:t>
      </w:r>
      <w:r w:rsidR="00B15485" w:rsidRPr="00B15485">
        <w:rPr>
          <w:rFonts w:ascii="Plain Thin" w:hAnsi="Plain Thin" w:cs="Times New Roman"/>
        </w:rPr>
        <w:t xml:space="preserve">gilt das sogenannte 2G-Optionsmodell, das u.a. Gastronomen, </w:t>
      </w:r>
      <w:proofErr w:type="spellStart"/>
      <w:r w:rsidR="00B15485" w:rsidRPr="00B15485">
        <w:rPr>
          <w:rFonts w:ascii="Plain Thin" w:hAnsi="Plain Thin" w:cs="Times New Roman"/>
        </w:rPr>
        <w:t>Hotelliers</w:t>
      </w:r>
      <w:proofErr w:type="spellEnd"/>
      <w:r w:rsidR="00B15485" w:rsidRPr="00B15485">
        <w:rPr>
          <w:rFonts w:ascii="Plain Thin" w:hAnsi="Plain Thin" w:cs="Times New Roman"/>
        </w:rPr>
        <w:t xml:space="preserve"> und Clubbesitzern erlaubt, nur Genesenen oder vollständig geimpften Personen den Zutritt zu gestatten.</w:t>
      </w:r>
      <w:r w:rsidR="00B15485">
        <w:rPr>
          <w:rFonts w:ascii="Plain Thin" w:hAnsi="Plain Thin" w:cs="Times New Roman"/>
        </w:rPr>
        <w:t xml:space="preserve"> </w:t>
      </w:r>
    </w:p>
    <w:p w14:paraId="151ACC0E" w14:textId="61E8ADD9" w:rsidR="00602042" w:rsidRDefault="00B15485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 xml:space="preserve">Auch für Clubs und Diskotheken herrscht von Bundesland zu Bundesland eine andere Regelung. Das Gegenteil von Planungssicherheit ist das Resultat. </w:t>
      </w:r>
      <w:r w:rsidR="00602042">
        <w:rPr>
          <w:rFonts w:ascii="Plain Thin" w:hAnsi="Plain Thin" w:cs="Times New Roman"/>
        </w:rPr>
        <w:t xml:space="preserve">„Erneut hat die Ministerpräsidentenkonferenz Uneinigkeit als Ergebnis hervorgebracht. Was wir derzeit </w:t>
      </w:r>
      <w:r w:rsidR="00602042">
        <w:rPr>
          <w:rFonts w:ascii="Plain Thin" w:hAnsi="Plain Thin" w:cs="Times New Roman"/>
        </w:rPr>
        <w:lastRenderedPageBreak/>
        <w:t xml:space="preserve">sehen ist ein Flickenteppich an Maßnahmen und damit ein Rückfall in Zeiten, die </w:t>
      </w:r>
      <w:r w:rsidR="00565BBB">
        <w:rPr>
          <w:rFonts w:ascii="Plain Thin" w:hAnsi="Plain Thin" w:cs="Times New Roman"/>
        </w:rPr>
        <w:t>das Gastgewerbe nicht vermisst“, kritisiert ETL ADHOGA-Leiter Erich Nagl den Status Quo.</w:t>
      </w:r>
    </w:p>
    <w:p w14:paraId="66DC2F48" w14:textId="6DDFC37C" w:rsidR="001A4DD2" w:rsidRDefault="00565BBB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 xml:space="preserve">Mit einer exklusiven Grafik, die wöchentlich aktualisiert wird, </w:t>
      </w:r>
      <w:r w:rsidR="00203F4E">
        <w:rPr>
          <w:rFonts w:ascii="Plain Thin" w:hAnsi="Plain Thin" w:cs="Times New Roman"/>
        </w:rPr>
        <w:t>gibt</w:t>
      </w:r>
      <w:r>
        <w:rPr>
          <w:rFonts w:ascii="Plain Thin" w:hAnsi="Plain Thin" w:cs="Times New Roman"/>
        </w:rPr>
        <w:t xml:space="preserve"> ETL ADHOGA </w:t>
      </w:r>
      <w:r w:rsidR="00203F4E">
        <w:rPr>
          <w:rFonts w:ascii="Plain Thin" w:hAnsi="Plain Thin" w:cs="Times New Roman"/>
        </w:rPr>
        <w:t>von jetzt an Gastronom</w:t>
      </w:r>
      <w:r w:rsidR="00B15485">
        <w:rPr>
          <w:rFonts w:ascii="Plain Thin" w:hAnsi="Plain Thin" w:cs="Times New Roman"/>
        </w:rPr>
        <w:t>en</w:t>
      </w:r>
      <w:r w:rsidR="00203F4E">
        <w:rPr>
          <w:rFonts w:ascii="Plain Thin" w:hAnsi="Plain Thin" w:cs="Times New Roman"/>
        </w:rPr>
        <w:t>, Hoteliers</w:t>
      </w:r>
      <w:r w:rsidR="00B15485" w:rsidRPr="00B15485">
        <w:t xml:space="preserve"> </w:t>
      </w:r>
      <w:r w:rsidR="00B15485" w:rsidRPr="00B15485">
        <w:rPr>
          <w:rFonts w:ascii="Plain Thin" w:hAnsi="Plain Thin" w:cs="Times New Roman"/>
        </w:rPr>
        <w:t>Clubbesitzern und Besuchern</w:t>
      </w:r>
      <w:r w:rsidR="00B15485">
        <w:rPr>
          <w:rFonts w:ascii="Plain Thin" w:hAnsi="Plain Thin" w:cs="Times New Roman"/>
        </w:rPr>
        <w:t xml:space="preserve"> </w:t>
      </w:r>
      <w:r w:rsidR="00203F4E">
        <w:rPr>
          <w:rFonts w:ascii="Plain Thin" w:hAnsi="Plain Thin" w:cs="Times New Roman"/>
        </w:rPr>
        <w:t>einen Überblick</w:t>
      </w:r>
      <w:r>
        <w:rPr>
          <w:rFonts w:ascii="Plain Thin" w:hAnsi="Plain Thin" w:cs="Times New Roman"/>
        </w:rPr>
        <w:t xml:space="preserve"> über die geltenden Verordnungen</w:t>
      </w:r>
      <w:r w:rsidR="002700E7">
        <w:rPr>
          <w:rFonts w:ascii="Plain Thin" w:hAnsi="Plain Thin" w:cs="Times New Roman"/>
        </w:rPr>
        <w:t xml:space="preserve"> </w:t>
      </w:r>
      <w:r>
        <w:rPr>
          <w:rFonts w:ascii="Plain Thin" w:hAnsi="Plain Thin" w:cs="Times New Roman"/>
        </w:rPr>
        <w:t xml:space="preserve">in den einzelnen Bundesländern. </w:t>
      </w:r>
    </w:p>
    <w:p w14:paraId="417A206F" w14:textId="1843BCCC" w:rsidR="002700E7" w:rsidRDefault="002700E7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Die</w:t>
      </w:r>
      <w:r w:rsidR="003B79F0">
        <w:rPr>
          <w:rFonts w:ascii="Plain Thin" w:hAnsi="Plain Thin" w:cs="Times New Roman"/>
        </w:rPr>
        <w:t xml:space="preserve"> </w:t>
      </w:r>
      <w:r>
        <w:rPr>
          <w:rFonts w:ascii="Plain Thin" w:hAnsi="Plain Thin" w:cs="Times New Roman"/>
        </w:rPr>
        <w:t>Infog</w:t>
      </w:r>
      <w:r w:rsidR="003B79F0">
        <w:rPr>
          <w:rFonts w:ascii="Plain Thin" w:hAnsi="Plain Thin" w:cs="Times New Roman"/>
        </w:rPr>
        <w:t xml:space="preserve">rafik steht hier zur Verfügung: </w:t>
      </w:r>
    </w:p>
    <w:p w14:paraId="6FD2EB27" w14:textId="12027885" w:rsidR="002700E7" w:rsidRDefault="00B15485" w:rsidP="00960240">
      <w:pPr>
        <w:spacing w:line="240" w:lineRule="auto"/>
        <w:rPr>
          <w:rFonts w:ascii="Plain Thin" w:hAnsi="Plain Thin" w:cs="Times New Roman"/>
        </w:rPr>
      </w:pPr>
      <w:hyperlink r:id="rId5" w:history="1">
        <w:r w:rsidRPr="00945BE5">
          <w:rPr>
            <w:rStyle w:val="Hyperlink"/>
            <w:rFonts w:ascii="Plain Thin" w:hAnsi="Plain Thin" w:cs="Times New Roman"/>
          </w:rPr>
          <w:t>https://www.etl-adhoga.de/aktuelles/flickenteppich-statt-planungssicherheit-etl-adhoga-mit-infografik-zu-3g-regelungen-im-gastgewerbe</w:t>
        </w:r>
      </w:hyperlink>
    </w:p>
    <w:p w14:paraId="30BF360B" w14:textId="77777777" w:rsidR="00B15485" w:rsidRDefault="00B15485" w:rsidP="00960240">
      <w:pPr>
        <w:spacing w:line="240" w:lineRule="auto"/>
        <w:rPr>
          <w:rFonts w:ascii="Plain Thin" w:hAnsi="Plain Thin" w:cs="Times New Roman"/>
        </w:rPr>
      </w:pPr>
    </w:p>
    <w:p w14:paraId="40BC2306" w14:textId="77777777" w:rsidR="002700E7" w:rsidRPr="002700E7" w:rsidRDefault="002700E7" w:rsidP="002700E7">
      <w:pPr>
        <w:spacing w:line="240" w:lineRule="auto"/>
        <w:rPr>
          <w:rFonts w:ascii="Plain" w:eastAsia="Calibri" w:hAnsi="Plain" w:cs="Times New Roman"/>
          <w:b/>
          <w:bCs/>
        </w:rPr>
      </w:pPr>
      <w:r w:rsidRPr="002700E7">
        <w:rPr>
          <w:rFonts w:ascii="Plain" w:eastAsia="Calibri" w:hAnsi="Plain" w:cs="Times New Roman"/>
          <w:b/>
          <w:bCs/>
        </w:rPr>
        <w:t>Über ETL ADHOGA</w:t>
      </w:r>
    </w:p>
    <w:p w14:paraId="0C9883FC" w14:textId="77777777" w:rsidR="002700E7" w:rsidRPr="002700E7" w:rsidRDefault="002700E7" w:rsidP="002700E7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  <w:r w:rsidRPr="002700E7">
        <w:rPr>
          <w:rFonts w:ascii="Plain Thin" w:eastAsia="Calibri" w:hAnsi="Plain Thin" w:cs="Times New Roman"/>
          <w:sz w:val="16"/>
          <w:szCs w:val="16"/>
        </w:rPr>
        <w:t>Die ETL ADHOGA Steuerberatungsgesellschaft AG ist als Teil der ETL-Gruppe auf die Beratung von Gastronomen und Hoteliers rund um die Themen Steuern, Recht und Unternehmensführung spezialisiert.</w:t>
      </w:r>
    </w:p>
    <w:p w14:paraId="520C161D" w14:textId="77777777" w:rsidR="002700E7" w:rsidRPr="002700E7" w:rsidRDefault="002700E7" w:rsidP="002700E7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  <w:r w:rsidRPr="002700E7">
        <w:rPr>
          <w:rFonts w:ascii="Plain Thin" w:eastAsia="Calibri" w:hAnsi="Plain Thin" w:cs="Times New Roman"/>
          <w:sz w:val="16"/>
          <w:szCs w:val="16"/>
        </w:rPr>
        <w:t>Zu den Leistungen von ADHOGA im Bereich der Steuerberatung für Hotels und Gaststätten zählen die Klassische Steuerberatung, Finanz- und Lohnbuchhaltung, Bilanzen und Steuererklärungen sowie betriebswirtschaftliche Beratung. Deutschlandweit verzeichnen die auf Hotellerie und Gastronomie spezialisierten Berater von ETL ADHOGA bereits über 1.000 Kunden. Im Rahmen der gesamten ETL-Gruppe über 4.000 Hotellerie- und Gastronomiebetriebe betreut.</w:t>
      </w:r>
    </w:p>
    <w:p w14:paraId="34B93FE3" w14:textId="77777777" w:rsidR="002700E7" w:rsidRPr="002700E7" w:rsidRDefault="002700E7" w:rsidP="002700E7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</w:p>
    <w:p w14:paraId="41D4A9C7" w14:textId="77777777" w:rsidR="002700E7" w:rsidRPr="002700E7" w:rsidRDefault="002700E7" w:rsidP="002700E7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b/>
          <w:sz w:val="16"/>
          <w:szCs w:val="16"/>
        </w:rPr>
      </w:pPr>
      <w:r w:rsidRPr="002700E7">
        <w:rPr>
          <w:rFonts w:ascii="Plain Thin" w:eastAsia="Calibri" w:hAnsi="Plain Thin" w:cs="Times New Roman"/>
          <w:b/>
          <w:sz w:val="16"/>
          <w:szCs w:val="16"/>
        </w:rPr>
        <w:t>Pressekontakt</w:t>
      </w:r>
    </w:p>
    <w:p w14:paraId="1682079E" w14:textId="77777777" w:rsidR="002700E7" w:rsidRPr="002700E7" w:rsidRDefault="002700E7" w:rsidP="002700E7">
      <w:pPr>
        <w:spacing w:after="0" w:line="240" w:lineRule="auto"/>
        <w:contextualSpacing/>
        <w:jc w:val="both"/>
        <w:rPr>
          <w:rFonts w:ascii="Plain Thin" w:eastAsia="Calibri" w:hAnsi="Plain Thin" w:cs="Calibri Light"/>
          <w:sz w:val="16"/>
          <w:szCs w:val="16"/>
        </w:rPr>
      </w:pPr>
      <w:r w:rsidRPr="002700E7">
        <w:rPr>
          <w:rFonts w:ascii="Plain Thin" w:eastAsia="Calibri" w:hAnsi="Plain Thin" w:cs="Calibri Light"/>
          <w:sz w:val="16"/>
          <w:szCs w:val="16"/>
        </w:rPr>
        <w:t>Danyal Alaybeyoglu, Tel.: 030 22 64 02 30, E-Mail: danyal.alaybeyoglu@etl.de, ETL, Mauerstraße 86-88, 10117 Berlin, www.etl.de</w:t>
      </w:r>
    </w:p>
    <w:p w14:paraId="156B0773" w14:textId="77777777" w:rsidR="002700E7" w:rsidRPr="002700E7" w:rsidRDefault="002700E7" w:rsidP="002700E7">
      <w:pPr>
        <w:rPr>
          <w:rFonts w:ascii="Calibri" w:eastAsia="Calibri" w:hAnsi="Calibri" w:cs="Times New Roman"/>
        </w:rPr>
      </w:pPr>
    </w:p>
    <w:p w14:paraId="11741EDB" w14:textId="77777777" w:rsidR="002700E7" w:rsidRDefault="002700E7" w:rsidP="00960240">
      <w:pPr>
        <w:spacing w:line="240" w:lineRule="auto"/>
        <w:rPr>
          <w:rFonts w:ascii="Plain Thin" w:hAnsi="Plain Thin" w:cs="Times New Roman"/>
        </w:rPr>
      </w:pPr>
    </w:p>
    <w:p w14:paraId="12D2026E" w14:textId="77777777" w:rsidR="00960240" w:rsidRPr="00E67CD9" w:rsidRDefault="00960240">
      <w:pPr>
        <w:rPr>
          <w:rFonts w:ascii="Plain Thin" w:hAnsi="Plain Thin" w:cs="Times New Roman"/>
        </w:rPr>
      </w:pPr>
    </w:p>
    <w:sectPr w:rsidR="00960240" w:rsidRPr="00E67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 Light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">
    <w:altName w:val="Calibri"/>
    <w:panose1 w:val="020B05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C"/>
    <w:rsid w:val="001604E4"/>
    <w:rsid w:val="001A4DD2"/>
    <w:rsid w:val="00203F4E"/>
    <w:rsid w:val="0023391D"/>
    <w:rsid w:val="002700E7"/>
    <w:rsid w:val="0027184A"/>
    <w:rsid w:val="00322A1B"/>
    <w:rsid w:val="003614DD"/>
    <w:rsid w:val="0036393A"/>
    <w:rsid w:val="0038768C"/>
    <w:rsid w:val="00394492"/>
    <w:rsid w:val="00397EE2"/>
    <w:rsid w:val="003A753F"/>
    <w:rsid w:val="003B79F0"/>
    <w:rsid w:val="0042422E"/>
    <w:rsid w:val="0042455B"/>
    <w:rsid w:val="00485B5A"/>
    <w:rsid w:val="00490059"/>
    <w:rsid w:val="00523D3B"/>
    <w:rsid w:val="00565BBB"/>
    <w:rsid w:val="00602042"/>
    <w:rsid w:val="00703FB2"/>
    <w:rsid w:val="007359D5"/>
    <w:rsid w:val="007425E9"/>
    <w:rsid w:val="007D59B9"/>
    <w:rsid w:val="007F27BB"/>
    <w:rsid w:val="0080083C"/>
    <w:rsid w:val="008605EC"/>
    <w:rsid w:val="00883B61"/>
    <w:rsid w:val="008955FA"/>
    <w:rsid w:val="008C2A16"/>
    <w:rsid w:val="008D40FA"/>
    <w:rsid w:val="00912AEC"/>
    <w:rsid w:val="00960240"/>
    <w:rsid w:val="009B5B86"/>
    <w:rsid w:val="009D53FB"/>
    <w:rsid w:val="009F5D32"/>
    <w:rsid w:val="00AD3F06"/>
    <w:rsid w:val="00B1429D"/>
    <w:rsid w:val="00B15485"/>
    <w:rsid w:val="00BF7119"/>
    <w:rsid w:val="00C645E0"/>
    <w:rsid w:val="00C7476F"/>
    <w:rsid w:val="00D75D49"/>
    <w:rsid w:val="00DF6D9E"/>
    <w:rsid w:val="00E50E19"/>
    <w:rsid w:val="00E67CD9"/>
    <w:rsid w:val="00E802FF"/>
    <w:rsid w:val="00E812A1"/>
    <w:rsid w:val="00F91306"/>
    <w:rsid w:val="00FA258F"/>
    <w:rsid w:val="00FB59B7"/>
    <w:rsid w:val="00FD484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8D"/>
  <w15:chartTrackingRefBased/>
  <w15:docId w15:val="{45B0AFD6-F79B-42E1-B2C8-F834888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27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27B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605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l-adhoga.de/aktuelles/flickenteppich-statt-planungssicherheit-etl-adhoga-mit-infografik-zu-3g-regelungen-im-gastgewer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Windows-Benutzer</cp:lastModifiedBy>
  <cp:revision>3</cp:revision>
  <cp:lastPrinted>2021-08-20T06:51:00Z</cp:lastPrinted>
  <dcterms:created xsi:type="dcterms:W3CDTF">2021-08-20T07:06:00Z</dcterms:created>
  <dcterms:modified xsi:type="dcterms:W3CDTF">2021-09-03T09:52:00Z</dcterms:modified>
</cp:coreProperties>
</file>