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FE0A7" w14:textId="2B5E40B8" w:rsidR="000C7E96" w:rsidRPr="000C7E96" w:rsidRDefault="000C7E96" w:rsidP="000C7E96">
      <w:pPr>
        <w:spacing w:line="264" w:lineRule="auto"/>
        <w:jc w:val="both"/>
        <w:rPr>
          <w:rFonts w:ascii="Plain Thin" w:hAnsi="Plain Thin"/>
          <w:sz w:val="24"/>
          <w:szCs w:val="24"/>
        </w:rPr>
      </w:pPr>
      <w:r w:rsidRPr="0018082A">
        <w:rPr>
          <w:rFonts w:ascii="Plain Thin" w:hAnsi="Plain Thin"/>
          <w:sz w:val="24"/>
          <w:szCs w:val="24"/>
        </w:rPr>
        <w:t>PRESSE</w:t>
      </w:r>
      <w:r>
        <w:rPr>
          <w:rFonts w:ascii="Plain Thin" w:hAnsi="Plain Thin"/>
          <w:sz w:val="24"/>
          <w:szCs w:val="24"/>
        </w:rPr>
        <w:t>MITTEILUNG</w:t>
      </w:r>
    </w:p>
    <w:p w14:paraId="3CC59E22" w14:textId="514BD853" w:rsidR="004A7416" w:rsidRPr="000C7E96" w:rsidRDefault="007F275C">
      <w:pPr>
        <w:rPr>
          <w:rFonts w:ascii="Plain Thin" w:hAnsi="Plain Thin"/>
          <w:b/>
          <w:sz w:val="32"/>
          <w:szCs w:val="38"/>
        </w:rPr>
      </w:pPr>
      <w:r w:rsidRPr="000C7E96">
        <w:rPr>
          <w:rFonts w:ascii="Plain Thin" w:hAnsi="Plain Thin"/>
          <w:b/>
          <w:sz w:val="32"/>
          <w:szCs w:val="38"/>
        </w:rPr>
        <w:t>Ärger um 3G-Regel in Arztpraxen</w:t>
      </w:r>
    </w:p>
    <w:p w14:paraId="5D579F4A" w14:textId="514F0C49" w:rsidR="00E34168" w:rsidRPr="00375EB8" w:rsidRDefault="000C7E96">
      <w:pPr>
        <w:rPr>
          <w:rFonts w:ascii="Plain Thin" w:hAnsi="Plain Thin"/>
          <w:b/>
          <w:bCs/>
          <w:i/>
          <w:iCs/>
          <w:sz w:val="19"/>
          <w:szCs w:val="19"/>
        </w:rPr>
      </w:pPr>
      <w:r w:rsidRPr="00375EB8">
        <w:rPr>
          <w:rFonts w:ascii="Plain Thin" w:hAnsi="Plain Thin"/>
          <w:b/>
          <w:bCs/>
          <w:i/>
          <w:iCs/>
          <w:sz w:val="19"/>
          <w:szCs w:val="19"/>
        </w:rPr>
        <w:t xml:space="preserve">Berlin/Essen 13.10.2021 </w:t>
      </w:r>
      <w:r w:rsidR="00240418" w:rsidRPr="00375EB8">
        <w:rPr>
          <w:rFonts w:ascii="Plain Thin" w:hAnsi="Plain Thin"/>
          <w:b/>
          <w:bCs/>
          <w:i/>
          <w:iCs/>
          <w:sz w:val="19"/>
          <w:szCs w:val="19"/>
        </w:rPr>
        <w:t xml:space="preserve">Ist es rechtlich zulässig, die Behandlung eines Patienten von der Einhaltung der 3G-Regel abhängig zu machen bzw. suspendiert sich ein Patient, der nicht geimpft oder genesen ist und sich einem Test nicht </w:t>
      </w:r>
      <w:r w:rsidR="000A3F88" w:rsidRPr="00375EB8">
        <w:rPr>
          <w:rFonts w:ascii="Plain Thin" w:hAnsi="Plain Thin"/>
          <w:b/>
          <w:bCs/>
          <w:i/>
          <w:iCs/>
          <w:sz w:val="19"/>
          <w:szCs w:val="19"/>
        </w:rPr>
        <w:t xml:space="preserve">unterziehen will, </w:t>
      </w:r>
      <w:r w:rsidR="004A7416" w:rsidRPr="00375EB8">
        <w:rPr>
          <w:rFonts w:ascii="Plain Thin" w:hAnsi="Plain Thin"/>
          <w:b/>
          <w:bCs/>
          <w:i/>
          <w:iCs/>
          <w:sz w:val="19"/>
          <w:szCs w:val="19"/>
        </w:rPr>
        <w:t>durch sein Verhalten von der vertragsärztlichen Versorgung?</w:t>
      </w:r>
      <w:r w:rsidR="007903A4">
        <w:rPr>
          <w:rFonts w:ascii="Plain Thin" w:hAnsi="Plain Thin"/>
          <w:b/>
          <w:bCs/>
          <w:i/>
          <w:iCs/>
          <w:sz w:val="19"/>
          <w:szCs w:val="19"/>
        </w:rPr>
        <w:t xml:space="preserve"> Dr. Uwe Schlegel und Katrin Beyer von der ETL-Rechtsanwälte GmbH erläutern die aktuelle Rechtslage.</w:t>
      </w:r>
    </w:p>
    <w:p w14:paraId="1D3BFFC7" w14:textId="366EB621" w:rsidR="00E34168" w:rsidRPr="00375EB8" w:rsidRDefault="00E34168" w:rsidP="005E1BB4">
      <w:pPr>
        <w:jc w:val="both"/>
        <w:rPr>
          <w:rFonts w:ascii="Plain Thin" w:hAnsi="Plain Thin" w:cs="Times New Roman"/>
          <w:sz w:val="19"/>
          <w:szCs w:val="19"/>
        </w:rPr>
      </w:pPr>
      <w:r w:rsidRPr="00375EB8">
        <w:rPr>
          <w:rFonts w:ascii="Plain Thin" w:hAnsi="Plain Thin" w:cs="Times New Roman"/>
          <w:sz w:val="19"/>
          <w:szCs w:val="19"/>
        </w:rPr>
        <w:t>Geimpft, getestet, genesen … die sog. 3G-Regel gilt in immer mehr Bereichen des öffentlichen Lebens und regelt bspw. den Zugang zu kulturellen Veranstaltungen</w:t>
      </w:r>
      <w:r w:rsidR="00396C90" w:rsidRPr="00375EB8">
        <w:rPr>
          <w:rFonts w:ascii="Plain Thin" w:hAnsi="Plain Thin" w:cs="Times New Roman"/>
          <w:sz w:val="19"/>
          <w:szCs w:val="19"/>
        </w:rPr>
        <w:t>, Gastronomie</w:t>
      </w:r>
      <w:r w:rsidR="0044737B" w:rsidRPr="00375EB8">
        <w:rPr>
          <w:rFonts w:ascii="Plain Thin" w:hAnsi="Plain Thin" w:cs="Times New Roman"/>
          <w:sz w:val="19"/>
          <w:szCs w:val="19"/>
        </w:rPr>
        <w:t>, Teilnahme am gesellschaftlichen Leben</w:t>
      </w:r>
      <w:r w:rsidR="00396C90" w:rsidRPr="00375EB8">
        <w:rPr>
          <w:rFonts w:ascii="Plain Thin" w:hAnsi="Plain Thin" w:cs="Times New Roman"/>
          <w:sz w:val="19"/>
          <w:szCs w:val="19"/>
        </w:rPr>
        <w:t xml:space="preserve">. Aber auch immer mehr Arztpraxen statuieren für sich die Anwendung der 3G-Regel und berufen sich dabei </w:t>
      </w:r>
      <w:r w:rsidR="005E1BB4" w:rsidRPr="00375EB8">
        <w:rPr>
          <w:rFonts w:ascii="Plain Thin" w:hAnsi="Plain Thin" w:cs="Times New Roman"/>
          <w:sz w:val="19"/>
          <w:szCs w:val="19"/>
        </w:rPr>
        <w:t xml:space="preserve">oftmals </w:t>
      </w:r>
      <w:r w:rsidR="00396C90" w:rsidRPr="00375EB8">
        <w:rPr>
          <w:rFonts w:ascii="Plain Thin" w:hAnsi="Plain Thin" w:cs="Times New Roman"/>
          <w:sz w:val="19"/>
          <w:szCs w:val="19"/>
        </w:rPr>
        <w:t xml:space="preserve">auf den Schutz des Praxispersonals und der übrigen Patienten. </w:t>
      </w:r>
      <w:r w:rsidR="005E1BB4" w:rsidRPr="00375EB8">
        <w:rPr>
          <w:rFonts w:ascii="Plain Thin" w:hAnsi="Plain Thin" w:cs="Times New Roman"/>
          <w:sz w:val="19"/>
          <w:szCs w:val="19"/>
        </w:rPr>
        <w:t xml:space="preserve">Einige Ärzte rechtfertigen die Anwendung der 3G-Regel mit ihrem Hausrecht. </w:t>
      </w:r>
      <w:r w:rsidR="00396C90" w:rsidRPr="00375EB8">
        <w:rPr>
          <w:rFonts w:ascii="Plain Thin" w:hAnsi="Plain Thin" w:cs="Times New Roman"/>
          <w:sz w:val="19"/>
          <w:szCs w:val="19"/>
        </w:rPr>
        <w:t>Aber ist das rechtlich zulässig?</w:t>
      </w:r>
    </w:p>
    <w:p w14:paraId="2C5B12EA" w14:textId="2EAB76FB" w:rsidR="000C30A0" w:rsidRPr="00375EB8" w:rsidRDefault="005E1BB4" w:rsidP="005E1BB4">
      <w:pPr>
        <w:jc w:val="both"/>
        <w:rPr>
          <w:rFonts w:ascii="Plain Thin" w:hAnsi="Plain Thin" w:cs="Times New Roman"/>
          <w:sz w:val="19"/>
          <w:szCs w:val="19"/>
        </w:rPr>
      </w:pPr>
      <w:r w:rsidRPr="00375EB8">
        <w:rPr>
          <w:rFonts w:ascii="Plain Thin" w:hAnsi="Plain Thin" w:cs="Times New Roman"/>
          <w:sz w:val="19"/>
          <w:szCs w:val="19"/>
        </w:rPr>
        <w:t>Der vorliegende Beitrag soll eine erste Orientierung in der aktuellen pandemischen Diskussion bieten</w:t>
      </w:r>
      <w:r w:rsidR="00E24180" w:rsidRPr="00375EB8">
        <w:rPr>
          <w:rFonts w:ascii="Plain Thin" w:hAnsi="Plain Thin" w:cs="Times New Roman"/>
          <w:sz w:val="19"/>
          <w:szCs w:val="19"/>
        </w:rPr>
        <w:t xml:space="preserve">. </w:t>
      </w:r>
      <w:r w:rsidR="000C30A0" w:rsidRPr="00375EB8">
        <w:rPr>
          <w:rFonts w:ascii="Plain Thin" w:hAnsi="Plain Thin" w:cs="Times New Roman"/>
          <w:sz w:val="19"/>
          <w:szCs w:val="19"/>
        </w:rPr>
        <w:t xml:space="preserve">Konkret geht es um die Frage, ob es </w:t>
      </w:r>
      <w:r w:rsidR="00845FFA" w:rsidRPr="00375EB8">
        <w:rPr>
          <w:rFonts w:ascii="Plain Thin" w:hAnsi="Plain Thin" w:cs="Times New Roman"/>
          <w:sz w:val="19"/>
          <w:szCs w:val="19"/>
        </w:rPr>
        <w:t xml:space="preserve">rechtlich </w:t>
      </w:r>
      <w:r w:rsidR="000C30A0" w:rsidRPr="00375EB8">
        <w:rPr>
          <w:rFonts w:ascii="Plain Thin" w:hAnsi="Plain Thin" w:cs="Times New Roman"/>
          <w:sz w:val="19"/>
          <w:szCs w:val="19"/>
        </w:rPr>
        <w:t>zulässig ist, den Zugang zu Arztpraxen nur noch bestimmten Bevölkerungsgruppen zu gestatten</w:t>
      </w:r>
      <w:r w:rsidR="00E24180" w:rsidRPr="00375EB8">
        <w:rPr>
          <w:rFonts w:ascii="Plain Thin" w:hAnsi="Plain Thin" w:cs="Times New Roman"/>
          <w:sz w:val="19"/>
          <w:szCs w:val="19"/>
        </w:rPr>
        <w:t>;</w:t>
      </w:r>
      <w:r w:rsidR="00845FFA" w:rsidRPr="00375EB8">
        <w:rPr>
          <w:rFonts w:ascii="Plain Thin" w:hAnsi="Plain Thin" w:cs="Times New Roman"/>
          <w:sz w:val="19"/>
          <w:szCs w:val="19"/>
        </w:rPr>
        <w:t xml:space="preserve"> nämlich denjenigen, die geimpft, genesen oder getestet sind</w:t>
      </w:r>
      <w:r w:rsidR="000C30A0" w:rsidRPr="00375EB8">
        <w:rPr>
          <w:rFonts w:ascii="Plain Thin" w:hAnsi="Plain Thin" w:cs="Times New Roman"/>
          <w:sz w:val="19"/>
          <w:szCs w:val="19"/>
        </w:rPr>
        <w:t xml:space="preserve"> </w:t>
      </w:r>
      <w:r w:rsidR="0071623E" w:rsidRPr="00375EB8">
        <w:rPr>
          <w:rFonts w:ascii="Plain Thin" w:hAnsi="Plain Thin" w:cs="Times New Roman"/>
          <w:sz w:val="19"/>
          <w:szCs w:val="19"/>
        </w:rPr>
        <w:t>sowie</w:t>
      </w:r>
      <w:r w:rsidR="000C30A0" w:rsidRPr="00375EB8">
        <w:rPr>
          <w:rFonts w:ascii="Plain Thin" w:hAnsi="Plain Thin" w:cs="Times New Roman"/>
          <w:sz w:val="19"/>
          <w:szCs w:val="19"/>
        </w:rPr>
        <w:t xml:space="preserve"> um das Recht des einzelnen </w:t>
      </w:r>
      <w:r w:rsidR="0071623E" w:rsidRPr="00375EB8">
        <w:rPr>
          <w:rFonts w:ascii="Plain Thin" w:hAnsi="Plain Thin" w:cs="Times New Roman"/>
          <w:sz w:val="19"/>
          <w:szCs w:val="19"/>
        </w:rPr>
        <w:t>Vertragsa</w:t>
      </w:r>
      <w:r w:rsidR="000C30A0" w:rsidRPr="00375EB8">
        <w:rPr>
          <w:rFonts w:ascii="Plain Thin" w:hAnsi="Plain Thin" w:cs="Times New Roman"/>
          <w:sz w:val="19"/>
          <w:szCs w:val="19"/>
        </w:rPr>
        <w:t>rztes, die Behandlung von denjenigen Patienten zu verweigern, die nicht geimpft</w:t>
      </w:r>
      <w:r w:rsidR="00CB2E00" w:rsidRPr="00375EB8">
        <w:rPr>
          <w:rFonts w:ascii="Plain Thin" w:hAnsi="Plain Thin" w:cs="Times New Roman"/>
          <w:sz w:val="19"/>
          <w:szCs w:val="19"/>
        </w:rPr>
        <w:t xml:space="preserve"> oder</w:t>
      </w:r>
      <w:r w:rsidR="000C30A0" w:rsidRPr="00375EB8">
        <w:rPr>
          <w:rFonts w:ascii="Plain Thin" w:hAnsi="Plain Thin" w:cs="Times New Roman"/>
          <w:sz w:val="19"/>
          <w:szCs w:val="19"/>
        </w:rPr>
        <w:t xml:space="preserve"> genesen sind</w:t>
      </w:r>
      <w:r w:rsidR="00CB2E00" w:rsidRPr="00375EB8">
        <w:rPr>
          <w:rFonts w:ascii="Plain Thin" w:hAnsi="Plain Thin" w:cs="Times New Roman"/>
          <w:sz w:val="19"/>
          <w:szCs w:val="19"/>
        </w:rPr>
        <w:t xml:space="preserve"> und sich auch einem Test nicht unterziehen wollen.</w:t>
      </w:r>
      <w:r w:rsidR="00E24180" w:rsidRPr="00375EB8">
        <w:rPr>
          <w:rFonts w:ascii="Plain Thin" w:hAnsi="Plain Thin" w:cs="Times New Roman"/>
          <w:sz w:val="19"/>
          <w:szCs w:val="19"/>
        </w:rPr>
        <w:t xml:space="preserve"> Suspendieren diese Patienten sich selbst von ihren Ansprüchen im GKV-Versorgungssystem?</w:t>
      </w:r>
    </w:p>
    <w:p w14:paraId="7D7243B0" w14:textId="3D631AD6" w:rsidR="00790D6A" w:rsidRPr="00375EB8" w:rsidRDefault="008D0BB6" w:rsidP="005E1BB4">
      <w:pPr>
        <w:pStyle w:val="StandardWeb"/>
        <w:shd w:val="clear" w:color="auto" w:fill="FFFFFF"/>
        <w:spacing w:before="0" w:beforeAutospacing="0" w:after="0" w:afterAutospacing="0"/>
        <w:jc w:val="both"/>
        <w:rPr>
          <w:rFonts w:ascii="Plain Thin" w:eastAsiaTheme="minorHAnsi" w:hAnsi="Plain Thin"/>
          <w:sz w:val="19"/>
          <w:szCs w:val="19"/>
          <w:lang w:eastAsia="en-US"/>
        </w:rPr>
      </w:pPr>
      <w:r w:rsidRPr="00375EB8">
        <w:rPr>
          <w:rFonts w:ascii="Plain Thin" w:eastAsiaTheme="minorHAnsi" w:hAnsi="Plain Thin"/>
          <w:sz w:val="19"/>
          <w:szCs w:val="19"/>
          <w:lang w:eastAsia="en-US"/>
        </w:rPr>
        <w:t xml:space="preserve">Vertragsärzte sehen sich </w:t>
      </w:r>
      <w:r w:rsidR="00E24180" w:rsidRPr="00375EB8">
        <w:rPr>
          <w:rFonts w:ascii="Plain Thin" w:eastAsiaTheme="minorHAnsi" w:hAnsi="Plain Thin"/>
          <w:sz w:val="19"/>
          <w:szCs w:val="19"/>
          <w:lang w:eastAsia="en-US"/>
        </w:rPr>
        <w:t xml:space="preserve">grundsätzlich </w:t>
      </w:r>
      <w:r w:rsidRPr="00375EB8">
        <w:rPr>
          <w:rFonts w:ascii="Plain Thin" w:eastAsiaTheme="minorHAnsi" w:hAnsi="Plain Thin"/>
          <w:sz w:val="19"/>
          <w:szCs w:val="19"/>
          <w:lang w:eastAsia="en-US"/>
        </w:rPr>
        <w:t xml:space="preserve">mit einem Pflichtenkatalog konfrontiert, der </w:t>
      </w:r>
      <w:r w:rsidR="00E24180" w:rsidRPr="00375EB8">
        <w:rPr>
          <w:rFonts w:ascii="Plain Thin" w:eastAsiaTheme="minorHAnsi" w:hAnsi="Plain Thin"/>
          <w:sz w:val="19"/>
          <w:szCs w:val="19"/>
          <w:lang w:eastAsia="en-US"/>
        </w:rPr>
        <w:t xml:space="preserve">in diversen gesetzlichen und untergesetzlichen Kodifizierungen </w:t>
      </w:r>
      <w:r w:rsidR="007E04C7" w:rsidRPr="00375EB8">
        <w:rPr>
          <w:rFonts w:ascii="Plain Thin" w:eastAsiaTheme="minorHAnsi" w:hAnsi="Plain Thin"/>
          <w:sz w:val="19"/>
          <w:szCs w:val="19"/>
          <w:lang w:eastAsia="en-US"/>
        </w:rPr>
        <w:t>ausgestaltet ist</w:t>
      </w:r>
      <w:r w:rsidR="00E24180" w:rsidRPr="00375EB8">
        <w:rPr>
          <w:rFonts w:ascii="Plain Thin" w:eastAsiaTheme="minorHAnsi" w:hAnsi="Plain Thin"/>
          <w:sz w:val="19"/>
          <w:szCs w:val="19"/>
          <w:lang w:eastAsia="en-US"/>
        </w:rPr>
        <w:t xml:space="preserve">, darunter </w:t>
      </w:r>
      <w:r w:rsidRPr="00375EB8">
        <w:rPr>
          <w:rFonts w:ascii="Plain Thin" w:eastAsiaTheme="minorHAnsi" w:hAnsi="Plain Thin"/>
          <w:sz w:val="19"/>
          <w:szCs w:val="19"/>
          <w:lang w:eastAsia="en-US"/>
        </w:rPr>
        <w:t xml:space="preserve">u.a. unmittelbar </w:t>
      </w:r>
      <w:r w:rsidR="00111D24" w:rsidRPr="00375EB8">
        <w:rPr>
          <w:rFonts w:ascii="Plain Thin" w:eastAsiaTheme="minorHAnsi" w:hAnsi="Plain Thin"/>
          <w:sz w:val="19"/>
          <w:szCs w:val="19"/>
          <w:lang w:eastAsia="en-US"/>
        </w:rPr>
        <w:t xml:space="preserve">aus dem BGB (§§ 630 a-h BGB), dem Behandlungsvertrag des Arztes mit dem Patienten, </w:t>
      </w:r>
      <w:r w:rsidR="00845FFA" w:rsidRPr="00375EB8">
        <w:rPr>
          <w:rFonts w:ascii="Plain Thin" w:eastAsiaTheme="minorHAnsi" w:hAnsi="Plain Thin"/>
          <w:sz w:val="19"/>
          <w:szCs w:val="19"/>
          <w:lang w:eastAsia="en-US"/>
        </w:rPr>
        <w:t>dem Berufsrecht</w:t>
      </w:r>
      <w:r w:rsidR="00111D24" w:rsidRPr="00375EB8">
        <w:rPr>
          <w:rFonts w:ascii="Plain Thin" w:eastAsiaTheme="minorHAnsi" w:hAnsi="Plain Thin"/>
          <w:sz w:val="19"/>
          <w:szCs w:val="19"/>
          <w:lang w:eastAsia="en-US"/>
        </w:rPr>
        <w:t xml:space="preserve"> </w:t>
      </w:r>
      <w:r w:rsidR="00845FFA" w:rsidRPr="00375EB8">
        <w:rPr>
          <w:rFonts w:ascii="Plain Thin" w:eastAsiaTheme="minorHAnsi" w:hAnsi="Plain Thin"/>
          <w:sz w:val="19"/>
          <w:szCs w:val="19"/>
          <w:lang w:eastAsia="en-US"/>
        </w:rPr>
        <w:t>der Ärztekammern des jeweiligen Landes, aus dem SGB V, ergänzt um untergesetzliche Normen (insbesondere der Ärzte-ZV, BMV-Ä, EBM, Verträge und Richtlinien auf Bundes- und Landesebene, HVM).</w:t>
      </w:r>
      <w:r w:rsidR="00111D24" w:rsidRPr="00375EB8">
        <w:rPr>
          <w:rFonts w:ascii="Plain Thin" w:eastAsiaTheme="minorHAnsi" w:hAnsi="Plain Thin"/>
          <w:sz w:val="19"/>
          <w:szCs w:val="19"/>
          <w:lang w:eastAsia="en-US"/>
        </w:rPr>
        <w:t xml:space="preserve"> </w:t>
      </w:r>
      <w:r w:rsidR="007E04C7" w:rsidRPr="00375EB8">
        <w:rPr>
          <w:rFonts w:ascii="Plain Thin" w:eastAsiaTheme="minorHAnsi" w:hAnsi="Plain Thin"/>
          <w:sz w:val="19"/>
          <w:szCs w:val="19"/>
          <w:lang w:eastAsia="en-US"/>
        </w:rPr>
        <w:t xml:space="preserve">Oftmals entsteht aufgrund dieses </w:t>
      </w:r>
      <w:r w:rsidR="005E1BB4" w:rsidRPr="00375EB8">
        <w:rPr>
          <w:rFonts w:ascii="Plain Thin" w:eastAsiaTheme="minorHAnsi" w:hAnsi="Plain Thin"/>
          <w:sz w:val="19"/>
          <w:szCs w:val="19"/>
          <w:lang w:eastAsia="en-US"/>
        </w:rPr>
        <w:t xml:space="preserve">umfangreichen </w:t>
      </w:r>
      <w:r w:rsidR="007E04C7" w:rsidRPr="00375EB8">
        <w:rPr>
          <w:rFonts w:ascii="Plain Thin" w:eastAsiaTheme="minorHAnsi" w:hAnsi="Plain Thin"/>
          <w:sz w:val="19"/>
          <w:szCs w:val="19"/>
          <w:lang w:eastAsia="en-US"/>
        </w:rPr>
        <w:t>inhaltlichen und</w:t>
      </w:r>
      <w:r w:rsidR="005E1BB4" w:rsidRPr="00375EB8">
        <w:rPr>
          <w:rFonts w:ascii="Plain Thin" w:eastAsiaTheme="minorHAnsi" w:hAnsi="Plain Thin"/>
          <w:sz w:val="19"/>
          <w:szCs w:val="19"/>
          <w:lang w:eastAsia="en-US"/>
        </w:rPr>
        <w:t xml:space="preserve"> bürokratischen</w:t>
      </w:r>
      <w:r w:rsidR="007E04C7" w:rsidRPr="00375EB8">
        <w:rPr>
          <w:rFonts w:ascii="Plain Thin" w:eastAsiaTheme="minorHAnsi" w:hAnsi="Plain Thin"/>
          <w:sz w:val="19"/>
          <w:szCs w:val="19"/>
          <w:lang w:eastAsia="en-US"/>
        </w:rPr>
        <w:t xml:space="preserve"> </w:t>
      </w:r>
      <w:r w:rsidR="005E1BB4" w:rsidRPr="00375EB8">
        <w:rPr>
          <w:rFonts w:ascii="Plain Thin" w:eastAsiaTheme="minorHAnsi" w:hAnsi="Plain Thin"/>
          <w:sz w:val="19"/>
          <w:szCs w:val="19"/>
          <w:lang w:eastAsia="en-US"/>
        </w:rPr>
        <w:t>Pflichten</w:t>
      </w:r>
      <w:r w:rsidR="007E04C7" w:rsidRPr="00375EB8">
        <w:rPr>
          <w:rFonts w:ascii="Plain Thin" w:eastAsiaTheme="minorHAnsi" w:hAnsi="Plain Thin"/>
          <w:sz w:val="19"/>
          <w:szCs w:val="19"/>
          <w:lang w:eastAsia="en-US"/>
        </w:rPr>
        <w:t xml:space="preserve">katalogs beim Vertragsarzt </w:t>
      </w:r>
      <w:r w:rsidR="00790D6A" w:rsidRPr="00375EB8">
        <w:rPr>
          <w:rFonts w:ascii="Plain Thin" w:eastAsiaTheme="minorHAnsi" w:hAnsi="Plain Thin"/>
          <w:sz w:val="19"/>
          <w:szCs w:val="19"/>
          <w:lang w:eastAsia="en-US"/>
        </w:rPr>
        <w:t xml:space="preserve">subjektiv </w:t>
      </w:r>
      <w:r w:rsidR="007E04C7" w:rsidRPr="00375EB8">
        <w:rPr>
          <w:rFonts w:ascii="Plain Thin" w:eastAsiaTheme="minorHAnsi" w:hAnsi="Plain Thin"/>
          <w:sz w:val="19"/>
          <w:szCs w:val="19"/>
          <w:lang w:eastAsia="en-US"/>
        </w:rPr>
        <w:t xml:space="preserve">der Eindruck, es </w:t>
      </w:r>
      <w:r w:rsidR="00192F6E" w:rsidRPr="00375EB8">
        <w:rPr>
          <w:rFonts w:ascii="Plain Thin" w:eastAsiaTheme="minorHAnsi" w:hAnsi="Plain Thin"/>
          <w:sz w:val="19"/>
          <w:szCs w:val="19"/>
          <w:lang w:eastAsia="en-US"/>
        </w:rPr>
        <w:t>bestünde</w:t>
      </w:r>
      <w:r w:rsidR="007E04C7" w:rsidRPr="00375EB8">
        <w:rPr>
          <w:rFonts w:ascii="Plain Thin" w:eastAsiaTheme="minorHAnsi" w:hAnsi="Plain Thin"/>
          <w:sz w:val="19"/>
          <w:szCs w:val="19"/>
          <w:lang w:eastAsia="en-US"/>
        </w:rPr>
        <w:t xml:space="preserve"> eine Überregulierung</w:t>
      </w:r>
      <w:r w:rsidR="00790D6A" w:rsidRPr="00375EB8">
        <w:rPr>
          <w:rFonts w:ascii="Plain Thin" w:eastAsiaTheme="minorHAnsi" w:hAnsi="Plain Thin"/>
          <w:sz w:val="19"/>
          <w:szCs w:val="19"/>
          <w:lang w:eastAsia="en-US"/>
        </w:rPr>
        <w:t xml:space="preserve"> und durch politische und berufspolitische Entscheidungen sei er </w:t>
      </w:r>
      <w:r w:rsidR="007E04C7" w:rsidRPr="00375EB8">
        <w:rPr>
          <w:rFonts w:ascii="Plain Thin" w:eastAsiaTheme="minorHAnsi" w:hAnsi="Plain Thin"/>
          <w:sz w:val="19"/>
          <w:szCs w:val="19"/>
          <w:lang w:eastAsia="en-US"/>
        </w:rPr>
        <w:t xml:space="preserve">übermäßig in seinen </w:t>
      </w:r>
      <w:r w:rsidR="00790D6A" w:rsidRPr="00375EB8">
        <w:rPr>
          <w:rFonts w:ascii="Plain Thin" w:eastAsiaTheme="minorHAnsi" w:hAnsi="Plain Thin"/>
          <w:sz w:val="19"/>
          <w:szCs w:val="19"/>
          <w:lang w:eastAsia="en-US"/>
        </w:rPr>
        <w:t xml:space="preserve">ärztlichen Entscheidungen </w:t>
      </w:r>
      <w:r w:rsidR="007E04C7" w:rsidRPr="00375EB8">
        <w:rPr>
          <w:rFonts w:ascii="Plain Thin" w:eastAsiaTheme="minorHAnsi" w:hAnsi="Plain Thin"/>
          <w:sz w:val="19"/>
          <w:szCs w:val="19"/>
          <w:lang w:eastAsia="en-US"/>
        </w:rPr>
        <w:t xml:space="preserve">einschränkt und seine Freiberuflichkeit </w:t>
      </w:r>
      <w:r w:rsidR="00192F6E" w:rsidRPr="00375EB8">
        <w:rPr>
          <w:rFonts w:ascii="Plain Thin" w:eastAsiaTheme="minorHAnsi" w:hAnsi="Plain Thin"/>
          <w:sz w:val="19"/>
          <w:szCs w:val="19"/>
          <w:lang w:eastAsia="en-US"/>
        </w:rPr>
        <w:t xml:space="preserve">sogar </w:t>
      </w:r>
      <w:r w:rsidR="007E04C7" w:rsidRPr="00375EB8">
        <w:rPr>
          <w:rFonts w:ascii="Plain Thin" w:eastAsiaTheme="minorHAnsi" w:hAnsi="Plain Thin"/>
          <w:sz w:val="19"/>
          <w:szCs w:val="19"/>
          <w:lang w:eastAsia="en-US"/>
        </w:rPr>
        <w:t xml:space="preserve">in die Schranken </w:t>
      </w:r>
      <w:r w:rsidR="00790D6A" w:rsidRPr="00375EB8">
        <w:rPr>
          <w:rFonts w:ascii="Plain Thin" w:eastAsiaTheme="minorHAnsi" w:hAnsi="Plain Thin"/>
          <w:sz w:val="19"/>
          <w:szCs w:val="19"/>
          <w:lang w:eastAsia="en-US"/>
        </w:rPr>
        <w:t>verwiesen</w:t>
      </w:r>
      <w:r w:rsidR="007E04C7" w:rsidRPr="00375EB8">
        <w:rPr>
          <w:rFonts w:ascii="Plain Thin" w:eastAsiaTheme="minorHAnsi" w:hAnsi="Plain Thin"/>
          <w:sz w:val="19"/>
          <w:szCs w:val="19"/>
          <w:lang w:eastAsia="en-US"/>
        </w:rPr>
        <w:t xml:space="preserve">. </w:t>
      </w:r>
      <w:r w:rsidR="008D04D4" w:rsidRPr="00375EB8">
        <w:rPr>
          <w:rFonts w:ascii="Plain Thin" w:eastAsiaTheme="minorHAnsi" w:hAnsi="Plain Thin"/>
          <w:sz w:val="19"/>
          <w:szCs w:val="19"/>
          <w:lang w:eastAsia="en-US"/>
        </w:rPr>
        <w:t xml:space="preserve">Und auch so </w:t>
      </w:r>
    </w:p>
    <w:p w14:paraId="25582E13" w14:textId="77777777" w:rsidR="00790D6A" w:rsidRPr="00375EB8" w:rsidRDefault="00790D6A" w:rsidP="005E1BB4">
      <w:pPr>
        <w:pStyle w:val="StandardWeb"/>
        <w:shd w:val="clear" w:color="auto" w:fill="FFFFFF"/>
        <w:spacing w:before="0" w:beforeAutospacing="0" w:after="0" w:afterAutospacing="0"/>
        <w:jc w:val="both"/>
        <w:rPr>
          <w:rFonts w:ascii="Plain Thin" w:eastAsiaTheme="minorHAnsi" w:hAnsi="Plain Thin"/>
          <w:sz w:val="19"/>
          <w:szCs w:val="19"/>
          <w:lang w:eastAsia="en-US"/>
        </w:rPr>
      </w:pPr>
    </w:p>
    <w:p w14:paraId="175C1BCB" w14:textId="3E9340CD" w:rsidR="0098431D" w:rsidRPr="00375EB8" w:rsidRDefault="00985334" w:rsidP="0098431D">
      <w:pPr>
        <w:jc w:val="both"/>
        <w:rPr>
          <w:rFonts w:ascii="Plain Thin" w:hAnsi="Plain Thin" w:cs="Times New Roman"/>
          <w:sz w:val="19"/>
          <w:szCs w:val="19"/>
        </w:rPr>
      </w:pPr>
      <w:r w:rsidRPr="00375EB8">
        <w:rPr>
          <w:rFonts w:ascii="Plain Thin" w:hAnsi="Plain Thin" w:cs="Times New Roman"/>
          <w:sz w:val="19"/>
          <w:szCs w:val="19"/>
        </w:rPr>
        <w:t xml:space="preserve">Grundsätzlich obliegt dem </w:t>
      </w:r>
      <w:r w:rsidR="00845FFA" w:rsidRPr="00375EB8">
        <w:rPr>
          <w:rFonts w:ascii="Plain Thin" w:hAnsi="Plain Thin" w:cs="Times New Roman"/>
          <w:sz w:val="19"/>
          <w:szCs w:val="19"/>
        </w:rPr>
        <w:t>Vertragsarzt als Folge seines S</w:t>
      </w:r>
      <w:r w:rsidR="00111D24" w:rsidRPr="00375EB8">
        <w:rPr>
          <w:rFonts w:ascii="Plain Thin" w:hAnsi="Plain Thin" w:cs="Times New Roman"/>
          <w:sz w:val="19"/>
          <w:szCs w:val="19"/>
        </w:rPr>
        <w:t>tat</w:t>
      </w:r>
      <w:r w:rsidR="00845FFA" w:rsidRPr="00375EB8">
        <w:rPr>
          <w:rFonts w:ascii="Plain Thin" w:hAnsi="Plain Thin" w:cs="Times New Roman"/>
          <w:sz w:val="19"/>
          <w:szCs w:val="19"/>
        </w:rPr>
        <w:t>us</w:t>
      </w:r>
      <w:r w:rsidRPr="00375EB8">
        <w:rPr>
          <w:rFonts w:ascii="Plain Thin" w:hAnsi="Plain Thin" w:cs="Times New Roman"/>
          <w:sz w:val="19"/>
          <w:szCs w:val="19"/>
        </w:rPr>
        <w:t>,</w:t>
      </w:r>
      <w:r w:rsidR="00845FFA" w:rsidRPr="00375EB8">
        <w:rPr>
          <w:rFonts w:ascii="Plain Thin" w:hAnsi="Plain Thin" w:cs="Times New Roman"/>
          <w:sz w:val="19"/>
          <w:szCs w:val="19"/>
        </w:rPr>
        <w:t xml:space="preserve"> </w:t>
      </w:r>
      <w:r w:rsidRPr="00375EB8">
        <w:rPr>
          <w:rFonts w:ascii="Plain Thin" w:hAnsi="Plain Thin" w:cs="Times New Roman"/>
          <w:sz w:val="19"/>
          <w:szCs w:val="19"/>
        </w:rPr>
        <w:t xml:space="preserve">zur </w:t>
      </w:r>
      <w:r w:rsidR="00845FFA" w:rsidRPr="00375EB8">
        <w:rPr>
          <w:rFonts w:ascii="Plain Thin" w:hAnsi="Plain Thin" w:cs="Times New Roman"/>
          <w:sz w:val="19"/>
          <w:szCs w:val="19"/>
        </w:rPr>
        <w:t>Teilnahme an der vertragsärztlichen Versorgung</w:t>
      </w:r>
      <w:r w:rsidRPr="00375EB8">
        <w:rPr>
          <w:rFonts w:ascii="Plain Thin" w:hAnsi="Plain Thin" w:cs="Times New Roman"/>
          <w:sz w:val="19"/>
          <w:szCs w:val="19"/>
        </w:rPr>
        <w:t xml:space="preserve"> zugelassen zu sein, </w:t>
      </w:r>
      <w:bookmarkStart w:id="0" w:name="Y-400-W-LauKeHdbArztR-GL-sect29-RN-8"/>
      <w:bookmarkEnd w:id="0"/>
      <w:r w:rsidR="008D0BB6" w:rsidRPr="00375EB8">
        <w:rPr>
          <w:rFonts w:ascii="Plain Thin" w:hAnsi="Plain Thin" w:cs="Times New Roman"/>
          <w:sz w:val="19"/>
          <w:szCs w:val="19"/>
        </w:rPr>
        <w:t xml:space="preserve">die Pflicht zur Untersuchung und Behandlung eines Patienten. </w:t>
      </w:r>
      <w:r w:rsidR="0071623E" w:rsidRPr="00375EB8">
        <w:rPr>
          <w:rFonts w:ascii="Plain Thin" w:hAnsi="Plain Thin" w:cs="Times New Roman"/>
          <w:sz w:val="19"/>
          <w:szCs w:val="19"/>
        </w:rPr>
        <w:t xml:space="preserve">Mit dieser aus dem Versorgungsauftrag des Vertragsarztes resultierenden Verpflichtung des Arztes korrespondiert der Anspruch des Patienten auf Behandlung nach §§ 11, 27 SGB V. </w:t>
      </w:r>
      <w:r w:rsidR="0098431D" w:rsidRPr="00375EB8">
        <w:rPr>
          <w:rFonts w:ascii="Plain Thin" w:hAnsi="Plain Thin" w:cs="Times New Roman"/>
          <w:sz w:val="19"/>
          <w:szCs w:val="19"/>
        </w:rPr>
        <w:t>Der Umfang der jeweiligen Behandlung ergibt sich wiederum aus </w:t>
      </w:r>
      <w:r w:rsidR="0098431D" w:rsidRPr="00375EB8">
        <w:rPr>
          <w:rFonts w:ascii="Plain Thin" w:hAnsi="Plain Thin"/>
          <w:sz w:val="19"/>
          <w:szCs w:val="19"/>
        </w:rPr>
        <w:t>§ </w:t>
      </w:r>
      <w:hyperlink r:id="rId4" w:history="1">
        <w:r w:rsidR="0098431D" w:rsidRPr="00375EB8">
          <w:rPr>
            <w:rFonts w:ascii="Plain Thin" w:hAnsi="Plain Thin"/>
            <w:sz w:val="19"/>
            <w:szCs w:val="19"/>
          </w:rPr>
          <w:t>73</w:t>
        </w:r>
      </w:hyperlink>
      <w:r w:rsidR="0098431D" w:rsidRPr="00375EB8">
        <w:rPr>
          <w:rFonts w:ascii="Plain Thin" w:hAnsi="Plain Thin"/>
          <w:sz w:val="19"/>
          <w:szCs w:val="19"/>
        </w:rPr>
        <w:t> Abs </w:t>
      </w:r>
      <w:hyperlink r:id="rId5" w:history="1">
        <w:r w:rsidR="0098431D" w:rsidRPr="00375EB8">
          <w:rPr>
            <w:rFonts w:ascii="Plain Thin" w:hAnsi="Plain Thin"/>
            <w:sz w:val="19"/>
            <w:szCs w:val="19"/>
          </w:rPr>
          <w:t>2</w:t>
        </w:r>
      </w:hyperlink>
      <w:r w:rsidR="0098431D" w:rsidRPr="00375EB8">
        <w:rPr>
          <w:rFonts w:ascii="Plain Thin" w:hAnsi="Plain Thin"/>
          <w:sz w:val="19"/>
          <w:szCs w:val="19"/>
        </w:rPr>
        <w:t> SGB V</w:t>
      </w:r>
      <w:r w:rsidR="0098431D" w:rsidRPr="00375EB8">
        <w:rPr>
          <w:rFonts w:ascii="Plain Thin" w:hAnsi="Plain Thin" w:cs="Times New Roman"/>
          <w:sz w:val="19"/>
          <w:szCs w:val="19"/>
        </w:rPr>
        <w:t xml:space="preserve">; danach ist der Vertragsarzt verpflichtet, gegenüber gesetzlich versicherten Patienten die gesetzlich normierten Dienst- und Sachleistungen  zu erbringen. </w:t>
      </w:r>
    </w:p>
    <w:p w14:paraId="38635CF9" w14:textId="7F8D3240" w:rsidR="0098431D" w:rsidRPr="00375EB8" w:rsidRDefault="0098431D" w:rsidP="00FC4494">
      <w:pPr>
        <w:spacing w:before="100" w:beforeAutospacing="1" w:after="100" w:afterAutospacing="1" w:line="240" w:lineRule="auto"/>
        <w:jc w:val="both"/>
        <w:rPr>
          <w:rFonts w:ascii="Plain Thin" w:hAnsi="Plain Thin" w:cs="Times New Roman"/>
          <w:sz w:val="19"/>
          <w:szCs w:val="19"/>
        </w:rPr>
      </w:pPr>
      <w:r w:rsidRPr="00375EB8">
        <w:rPr>
          <w:rFonts w:ascii="Plain Thin" w:hAnsi="Plain Thin" w:cs="Times New Roman"/>
          <w:sz w:val="19"/>
          <w:szCs w:val="19"/>
        </w:rPr>
        <w:t xml:space="preserve">Gemäß § 27 Abs. 1 S. 1 SGB V haben Versicherte Anspruch auf Krankenbehandlung, wenn sie notwendig ist, eine Krankheit zu erkennen, zu heilen, ihre Verschlimmerung zu verhüten oder Krankheitsbeschwerden zu lindern. Die Norm begründet einen Anspruch dem Grunde nach für die in der GKV Versicherten auf Krankenbehandlung und damit einen Rechtsanspruch </w:t>
      </w:r>
      <w:proofErr w:type="spellStart"/>
      <w:r w:rsidRPr="00375EB8">
        <w:rPr>
          <w:rFonts w:ascii="Plain Thin" w:hAnsi="Plain Thin" w:cs="Times New Roman"/>
          <w:sz w:val="19"/>
          <w:szCs w:val="19"/>
        </w:rPr>
        <w:t>iSd</w:t>
      </w:r>
      <w:proofErr w:type="spellEnd"/>
      <w:r w:rsidRPr="00375EB8">
        <w:rPr>
          <w:rFonts w:ascii="Plain Thin" w:hAnsi="Plain Thin" w:cs="Times New Roman"/>
          <w:sz w:val="19"/>
          <w:szCs w:val="19"/>
        </w:rPr>
        <w:t xml:space="preserve"> § 38 SGB I. </w:t>
      </w:r>
    </w:p>
    <w:p w14:paraId="66CDCDD0" w14:textId="3BC4A4BD" w:rsidR="00DB3135" w:rsidRPr="00375EB8" w:rsidRDefault="00DB3135" w:rsidP="00FC4494">
      <w:pPr>
        <w:spacing w:before="100" w:beforeAutospacing="1" w:after="100" w:afterAutospacing="1" w:line="240" w:lineRule="auto"/>
        <w:jc w:val="both"/>
        <w:rPr>
          <w:rFonts w:ascii="Plain Thin" w:hAnsi="Plain Thin" w:cs="Times New Roman"/>
          <w:sz w:val="19"/>
          <w:szCs w:val="19"/>
        </w:rPr>
      </w:pPr>
      <w:r w:rsidRPr="00375EB8">
        <w:rPr>
          <w:rFonts w:ascii="Plain Thin" w:hAnsi="Plain Thin" w:cs="Times New Roman"/>
          <w:sz w:val="19"/>
          <w:szCs w:val="19"/>
        </w:rPr>
        <w:t xml:space="preserve">Grenzen der ärztlichen Behandlungspflicht können sich aus dem Selbstbestimmungsrecht des Patienten ergeben, ein ärztliches Behandlungsrecht gegen den Willen des Patienten ist unserer Rechtsordnung grundsätzlich fremd, es obliegt grundsätzlich dem Patienten, eine ärztliche Behandlungsmaßnahme zurückzuweisen. Die hier zu problematisierende Fragestellung betrifft aber den </w:t>
      </w:r>
      <w:r w:rsidR="00D15B85" w:rsidRPr="00375EB8">
        <w:rPr>
          <w:rFonts w:ascii="Plain Thin" w:hAnsi="Plain Thin" w:cs="Times New Roman"/>
          <w:sz w:val="19"/>
          <w:szCs w:val="19"/>
        </w:rPr>
        <w:t xml:space="preserve">entgegengesetzten </w:t>
      </w:r>
      <w:r w:rsidRPr="00375EB8">
        <w:rPr>
          <w:rFonts w:ascii="Plain Thin" w:hAnsi="Plain Thin" w:cs="Times New Roman"/>
          <w:sz w:val="19"/>
          <w:szCs w:val="19"/>
        </w:rPr>
        <w:t>Fall</w:t>
      </w:r>
      <w:r w:rsidR="00D15B85" w:rsidRPr="00375EB8">
        <w:rPr>
          <w:rFonts w:ascii="Plain Thin" w:hAnsi="Plain Thin" w:cs="Times New Roman"/>
          <w:sz w:val="19"/>
          <w:szCs w:val="19"/>
        </w:rPr>
        <w:t xml:space="preserve">, dass ein Patient nämlich behandelt werden möchte, der Vertragsarzt aber die Behandlung ablehnen möchte und damit verbunden der Fragestellung nach der rechtlichen Zulässigkeit.  </w:t>
      </w:r>
    </w:p>
    <w:p w14:paraId="01F0B929" w14:textId="5DC93B7C" w:rsidR="00324F10" w:rsidRPr="00375EB8" w:rsidRDefault="00324F10" w:rsidP="00FC4494">
      <w:pPr>
        <w:spacing w:before="100" w:beforeAutospacing="1" w:after="100" w:afterAutospacing="1" w:line="240" w:lineRule="auto"/>
        <w:jc w:val="both"/>
        <w:rPr>
          <w:rFonts w:ascii="Plain Thin" w:hAnsi="Plain Thin" w:cs="Times New Roman"/>
          <w:sz w:val="19"/>
          <w:szCs w:val="19"/>
        </w:rPr>
      </w:pPr>
      <w:r w:rsidRPr="00375EB8">
        <w:rPr>
          <w:rFonts w:ascii="Plain Thin" w:hAnsi="Plain Thin" w:cs="Times New Roman"/>
          <w:sz w:val="19"/>
          <w:szCs w:val="19"/>
        </w:rPr>
        <w:lastRenderedPageBreak/>
        <w:t>Vorweggeschickt sei, dass vorliegend die Möglichkeit der Ablehnung nur diskutiert wird in den Fällen, in denen keine akute Behandlungs</w:t>
      </w:r>
      <w:r w:rsidR="00192F6E" w:rsidRPr="00375EB8">
        <w:rPr>
          <w:rFonts w:ascii="Plain Thin" w:hAnsi="Plain Thin" w:cs="Times New Roman"/>
          <w:sz w:val="19"/>
          <w:szCs w:val="19"/>
        </w:rPr>
        <w:t xml:space="preserve">bedürftigkeit und/oder Notfallsituation vorliegt. </w:t>
      </w:r>
    </w:p>
    <w:p w14:paraId="2092C012" w14:textId="42847322" w:rsidR="00192F6E" w:rsidRPr="00375EB8" w:rsidRDefault="00D15B85" w:rsidP="00192F6E">
      <w:pPr>
        <w:jc w:val="both"/>
        <w:rPr>
          <w:rFonts w:ascii="Plain Thin" w:hAnsi="Plain Thin" w:cs="Times New Roman"/>
          <w:sz w:val="19"/>
          <w:szCs w:val="19"/>
        </w:rPr>
      </w:pPr>
      <w:r w:rsidRPr="00375EB8">
        <w:rPr>
          <w:rFonts w:ascii="Plain Thin" w:hAnsi="Plain Thin" w:cs="Times New Roman"/>
          <w:sz w:val="19"/>
          <w:szCs w:val="19"/>
        </w:rPr>
        <w:t xml:space="preserve">Grundsätzlich ist </w:t>
      </w:r>
      <w:r w:rsidR="00FC4494" w:rsidRPr="00375EB8">
        <w:rPr>
          <w:rFonts w:ascii="Plain Thin" w:hAnsi="Plain Thin" w:cs="Times New Roman"/>
          <w:sz w:val="19"/>
          <w:szCs w:val="19"/>
        </w:rPr>
        <w:t xml:space="preserve">§ 13 Abs. 7 BMV-Ä zu entnehmen, dass der Vertragsarzt </w:t>
      </w:r>
      <w:r w:rsidR="00EA41BE" w:rsidRPr="00375EB8">
        <w:rPr>
          <w:rFonts w:ascii="Plain Thin" w:hAnsi="Plain Thin" w:cs="Times New Roman"/>
          <w:sz w:val="19"/>
          <w:szCs w:val="19"/>
        </w:rPr>
        <w:t xml:space="preserve">berechtigt ist, </w:t>
      </w:r>
      <w:r w:rsidR="00FC4494" w:rsidRPr="00375EB8">
        <w:rPr>
          <w:rFonts w:ascii="Plain Thin" w:hAnsi="Plain Thin" w:cs="Times New Roman"/>
          <w:sz w:val="19"/>
          <w:szCs w:val="19"/>
        </w:rPr>
        <w:t>die Behandlung eines Versicherten nur in begründeten Fällen ab</w:t>
      </w:r>
      <w:r w:rsidR="00C85D8B" w:rsidRPr="00375EB8">
        <w:rPr>
          <w:rFonts w:ascii="Plain Thin" w:hAnsi="Plain Thin" w:cs="Times New Roman"/>
          <w:sz w:val="19"/>
          <w:szCs w:val="19"/>
        </w:rPr>
        <w:t>zulehnen</w:t>
      </w:r>
      <w:r w:rsidR="00FC4494" w:rsidRPr="00375EB8">
        <w:rPr>
          <w:rFonts w:ascii="Plain Thin" w:hAnsi="Plain Thin" w:cs="Times New Roman"/>
          <w:sz w:val="19"/>
          <w:szCs w:val="19"/>
        </w:rPr>
        <w:t xml:space="preserve">. </w:t>
      </w:r>
      <w:r w:rsidR="00C85D8B" w:rsidRPr="00375EB8">
        <w:rPr>
          <w:rFonts w:ascii="Plain Thin" w:hAnsi="Plain Thin" w:cs="Times New Roman"/>
          <w:sz w:val="19"/>
          <w:szCs w:val="19"/>
        </w:rPr>
        <w:t xml:space="preserve">So ist der Vertragsarzt berechtigt, die Behandlung bei </w:t>
      </w:r>
      <w:r w:rsidR="00FC4494" w:rsidRPr="00375EB8">
        <w:rPr>
          <w:rFonts w:ascii="Plain Thin" w:hAnsi="Plain Thin" w:cs="Times New Roman"/>
          <w:sz w:val="19"/>
          <w:szCs w:val="19"/>
        </w:rPr>
        <w:t>Versicherte</w:t>
      </w:r>
      <w:r w:rsidR="00C85D8B" w:rsidRPr="00375EB8">
        <w:rPr>
          <w:rFonts w:ascii="Plain Thin" w:hAnsi="Plain Thin" w:cs="Times New Roman"/>
          <w:sz w:val="19"/>
          <w:szCs w:val="19"/>
        </w:rPr>
        <w:t>n</w:t>
      </w:r>
      <w:r w:rsidR="00FC4494" w:rsidRPr="00375EB8">
        <w:rPr>
          <w:rFonts w:ascii="Plain Thin" w:hAnsi="Plain Thin" w:cs="Times New Roman"/>
          <w:sz w:val="19"/>
          <w:szCs w:val="19"/>
        </w:rPr>
        <w:t xml:space="preserve">, die älter als 18 Jahre sind, </w:t>
      </w:r>
      <w:r w:rsidR="00C85D8B" w:rsidRPr="00375EB8">
        <w:rPr>
          <w:rFonts w:ascii="Plain Thin" w:hAnsi="Plain Thin" w:cs="Times New Roman"/>
          <w:sz w:val="19"/>
          <w:szCs w:val="19"/>
        </w:rPr>
        <w:t>abzulehnen,</w:t>
      </w:r>
      <w:r w:rsidR="00FC4494" w:rsidRPr="00375EB8">
        <w:rPr>
          <w:rFonts w:ascii="Plain Thin" w:hAnsi="Plain Thin" w:cs="Times New Roman"/>
          <w:sz w:val="19"/>
          <w:szCs w:val="19"/>
        </w:rPr>
        <w:t xml:space="preserve"> wenn der Versicherte nicht vor Behandlung die elektronische Gesundheitskarte bzw. Krankenversichertenkarte vorlegt. </w:t>
      </w:r>
      <w:r w:rsidR="00C85D8B" w:rsidRPr="00375EB8">
        <w:rPr>
          <w:rFonts w:ascii="Plain Thin" w:hAnsi="Plain Thin" w:cs="Times New Roman"/>
          <w:sz w:val="19"/>
          <w:szCs w:val="19"/>
        </w:rPr>
        <w:t xml:space="preserve">Im Übrigen </w:t>
      </w:r>
      <w:r w:rsidR="00FC4494" w:rsidRPr="00375EB8">
        <w:rPr>
          <w:rFonts w:ascii="Plain Thin" w:hAnsi="Plain Thin" w:cs="Times New Roman"/>
          <w:sz w:val="19"/>
          <w:szCs w:val="19"/>
        </w:rPr>
        <w:t xml:space="preserve">darf der Vertragsarzt die Behandlung eines Versicherten nur in begründeten Fällen ablehnen. </w:t>
      </w:r>
      <w:r w:rsidR="00C85D8B" w:rsidRPr="00375EB8">
        <w:rPr>
          <w:rFonts w:ascii="Plain Thin" w:hAnsi="Plain Thin" w:cs="Times New Roman"/>
          <w:sz w:val="19"/>
          <w:szCs w:val="19"/>
        </w:rPr>
        <w:t xml:space="preserve">Solche Gründe können sich nach Auffassung des Bundessozialgerichts allenfalls aus einer Störung des Vertrauensverhältnisses zwischen Arzt und Patient oder einer besonderen, durch Verweisung der Patienten an andere Vertragsärzte kompensierbaren Überlastungssituation des Vertragsarztes ergeben (vgl. </w:t>
      </w:r>
      <w:r w:rsidR="00B547F0" w:rsidRPr="00375EB8">
        <w:rPr>
          <w:rFonts w:ascii="Plain Thin" w:hAnsi="Plain Thin" w:cs="Times New Roman"/>
          <w:sz w:val="19"/>
          <w:szCs w:val="19"/>
        </w:rPr>
        <w:t xml:space="preserve">BSG, Urteil v. 14.03.2001, Az. B 6 KA 67/00 R). </w:t>
      </w:r>
      <w:r w:rsidR="00C85D8B" w:rsidRPr="00375EB8">
        <w:rPr>
          <w:rFonts w:ascii="Plain Thin" w:hAnsi="Plain Thin" w:cs="Times New Roman"/>
          <w:sz w:val="19"/>
          <w:szCs w:val="19"/>
        </w:rPr>
        <w:t xml:space="preserve"> </w:t>
      </w:r>
    </w:p>
    <w:p w14:paraId="5E4858A2" w14:textId="075C6796" w:rsidR="00DD062E" w:rsidRPr="00375EB8" w:rsidRDefault="000859C9" w:rsidP="007903A4">
      <w:pPr>
        <w:jc w:val="both"/>
        <w:rPr>
          <w:rFonts w:ascii="Plain Thin" w:hAnsi="Plain Thin" w:cs="Times New Roman"/>
          <w:sz w:val="19"/>
          <w:szCs w:val="19"/>
        </w:rPr>
      </w:pPr>
      <w:r w:rsidRPr="00375EB8">
        <w:rPr>
          <w:rFonts w:ascii="Plain Thin" w:hAnsi="Plain Thin" w:cs="Times New Roman"/>
          <w:sz w:val="19"/>
          <w:szCs w:val="19"/>
        </w:rPr>
        <w:t xml:space="preserve">Eine </w:t>
      </w:r>
      <w:r w:rsidR="00C85D8B" w:rsidRPr="00375EB8">
        <w:rPr>
          <w:rFonts w:ascii="Plain Thin" w:hAnsi="Plain Thin" w:cs="Times New Roman"/>
          <w:sz w:val="19"/>
          <w:szCs w:val="19"/>
        </w:rPr>
        <w:t xml:space="preserve">Störung des Vertrauensverhältnisses </w:t>
      </w:r>
      <w:r w:rsidRPr="00375EB8">
        <w:rPr>
          <w:rFonts w:ascii="Plain Thin" w:hAnsi="Plain Thin" w:cs="Times New Roman"/>
          <w:sz w:val="19"/>
          <w:szCs w:val="19"/>
        </w:rPr>
        <w:t xml:space="preserve">zwischen Arzt und Patient, die eine Behandlung unzumutbar erscheinen lässt, </w:t>
      </w:r>
      <w:r w:rsidR="00C85D8B" w:rsidRPr="00375EB8">
        <w:rPr>
          <w:rFonts w:ascii="Plain Thin" w:hAnsi="Plain Thin" w:cs="Times New Roman"/>
          <w:sz w:val="19"/>
          <w:szCs w:val="19"/>
        </w:rPr>
        <w:t xml:space="preserve">wird bspw. </w:t>
      </w:r>
      <w:r w:rsidR="00DD062E" w:rsidRPr="00375EB8">
        <w:rPr>
          <w:rFonts w:ascii="Plain Thin" w:hAnsi="Plain Thin" w:cs="Times New Roman"/>
          <w:sz w:val="19"/>
          <w:szCs w:val="19"/>
        </w:rPr>
        <w:t xml:space="preserve">u.a. </w:t>
      </w:r>
      <w:r w:rsidR="00C85D8B" w:rsidRPr="00375EB8">
        <w:rPr>
          <w:rFonts w:ascii="Plain Thin" w:hAnsi="Plain Thin" w:cs="Times New Roman"/>
          <w:sz w:val="19"/>
          <w:szCs w:val="19"/>
        </w:rPr>
        <w:t xml:space="preserve">diskutiert in Fällen </w:t>
      </w:r>
      <w:r w:rsidRPr="00375EB8">
        <w:rPr>
          <w:rFonts w:ascii="Plain Thin" w:hAnsi="Plain Thin" w:cs="Times New Roman"/>
          <w:sz w:val="19"/>
          <w:szCs w:val="19"/>
        </w:rPr>
        <w:t>von Beleidigungen oder wenn dem Arzt ohne plausiblen Grund behandlungsfehlerhaftes Vorgehen vorgeworfen wird. Die Beispiele zeigen, dass es gerade um eine Einzelfallbetrachtung geht; es müssen Gründe vorliegen, die das konkrete Vertrauensverhältnis zwischen Arzt und Patient betreffen. Wenn man aber auf das konkrete Vertrauensverhältnis und dessen Beschaffenheit im Einzelfall abstellt, dürfte es nicht ausreichend sein, das Kollektiv</w:t>
      </w:r>
      <w:r w:rsidR="00DD062E" w:rsidRPr="00375EB8">
        <w:rPr>
          <w:rFonts w:ascii="Plain Thin" w:hAnsi="Plain Thin" w:cs="Times New Roman"/>
          <w:sz w:val="19"/>
          <w:szCs w:val="19"/>
        </w:rPr>
        <w:t xml:space="preserve"> abzulehnen</w:t>
      </w:r>
      <w:r w:rsidRPr="00375EB8">
        <w:rPr>
          <w:rFonts w:ascii="Plain Thin" w:hAnsi="Plain Thin" w:cs="Times New Roman"/>
          <w:sz w:val="19"/>
          <w:szCs w:val="19"/>
        </w:rPr>
        <w:t xml:space="preserve">, das nicht geimpft, genesen oder getestet ist, von ihrem unbedingten Recht auf </w:t>
      </w:r>
      <w:r w:rsidR="00DD062E" w:rsidRPr="00375EB8">
        <w:rPr>
          <w:rFonts w:ascii="Plain Thin" w:hAnsi="Plain Thin" w:cs="Times New Roman"/>
          <w:sz w:val="19"/>
          <w:szCs w:val="19"/>
        </w:rPr>
        <w:t xml:space="preserve">ärztliche </w:t>
      </w:r>
      <w:r w:rsidRPr="00375EB8">
        <w:rPr>
          <w:rFonts w:ascii="Plain Thin" w:hAnsi="Plain Thin" w:cs="Times New Roman"/>
          <w:sz w:val="19"/>
          <w:szCs w:val="19"/>
        </w:rPr>
        <w:t xml:space="preserve">Behandlung auszuschließen. </w:t>
      </w:r>
      <w:r w:rsidR="00DD062E" w:rsidRPr="00375EB8">
        <w:rPr>
          <w:rFonts w:ascii="Plain Thin" w:hAnsi="Plain Thin" w:cs="Times New Roman"/>
          <w:sz w:val="19"/>
          <w:szCs w:val="19"/>
        </w:rPr>
        <w:t xml:space="preserve">Solange es keine Impfpflicht gibt, übt der Patient, der sich nicht impfen oder testen lässt und nicht genesen ist, die ihm zustehenden Rechte in wohl zulässiger Weise aus. Im Ergebnis bedeutet das: der Wunsch einiger Ärzte nach einer Zugangsbeschränkung über die 3G-Regel dürfte mit dem Rechtsanspruch der gesetzlich Versicherten auf uneingeschränkten Zugang zur ärztlichen Behandlung kollidieren. Versicherten ist demnach der </w:t>
      </w:r>
      <w:r w:rsidR="00FC4494" w:rsidRPr="00375EB8">
        <w:rPr>
          <w:rFonts w:ascii="Plain Thin" w:hAnsi="Plain Thin" w:cs="Times New Roman"/>
          <w:sz w:val="19"/>
          <w:szCs w:val="19"/>
        </w:rPr>
        <w:t>uneingeschränkte, bedingungsfreie Zugang zu einer ärztlichen</w:t>
      </w:r>
      <w:r w:rsidR="00DD062E" w:rsidRPr="00375EB8">
        <w:rPr>
          <w:rFonts w:ascii="Plain Thin" w:hAnsi="Plain Thin" w:cs="Times New Roman"/>
          <w:sz w:val="19"/>
          <w:szCs w:val="19"/>
        </w:rPr>
        <w:t xml:space="preserve"> </w:t>
      </w:r>
      <w:r w:rsidR="00FC4494" w:rsidRPr="00375EB8">
        <w:rPr>
          <w:rFonts w:ascii="Plain Thin" w:hAnsi="Plain Thin" w:cs="Times New Roman"/>
          <w:sz w:val="19"/>
          <w:szCs w:val="19"/>
        </w:rPr>
        <w:t>Behandlung</w:t>
      </w:r>
      <w:r w:rsidR="00DD062E" w:rsidRPr="00375EB8">
        <w:rPr>
          <w:rFonts w:ascii="Plain Thin" w:hAnsi="Plain Thin" w:cs="Times New Roman"/>
          <w:sz w:val="19"/>
          <w:szCs w:val="19"/>
        </w:rPr>
        <w:t xml:space="preserve"> zu gewähren, </w:t>
      </w:r>
      <w:r w:rsidR="00FC4494" w:rsidRPr="00375EB8">
        <w:rPr>
          <w:rFonts w:ascii="Plain Thin" w:hAnsi="Plain Thin" w:cs="Times New Roman"/>
          <w:sz w:val="19"/>
          <w:szCs w:val="19"/>
        </w:rPr>
        <w:t xml:space="preserve">die Behandlung von Versicherten der Gesetzlichen Krankenversicherung </w:t>
      </w:r>
      <w:r w:rsidR="00DD062E" w:rsidRPr="00375EB8">
        <w:rPr>
          <w:rFonts w:ascii="Plain Thin" w:hAnsi="Plain Thin" w:cs="Times New Roman"/>
          <w:sz w:val="19"/>
          <w:szCs w:val="19"/>
        </w:rPr>
        <w:t xml:space="preserve">wird </w:t>
      </w:r>
      <w:r w:rsidR="00FC4494" w:rsidRPr="00375EB8">
        <w:rPr>
          <w:rFonts w:ascii="Plain Thin" w:hAnsi="Plain Thin" w:cs="Times New Roman"/>
          <w:sz w:val="19"/>
          <w:szCs w:val="19"/>
        </w:rPr>
        <w:t xml:space="preserve">nicht </w:t>
      </w:r>
      <w:r w:rsidR="00DD062E" w:rsidRPr="00375EB8">
        <w:rPr>
          <w:rFonts w:ascii="Plain Thin" w:hAnsi="Plain Thin" w:cs="Times New Roman"/>
          <w:sz w:val="19"/>
          <w:szCs w:val="19"/>
        </w:rPr>
        <w:t xml:space="preserve">zulässiger Weise </w:t>
      </w:r>
      <w:r w:rsidR="00FC4494" w:rsidRPr="00375EB8">
        <w:rPr>
          <w:rFonts w:ascii="Plain Thin" w:hAnsi="Plain Thin" w:cs="Times New Roman"/>
          <w:sz w:val="19"/>
          <w:szCs w:val="19"/>
        </w:rPr>
        <w:t>von der Einhaltung der 3G</w:t>
      </w:r>
      <w:r w:rsidR="00B547F0" w:rsidRPr="00375EB8">
        <w:rPr>
          <w:rFonts w:ascii="Plain Thin" w:hAnsi="Plain Thin" w:cs="Times New Roman"/>
          <w:sz w:val="19"/>
          <w:szCs w:val="19"/>
        </w:rPr>
        <w:t>-</w:t>
      </w:r>
      <w:r w:rsidR="00FC4494" w:rsidRPr="00375EB8">
        <w:rPr>
          <w:rFonts w:ascii="Plain Thin" w:hAnsi="Plain Thin" w:cs="Times New Roman"/>
          <w:sz w:val="19"/>
          <w:szCs w:val="19"/>
        </w:rPr>
        <w:t xml:space="preserve">Regel abhängig </w:t>
      </w:r>
      <w:r w:rsidR="00DD062E" w:rsidRPr="00375EB8">
        <w:rPr>
          <w:rFonts w:ascii="Plain Thin" w:hAnsi="Plain Thin" w:cs="Times New Roman"/>
          <w:sz w:val="19"/>
          <w:szCs w:val="19"/>
        </w:rPr>
        <w:t xml:space="preserve">gemacht werden können. </w:t>
      </w:r>
    </w:p>
    <w:p w14:paraId="682CD0BD" w14:textId="7EFE9418" w:rsidR="008D04D4" w:rsidRDefault="00DD062E" w:rsidP="007903A4">
      <w:pPr>
        <w:jc w:val="both"/>
        <w:rPr>
          <w:rFonts w:ascii="Plain Thin" w:hAnsi="Plain Thin" w:cs="Times New Roman"/>
          <w:sz w:val="19"/>
          <w:szCs w:val="19"/>
        </w:rPr>
      </w:pPr>
      <w:r w:rsidRPr="00375EB8">
        <w:rPr>
          <w:rFonts w:ascii="Plain Thin" w:hAnsi="Plain Thin" w:cs="Times New Roman"/>
          <w:sz w:val="19"/>
          <w:szCs w:val="19"/>
        </w:rPr>
        <w:t xml:space="preserve">Das Unterlassen einer Untersuchung und/oder Behandlung könnte </w:t>
      </w:r>
      <w:r w:rsidR="00B547F0" w:rsidRPr="00375EB8">
        <w:rPr>
          <w:rFonts w:ascii="Plain Thin" w:hAnsi="Plain Thin" w:cs="Times New Roman"/>
          <w:sz w:val="19"/>
          <w:szCs w:val="19"/>
        </w:rPr>
        <w:t xml:space="preserve">neben einer disziplinarrechtlichen Relevanz zudem u.a. </w:t>
      </w:r>
      <w:r w:rsidR="00A307B0" w:rsidRPr="00375EB8">
        <w:rPr>
          <w:rFonts w:ascii="Plain Thin" w:hAnsi="Plain Thin" w:cs="Times New Roman"/>
          <w:sz w:val="19"/>
          <w:szCs w:val="19"/>
        </w:rPr>
        <w:t xml:space="preserve">auch </w:t>
      </w:r>
      <w:r w:rsidRPr="00375EB8">
        <w:rPr>
          <w:rFonts w:ascii="Plain Thin" w:hAnsi="Plain Thin" w:cs="Times New Roman"/>
          <w:sz w:val="19"/>
          <w:szCs w:val="19"/>
        </w:rPr>
        <w:t xml:space="preserve">als strafrechtlich relevante Unterlassene Hilfeleistung nach § 232 c StGB zu bewerten sein und auch Schadensersatzansprüche auslösen. Wir halten es jedoch für vertretbar, </w:t>
      </w:r>
      <w:r w:rsidR="00FC4494" w:rsidRPr="00375EB8">
        <w:rPr>
          <w:rFonts w:ascii="Plain Thin" w:hAnsi="Plain Thin" w:cs="Times New Roman"/>
          <w:sz w:val="19"/>
          <w:szCs w:val="19"/>
        </w:rPr>
        <w:t>Patienten, die nicht geimpft oder genesen sind und ohne einen Test in die ärztliche</w:t>
      </w:r>
      <w:r w:rsidRPr="00375EB8">
        <w:rPr>
          <w:rFonts w:ascii="Plain Thin" w:hAnsi="Plain Thin" w:cs="Times New Roman"/>
          <w:sz w:val="19"/>
          <w:szCs w:val="19"/>
        </w:rPr>
        <w:t xml:space="preserve"> </w:t>
      </w:r>
      <w:r w:rsidR="00FC4494" w:rsidRPr="00375EB8">
        <w:rPr>
          <w:rFonts w:ascii="Plain Thin" w:hAnsi="Plain Thin" w:cs="Times New Roman"/>
          <w:sz w:val="19"/>
          <w:szCs w:val="19"/>
        </w:rPr>
        <w:t>Praxis kommen möchten</w:t>
      </w:r>
      <w:r w:rsidRPr="00375EB8">
        <w:rPr>
          <w:rFonts w:ascii="Plain Thin" w:hAnsi="Plain Thin" w:cs="Times New Roman"/>
          <w:sz w:val="19"/>
          <w:szCs w:val="19"/>
        </w:rPr>
        <w:t xml:space="preserve"> und nicht notfallmäßig behandlungsbedürftig sind</w:t>
      </w:r>
      <w:r w:rsidR="00FC4494" w:rsidRPr="00375EB8">
        <w:rPr>
          <w:rFonts w:ascii="Plain Thin" w:hAnsi="Plain Thin" w:cs="Times New Roman"/>
          <w:sz w:val="19"/>
          <w:szCs w:val="19"/>
        </w:rPr>
        <w:t>, bestimmte Praxiszeiten anzubieten</w:t>
      </w:r>
      <w:r w:rsidRPr="00375EB8">
        <w:rPr>
          <w:rFonts w:ascii="Plain Thin" w:hAnsi="Plain Thin" w:cs="Times New Roman"/>
          <w:sz w:val="19"/>
          <w:szCs w:val="19"/>
        </w:rPr>
        <w:t xml:space="preserve"> und im Übrigen an der bereits praktizierten Strategie, Tests anzubieten, festzuhalten. Dies mit dem Ziel, Kontaktreduzierungen zum Schutz anderer Patienten zu erreichen und Hygienekonzepte im Rahmen der Pandemiebekämpfung umzusetzen. </w:t>
      </w:r>
      <w:r w:rsidR="00B547F0" w:rsidRPr="00375EB8">
        <w:rPr>
          <w:rFonts w:ascii="Plain Thin" w:hAnsi="Plain Thin" w:cs="Times New Roman"/>
          <w:sz w:val="19"/>
          <w:szCs w:val="19"/>
        </w:rPr>
        <w:t xml:space="preserve">Hierbei </w:t>
      </w:r>
      <w:proofErr w:type="gramStart"/>
      <w:r w:rsidR="00B547F0" w:rsidRPr="00375EB8">
        <w:rPr>
          <w:rFonts w:ascii="Plain Thin" w:hAnsi="Plain Thin" w:cs="Times New Roman"/>
          <w:sz w:val="19"/>
          <w:szCs w:val="19"/>
        </w:rPr>
        <w:t>dürfte</w:t>
      </w:r>
      <w:proofErr w:type="gramEnd"/>
      <w:r w:rsidR="00B547F0" w:rsidRPr="00375EB8">
        <w:rPr>
          <w:rFonts w:ascii="Plain Thin" w:hAnsi="Plain Thin" w:cs="Times New Roman"/>
          <w:sz w:val="19"/>
          <w:szCs w:val="19"/>
        </w:rPr>
        <w:t xml:space="preserve"> die Erreichbarkeit und damit die ambulante vertragsärztliche Versorgung durch ausreichend Sprechstunden sicherzustellen sein. </w:t>
      </w:r>
    </w:p>
    <w:p w14:paraId="50E0D305" w14:textId="7BD0DCC5" w:rsidR="007E4E3C" w:rsidRPr="004D723D" w:rsidRDefault="007E4E3C" w:rsidP="004D723D">
      <w:pPr>
        <w:spacing w:before="100" w:beforeAutospacing="1" w:after="100" w:afterAutospacing="1" w:line="240" w:lineRule="auto"/>
        <w:rPr>
          <w:rFonts w:ascii="Plain Thin" w:hAnsi="Plain Thin" w:cs="Times New Roman"/>
          <w:b/>
          <w:i/>
          <w:sz w:val="19"/>
          <w:szCs w:val="19"/>
        </w:rPr>
      </w:pPr>
      <w:bookmarkStart w:id="1" w:name="_GoBack"/>
      <w:bookmarkEnd w:id="1"/>
      <w:r w:rsidRPr="004D723D">
        <w:rPr>
          <w:rFonts w:ascii="Plain Thin" w:hAnsi="Plain Thin" w:cs="Times New Roman"/>
          <w:b/>
          <w:i/>
          <w:sz w:val="19"/>
          <w:szCs w:val="19"/>
        </w:rPr>
        <w:t xml:space="preserve">Autor(en): </w:t>
      </w:r>
      <w:r w:rsidRPr="004D723D">
        <w:rPr>
          <w:rFonts w:ascii="Plain Thin" w:hAnsi="Plain Thin" w:cs="Times New Roman"/>
          <w:b/>
          <w:i/>
          <w:sz w:val="19"/>
          <w:szCs w:val="19"/>
        </w:rPr>
        <w:t>RA Katrin</w:t>
      </w:r>
      <w:r w:rsidRPr="004D723D">
        <w:rPr>
          <w:rFonts w:ascii="Plain Thin" w:hAnsi="Plain Thin" w:cs="Times New Roman"/>
          <w:b/>
          <w:i/>
          <w:sz w:val="19"/>
          <w:szCs w:val="19"/>
        </w:rPr>
        <w:t xml:space="preserve"> Beyer, </w:t>
      </w:r>
      <w:r w:rsidRPr="004D723D">
        <w:rPr>
          <w:rFonts w:ascii="Plain Thin" w:hAnsi="Plain Thin" w:cs="Times New Roman"/>
          <w:b/>
          <w:i/>
          <w:sz w:val="19"/>
          <w:szCs w:val="19"/>
        </w:rPr>
        <w:t>RA Dr. Uwe S</w:t>
      </w:r>
      <w:r w:rsidRPr="004D723D">
        <w:rPr>
          <w:rFonts w:ascii="Plain Thin" w:hAnsi="Plain Thin" w:cs="Times New Roman"/>
          <w:b/>
          <w:i/>
          <w:sz w:val="19"/>
          <w:szCs w:val="19"/>
        </w:rPr>
        <w:t>chlegel</w:t>
      </w:r>
      <w:r w:rsidRPr="004D723D">
        <w:rPr>
          <w:rFonts w:ascii="Plain Thin" w:hAnsi="Plain Thin" w:cs="Times New Roman"/>
          <w:b/>
          <w:i/>
          <w:sz w:val="19"/>
          <w:szCs w:val="19"/>
        </w:rPr>
        <w:t>, ETL-Rechtsanwälte GmbH.</w:t>
      </w:r>
      <w:r w:rsidR="004D723D" w:rsidRPr="004D723D">
        <w:rPr>
          <w:rFonts w:ascii="Plain Thin" w:hAnsi="Plain Thin" w:cs="Times New Roman"/>
          <w:b/>
          <w:i/>
          <w:sz w:val="19"/>
          <w:szCs w:val="19"/>
        </w:rPr>
        <w:t xml:space="preserve"> </w:t>
      </w:r>
      <w:r w:rsidRPr="004D723D">
        <w:rPr>
          <w:rFonts w:ascii="Plain Thin" w:hAnsi="Plain Thin" w:cs="Times New Roman"/>
          <w:b/>
          <w:i/>
          <w:sz w:val="19"/>
          <w:szCs w:val="19"/>
        </w:rPr>
        <w:t xml:space="preserve">Dieser Kommentar der ETL-Rechtsanwälte GmbH ist frei zitierbar. Interviewwünsche und Rückfragen richten Sie gerne direkt an </w:t>
      </w:r>
      <w:hyperlink r:id="rId6" w:history="1">
        <w:r w:rsidRPr="004D723D">
          <w:rPr>
            <w:rFonts w:ascii="Plain Thin" w:hAnsi="Plain Thin" w:cs="Times New Roman"/>
            <w:b/>
            <w:i/>
            <w:sz w:val="19"/>
            <w:szCs w:val="19"/>
          </w:rPr>
          <w:t>ETL Rechtsexperte Dr. Uwe P. Schlegel</w:t>
        </w:r>
      </w:hyperlink>
      <w:r w:rsidRPr="004D723D">
        <w:rPr>
          <w:rFonts w:ascii="Plain Thin" w:hAnsi="Plain Thin" w:cs="Times New Roman"/>
          <w:b/>
          <w:i/>
          <w:sz w:val="19"/>
          <w:szCs w:val="19"/>
        </w:rPr>
        <w:t xml:space="preserve">; </w:t>
      </w:r>
      <w:hyperlink r:id="rId7" w:history="1">
        <w:r w:rsidRPr="004D723D">
          <w:rPr>
            <w:rFonts w:ascii="Plain Thin" w:hAnsi="Plain Thin" w:cs="Times New Roman"/>
            <w:b/>
            <w:i/>
            <w:sz w:val="19"/>
            <w:szCs w:val="19"/>
          </w:rPr>
          <w:t>koeln@etl-rechtsanwaelte.de</w:t>
        </w:r>
      </w:hyperlink>
      <w:r w:rsidRPr="004D723D">
        <w:rPr>
          <w:rFonts w:ascii="Plain Thin" w:hAnsi="Plain Thin" w:cs="Times New Roman"/>
          <w:b/>
          <w:i/>
          <w:sz w:val="19"/>
          <w:szCs w:val="19"/>
        </w:rPr>
        <w:t>; Tel.: 0221/8804060.</w:t>
      </w:r>
    </w:p>
    <w:p w14:paraId="2139A8A4" w14:textId="5F812114" w:rsidR="000C7E96" w:rsidRPr="00420FEC" w:rsidRDefault="000C7E96" w:rsidP="000C7E96">
      <w:pPr>
        <w:tabs>
          <w:tab w:val="left" w:pos="7730"/>
        </w:tabs>
        <w:spacing w:line="240" w:lineRule="auto"/>
        <w:rPr>
          <w:rFonts w:ascii="Plain" w:hAnsi="Plain"/>
          <w:b/>
          <w:bCs/>
        </w:rPr>
      </w:pPr>
      <w:r w:rsidRPr="00420FEC">
        <w:rPr>
          <w:rFonts w:ascii="Plain" w:hAnsi="Plain"/>
          <w:b/>
          <w:bCs/>
        </w:rPr>
        <w:t>ETL ADVISION</w:t>
      </w:r>
      <w:r>
        <w:rPr>
          <w:rFonts w:ascii="Plain" w:hAnsi="Plain"/>
          <w:b/>
          <w:bCs/>
        </w:rPr>
        <w:tab/>
      </w:r>
    </w:p>
    <w:p w14:paraId="5A220899" w14:textId="43B559F4" w:rsidR="007F275C" w:rsidRPr="004D723D" w:rsidRDefault="000C7E96" w:rsidP="004D723D">
      <w:pPr>
        <w:spacing w:line="240" w:lineRule="auto"/>
        <w:rPr>
          <w:rFonts w:ascii="Plain Thin" w:hAnsi="Plain Thin"/>
          <w:sz w:val="16"/>
          <w:szCs w:val="16"/>
        </w:rPr>
      </w:pPr>
      <w:r w:rsidRPr="00420FEC">
        <w:rPr>
          <w:rFonts w:ascii="Plain Thin" w:hAnsi="Plain Thin"/>
          <w:sz w:val="16"/>
          <w:szCs w:val="16"/>
        </w:rPr>
        <w:t xml:space="preserve">Unsere ETL ADVISION Kanzleien beraten und unterstützen in allen steuerrechtlichen, betriebswirtschaftlichen und organisatorischen Angelegenheiten, um die wirtschaftliche Stabilität der Mandanten nachhaltig zu sichern und auszubauen. Dabei nutzen wir unsere Fachexpertise und langjährige Berufserfahrung. Darüber hinaus können wir auf das Know-how des Experten-Netzwerkes der ETL ADVISION zurückgreifen. ETL ADVISION ist ein Verbund von mehr als 120 kooperierenden ETL-Steuerberatungskanzleien und bundesweit führend in der Steuerberatung im Gesundheitswesen. Die Spezialisierung auf die Beratung von </w:t>
      </w:r>
      <w:proofErr w:type="spellStart"/>
      <w:r w:rsidRPr="00420FEC">
        <w:rPr>
          <w:rFonts w:ascii="Plain Thin" w:hAnsi="Plain Thin"/>
          <w:sz w:val="16"/>
          <w:szCs w:val="16"/>
        </w:rPr>
        <w:t>Heilberuflern</w:t>
      </w:r>
      <w:proofErr w:type="spellEnd"/>
      <w:r w:rsidRPr="00420FEC">
        <w:rPr>
          <w:rFonts w:ascii="Plain Thin" w:hAnsi="Plain Thin"/>
          <w:sz w:val="16"/>
          <w:szCs w:val="16"/>
        </w:rPr>
        <w:t xml:space="preserve"> erfolgt auf der Basis einer qualifizierten Aus- und Weiterbildung der ETL ADVISION-Steuerberater und ihrer Mitarbeiter in unserer ETL Akademie und ermöglicht eine umfassende Betreuung in allen unternehmerischen Belangen.</w:t>
      </w:r>
    </w:p>
    <w:sectPr w:rsidR="007F275C" w:rsidRPr="004D72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w:panose1 w:val="020B0503020202020204"/>
    <w:charset w:val="00"/>
    <w:family w:val="swiss"/>
    <w:notTrueType/>
    <w:pitch w:val="variable"/>
    <w:sig w:usb0="8000002F" w:usb1="00002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5C"/>
    <w:rsid w:val="000859C9"/>
    <w:rsid w:val="00091B6A"/>
    <w:rsid w:val="000A3F88"/>
    <w:rsid w:val="000C30A0"/>
    <w:rsid w:val="000C7E96"/>
    <w:rsid w:val="00111D24"/>
    <w:rsid w:val="00192F6E"/>
    <w:rsid w:val="001D14B2"/>
    <w:rsid w:val="0020237D"/>
    <w:rsid w:val="00240418"/>
    <w:rsid w:val="002A33F0"/>
    <w:rsid w:val="00324F10"/>
    <w:rsid w:val="00375EB8"/>
    <w:rsid w:val="00393ACE"/>
    <w:rsid w:val="00396C90"/>
    <w:rsid w:val="0044737B"/>
    <w:rsid w:val="004A7416"/>
    <w:rsid w:val="004D723D"/>
    <w:rsid w:val="00545514"/>
    <w:rsid w:val="005E1BB4"/>
    <w:rsid w:val="006F17A5"/>
    <w:rsid w:val="0071623E"/>
    <w:rsid w:val="007903A4"/>
    <w:rsid w:val="00790D6A"/>
    <w:rsid w:val="007E04C7"/>
    <w:rsid w:val="007E4E3C"/>
    <w:rsid w:val="007F275C"/>
    <w:rsid w:val="00817996"/>
    <w:rsid w:val="00845FFA"/>
    <w:rsid w:val="008D04D4"/>
    <w:rsid w:val="008D0BB6"/>
    <w:rsid w:val="008D7E02"/>
    <w:rsid w:val="0098431D"/>
    <w:rsid w:val="00985334"/>
    <w:rsid w:val="00A307B0"/>
    <w:rsid w:val="00A5433F"/>
    <w:rsid w:val="00A67AC1"/>
    <w:rsid w:val="00A7764A"/>
    <w:rsid w:val="00B547F0"/>
    <w:rsid w:val="00BC1F3F"/>
    <w:rsid w:val="00BC5133"/>
    <w:rsid w:val="00C41CFD"/>
    <w:rsid w:val="00C85D8B"/>
    <w:rsid w:val="00CB2E00"/>
    <w:rsid w:val="00CD1A7D"/>
    <w:rsid w:val="00D15B85"/>
    <w:rsid w:val="00DB3135"/>
    <w:rsid w:val="00DC648E"/>
    <w:rsid w:val="00DD062E"/>
    <w:rsid w:val="00E24180"/>
    <w:rsid w:val="00E34168"/>
    <w:rsid w:val="00E738D0"/>
    <w:rsid w:val="00EA41BE"/>
    <w:rsid w:val="00FC44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C045"/>
  <w15:chartTrackingRefBased/>
  <w15:docId w15:val="{94E99306-26F0-4D26-8CFE-6DD6C037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237D"/>
    <w:rPr>
      <w:color w:val="0000FF"/>
      <w:u w:val="single"/>
    </w:rPr>
  </w:style>
  <w:style w:type="character" w:customStyle="1" w:styleId="zit">
    <w:name w:val="zit"/>
    <w:basedOn w:val="Absatz-Standardschriftart"/>
    <w:rsid w:val="0020237D"/>
  </w:style>
  <w:style w:type="character" w:styleId="Hervorhebung">
    <w:name w:val="Emphasis"/>
    <w:basedOn w:val="Absatz-Standardschriftart"/>
    <w:uiPriority w:val="20"/>
    <w:qFormat/>
    <w:rsid w:val="0020237D"/>
    <w:rPr>
      <w:i/>
      <w:iCs/>
    </w:rPr>
  </w:style>
  <w:style w:type="paragraph" w:styleId="StandardWeb">
    <w:name w:val="Normal (Web)"/>
    <w:basedOn w:val="Standard"/>
    <w:uiPriority w:val="99"/>
    <w:semiHidden/>
    <w:unhideWhenUsed/>
    <w:rsid w:val="00845F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39424">
      <w:bodyDiv w:val="1"/>
      <w:marLeft w:val="0"/>
      <w:marRight w:val="0"/>
      <w:marTop w:val="0"/>
      <w:marBottom w:val="0"/>
      <w:divBdr>
        <w:top w:val="none" w:sz="0" w:space="0" w:color="auto"/>
        <w:left w:val="none" w:sz="0" w:space="0" w:color="auto"/>
        <w:bottom w:val="none" w:sz="0" w:space="0" w:color="auto"/>
        <w:right w:val="none" w:sz="0" w:space="0" w:color="auto"/>
      </w:divBdr>
      <w:divsChild>
        <w:div w:id="1183009346">
          <w:marLeft w:val="0"/>
          <w:marRight w:val="900"/>
          <w:marTop w:val="0"/>
          <w:marBottom w:val="0"/>
          <w:divBdr>
            <w:top w:val="none" w:sz="0" w:space="0" w:color="auto"/>
            <w:left w:val="none" w:sz="0" w:space="0" w:color="auto"/>
            <w:bottom w:val="none" w:sz="0" w:space="0" w:color="auto"/>
            <w:right w:val="none" w:sz="0" w:space="0" w:color="auto"/>
          </w:divBdr>
        </w:div>
        <w:div w:id="1395009995">
          <w:marLeft w:val="0"/>
          <w:marRight w:val="9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eln@etl-rechtsanwaelt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l-rechtsanwaelte.de/anwaelte/koeln/uwe-p.-schlegel-AmLmZwN-ZGR0AmH3" TargetMode="External"/><Relationship Id="rId5" Type="http://schemas.openxmlformats.org/officeDocument/2006/relationships/hyperlink" Target="https://beck-online.beck.de/?typ=reference&amp;y=100&amp;g=SGB_V&amp;p=73&amp;x=2" TargetMode="External"/><Relationship Id="rId4" Type="http://schemas.openxmlformats.org/officeDocument/2006/relationships/hyperlink" Target="https://beck-online.beck.de/?typ=reference&amp;y=100&amp;g=SGB_V&amp;p=73"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Beyer</dc:creator>
  <cp:keywords/>
  <dc:description/>
  <cp:lastModifiedBy>Admin</cp:lastModifiedBy>
  <cp:revision>5</cp:revision>
  <dcterms:created xsi:type="dcterms:W3CDTF">2021-10-12T12:32:00Z</dcterms:created>
  <dcterms:modified xsi:type="dcterms:W3CDTF">2021-10-12T12:41:00Z</dcterms:modified>
</cp:coreProperties>
</file>