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728" w14:textId="13FB329F" w:rsidR="00CA79D7" w:rsidRPr="004C322C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top-7-investment</w:t>
      </w:r>
      <w:r w:rsidR="000021F4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märkte Q</w:t>
      </w:r>
      <w:r w:rsidR="00C76943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B775BE">
        <w:rPr>
          <w:rFonts w:ascii="Source Sans Pro" w:hAnsi="Source Sans Pro" w:cs="Source Sans Pro"/>
          <w:caps/>
          <w:color w:val="0086A8"/>
          <w:sz w:val="22"/>
          <w:szCs w:val="22"/>
        </w:rPr>
        <w:t>2</w:t>
      </w:r>
      <w:r w:rsidR="001550FE" w:rsidRPr="004C322C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433CD9">
        <w:rPr>
          <w:rFonts w:ascii="Source Sans Pro" w:hAnsi="Source Sans Pro" w:cs="Source Sans Pro"/>
          <w:caps/>
          <w:color w:val="0086A8"/>
          <w:sz w:val="22"/>
          <w:szCs w:val="22"/>
        </w:rPr>
        <w:t>5</w:t>
      </w:r>
    </w:p>
    <w:p w14:paraId="743073FD" w14:textId="4045AAEB" w:rsidR="003152C9" w:rsidRPr="004C322C" w:rsidRDefault="008627C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V</w:t>
      </w:r>
      <w:r w:rsidRPr="008627C2">
        <w:rPr>
          <w:rFonts w:ascii="Source Sans Pro" w:hAnsi="Source Sans Pro" w:cs="Source Sans Pro"/>
          <w:sz w:val="36"/>
          <w:szCs w:val="36"/>
        </w:rPr>
        <w:t>erhalten im Abschluss, aktiv in der Vorbereitung</w:t>
      </w:r>
      <w:r w:rsidR="00BC3993">
        <w:rPr>
          <w:rFonts w:ascii="Source Sans Pro" w:hAnsi="Source Sans Pro" w:cs="Source Sans Pro"/>
          <w:sz w:val="36"/>
          <w:szCs w:val="36"/>
        </w:rPr>
        <w:br/>
      </w:r>
    </w:p>
    <w:p w14:paraId="14EADD5C" w14:textId="38DD05D8" w:rsidR="004F09D7" w:rsidRPr="00E822DD" w:rsidRDefault="00A21C6E" w:rsidP="004F0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  <w:lang w:val="en-GB"/>
        </w:rPr>
      </w:pPr>
      <w:r w:rsidRPr="00A21C6E"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6B6354C6" wp14:editId="33CEFE47">
            <wp:extent cx="4309240" cy="2497702"/>
            <wp:effectExtent l="19050" t="19050" r="15240" b="171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40" cy="24977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E5673" w:rsidRPr="00E822DD">
        <w:rPr>
          <w:rFonts w:ascii="Source Sans Pro" w:hAnsi="Source Sans Pro" w:cs="Source Sans Pro"/>
          <w:color w:val="0086A8"/>
          <w:sz w:val="22"/>
          <w:szCs w:val="22"/>
          <w:lang w:val="en-GB"/>
        </w:rPr>
        <w:br w:type="textWrapping" w:clear="all"/>
      </w:r>
    </w:p>
    <w:p w14:paraId="275BCC1C" w14:textId="215674B9" w:rsidR="005F0760" w:rsidRDefault="00A21C6E" w:rsidP="00B05185">
      <w:pPr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7D5A52" w:rsidRPr="008B1BA3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B775BE">
        <w:rPr>
          <w:rFonts w:ascii="Source Sans Pro" w:hAnsi="Source Sans Pro" w:cs="Source Sans Pro"/>
          <w:color w:val="0087A8"/>
          <w:sz w:val="22"/>
          <w:szCs w:val="22"/>
        </w:rPr>
        <w:t>Juli</w:t>
      </w:r>
      <w:r w:rsidR="000021F4" w:rsidRPr="008B1BA3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433CD9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8B1BA3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8B1BA3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5F0760" w:rsidRPr="005F0760">
        <w:rPr>
          <w:rFonts w:ascii="Source Sans Pro" w:hAnsi="Source Sans Pro" w:cs="Source Sans Pro"/>
          <w:sz w:val="22"/>
          <w:szCs w:val="22"/>
        </w:rPr>
        <w:t xml:space="preserve">Mit einem Transaktionsvolumen (TAV) von rund </w:t>
      </w:r>
      <w:r w:rsidR="005F0760" w:rsidRPr="00A601A1">
        <w:rPr>
          <w:rFonts w:ascii="Source Sans Pro" w:hAnsi="Source Sans Pro" w:cs="Source Sans Pro"/>
          <w:sz w:val="22"/>
          <w:szCs w:val="22"/>
        </w:rPr>
        <w:t>3,6 Mrd. €</w:t>
      </w:r>
      <w:r w:rsidR="005F0760" w:rsidRPr="005F0760">
        <w:rPr>
          <w:rFonts w:ascii="Source Sans Pro" w:hAnsi="Source Sans Pro" w:cs="Source Sans Pro"/>
          <w:sz w:val="22"/>
          <w:szCs w:val="22"/>
        </w:rPr>
        <w:t xml:space="preserve"> verzeichneten die Top-7-Märkte für gewerbliche Immobilieninvestments im </w:t>
      </w:r>
      <w:r w:rsidR="0030435C">
        <w:rPr>
          <w:rFonts w:ascii="Source Sans Pro" w:hAnsi="Source Sans Pro" w:cs="Source Sans Pro"/>
          <w:sz w:val="22"/>
          <w:szCs w:val="22"/>
        </w:rPr>
        <w:t>1.</w:t>
      </w:r>
      <w:r w:rsidR="005F0760" w:rsidRPr="005F0760">
        <w:rPr>
          <w:rFonts w:ascii="Source Sans Pro" w:hAnsi="Source Sans Pro" w:cs="Source Sans Pro"/>
          <w:sz w:val="22"/>
          <w:szCs w:val="22"/>
        </w:rPr>
        <w:t xml:space="preserve"> Halbjahr 2025 einen Rückgang von 22 % im Vergleich zum Vorjahreszeitraum. Damit wurde das niedrigste Halbjahresergebnis seit 2009 </w:t>
      </w:r>
      <w:r w:rsidR="005F0760">
        <w:rPr>
          <w:rFonts w:ascii="Source Sans Pro" w:hAnsi="Source Sans Pro" w:cs="Source Sans Pro"/>
          <w:sz w:val="22"/>
          <w:szCs w:val="22"/>
        </w:rPr>
        <w:t xml:space="preserve">(3,3 Mrd. €) </w:t>
      </w:r>
      <w:r w:rsidR="005F0760" w:rsidRPr="005F0760">
        <w:rPr>
          <w:rFonts w:ascii="Source Sans Pro" w:hAnsi="Source Sans Pro" w:cs="Source Sans Pro"/>
          <w:sz w:val="22"/>
          <w:szCs w:val="22"/>
        </w:rPr>
        <w:t xml:space="preserve">registriert. Zwar kam es vereinzelt zu großvolumigen oder signalhaften Abschlüssen, doch diese </w:t>
      </w:r>
      <w:r w:rsidR="00030FCD">
        <w:rPr>
          <w:rFonts w:ascii="Source Sans Pro" w:hAnsi="Source Sans Pro" w:cs="Source Sans Pro"/>
          <w:sz w:val="22"/>
          <w:szCs w:val="22"/>
        </w:rPr>
        <w:t xml:space="preserve">konnten </w:t>
      </w:r>
      <w:r w:rsidR="005F0760" w:rsidRPr="005F0760">
        <w:rPr>
          <w:rFonts w:ascii="Source Sans Pro" w:hAnsi="Source Sans Pro" w:cs="Source Sans Pro"/>
          <w:sz w:val="22"/>
          <w:szCs w:val="22"/>
        </w:rPr>
        <w:t xml:space="preserve">die anhaltende </w:t>
      </w:r>
      <w:r w:rsidR="00A64E84">
        <w:rPr>
          <w:rFonts w:ascii="Source Sans Pro" w:hAnsi="Source Sans Pro" w:cs="Source Sans Pro"/>
          <w:sz w:val="22"/>
          <w:szCs w:val="22"/>
        </w:rPr>
        <w:t>Zurückhaltung</w:t>
      </w:r>
      <w:r w:rsidR="00A64E84" w:rsidRPr="005F0760">
        <w:rPr>
          <w:rFonts w:ascii="Source Sans Pro" w:hAnsi="Source Sans Pro" w:cs="Source Sans Pro"/>
          <w:sz w:val="22"/>
          <w:szCs w:val="22"/>
        </w:rPr>
        <w:t xml:space="preserve"> </w:t>
      </w:r>
      <w:r w:rsidR="00A64E84">
        <w:rPr>
          <w:rFonts w:ascii="Source Sans Pro" w:hAnsi="Source Sans Pro" w:cs="Source Sans Pro"/>
          <w:sz w:val="22"/>
          <w:szCs w:val="22"/>
        </w:rPr>
        <w:t xml:space="preserve">vieler großer Marktteilnehmer </w:t>
      </w:r>
      <w:r w:rsidR="005F0760" w:rsidRPr="005F0760">
        <w:rPr>
          <w:rFonts w:ascii="Source Sans Pro" w:hAnsi="Source Sans Pro" w:cs="Source Sans Pro"/>
          <w:sz w:val="22"/>
          <w:szCs w:val="22"/>
        </w:rPr>
        <w:t>nicht kompensieren.</w:t>
      </w:r>
    </w:p>
    <w:p w14:paraId="53AFBBF1" w14:textId="63F60BB4" w:rsidR="005F0760" w:rsidRDefault="00A93031" w:rsidP="00B05185">
      <w:pPr>
        <w:rPr>
          <w:rFonts w:ascii="Source Sans Pro" w:hAnsi="Source Sans Pro" w:cs="Source Sans Pro"/>
          <w:sz w:val="22"/>
          <w:szCs w:val="22"/>
        </w:rPr>
      </w:pPr>
      <w:r w:rsidRPr="00A93031">
        <w:rPr>
          <w:rFonts w:ascii="Source Sans Pro" w:hAnsi="Source Sans Pro" w:cs="Source Sans Pro"/>
          <w:i/>
          <w:sz w:val="22"/>
          <w:szCs w:val="22"/>
        </w:rPr>
        <w:t>„In einigen Märkten kommt wieder etwas Bewegung auf, aber viele Proze</w:t>
      </w:r>
      <w:r w:rsidR="00435653">
        <w:rPr>
          <w:rFonts w:ascii="Source Sans Pro" w:hAnsi="Source Sans Pro" w:cs="Source Sans Pro"/>
          <w:i/>
          <w:sz w:val="22"/>
          <w:szCs w:val="22"/>
        </w:rPr>
        <w:t>sse dauern weiterhin sehr lange. I</w:t>
      </w:r>
      <w:r w:rsidRPr="00A93031">
        <w:rPr>
          <w:rFonts w:ascii="Source Sans Pro" w:hAnsi="Source Sans Pro" w:cs="Source Sans Pro"/>
          <w:i/>
          <w:sz w:val="22"/>
          <w:szCs w:val="22"/>
        </w:rPr>
        <w:t xml:space="preserve">nstitutionelle Investoren halten sich nach wie vor </w:t>
      </w:r>
      <w:r w:rsidR="002D1DA5">
        <w:rPr>
          <w:rFonts w:ascii="Source Sans Pro" w:hAnsi="Source Sans Pro" w:cs="Source Sans Pro"/>
          <w:i/>
          <w:sz w:val="22"/>
          <w:szCs w:val="22"/>
        </w:rPr>
        <w:t>spürbar</w:t>
      </w:r>
      <w:r w:rsidRPr="00A93031">
        <w:rPr>
          <w:rFonts w:ascii="Source Sans Pro" w:hAnsi="Source Sans Pro" w:cs="Source Sans Pro"/>
          <w:i/>
          <w:sz w:val="22"/>
          <w:szCs w:val="22"/>
        </w:rPr>
        <w:t xml:space="preserve"> zurück</w:t>
      </w:r>
      <w:r w:rsidRPr="00A93031">
        <w:rPr>
          <w:rFonts w:ascii="Source Sans Pro" w:hAnsi="Source Sans Pro" w:cs="Source Sans Pro"/>
          <w:sz w:val="22"/>
          <w:szCs w:val="22"/>
        </w:rPr>
        <w:t xml:space="preserve">“, sagt </w:t>
      </w:r>
      <w:r w:rsidRPr="00A93031">
        <w:rPr>
          <w:rFonts w:ascii="Source Sans Pro" w:hAnsi="Source Sans Pro" w:cs="Source Sans Pro"/>
          <w:b/>
          <w:sz w:val="22"/>
          <w:szCs w:val="22"/>
        </w:rPr>
        <w:t>Björn Holzwarth</w:t>
      </w:r>
      <w:r w:rsidRPr="00A93031">
        <w:rPr>
          <w:rFonts w:ascii="Source Sans Pro" w:hAnsi="Source Sans Pro" w:cs="Source Sans Pro"/>
          <w:sz w:val="22"/>
          <w:szCs w:val="22"/>
        </w:rPr>
        <w:t>, Sprecher von German Property Partners (GPP).</w:t>
      </w:r>
    </w:p>
    <w:p w14:paraId="1C8AB95A" w14:textId="09A07FA3" w:rsidR="00B05185" w:rsidRDefault="00B05185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07DB3B1B" w14:textId="2BE2793D" w:rsidR="005F0760" w:rsidRDefault="00A601A1" w:rsidP="00A601A1">
      <w:pPr>
        <w:pStyle w:val="EinfAbs"/>
        <w:numPr>
          <w:ilvl w:val="0"/>
          <w:numId w:val="1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Trotz des insgesamt schwachen Marktumfelds verzeichneten einzelne Standorte im Vorjahresvergleich nominale Zuwächse. In Köln lag das </w:t>
      </w:r>
      <w:r w:rsidRPr="00435653">
        <w:rPr>
          <w:rFonts w:ascii="Source Sans Pro" w:hAnsi="Source Sans Pro" w:cs="Source Sans Pro"/>
          <w:color w:val="auto"/>
          <w:sz w:val="22"/>
          <w:szCs w:val="22"/>
        </w:rPr>
        <w:t xml:space="preserve">Transaktionsvolumen 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>bei rund 300 Mio. € (+50 %), in Hamburg bei 7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>9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>0 Mio. € (+2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>3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 %). In beiden Fällen trugen </w:t>
      </w:r>
      <w:r w:rsidR="00514BE0">
        <w:rPr>
          <w:rFonts w:ascii="Source Sans Pro" w:hAnsi="Source Sans Pro" w:cs="Source Sans Pro"/>
          <w:color w:val="auto"/>
          <w:sz w:val="22"/>
          <w:szCs w:val="22"/>
        </w:rPr>
        <w:t>einzelne Großtransaktionen</w:t>
      </w:r>
      <w:r w:rsidR="00514BE0"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aus dem 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1. 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Quartal wesentlich zur Entwicklung bei – insbesondere der Verkauf des 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>„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>Pullman-Hotels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>“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 in Köln und der Rückkauf des „Pflegen &amp; Wohnen“-Portfolios in Hamburg. In Berlin wurden rund 1,28 Mrd. € umgesetzt, was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einem Plus von 8 % entspricht. 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In den übrigen Städten blieb das Ergebnis deutlich hinter dem Vorjahresniveau zurück: In München wurden rund 727 Mio. € investiert (–46 %), in Düsseldorf 245 Mio. € (–51 %), in Frankfurt </w:t>
      </w:r>
      <w:r w:rsidR="00E7624C" w:rsidRPr="00E7624C">
        <w:rPr>
          <w:rFonts w:ascii="Source Sans Pro" w:hAnsi="Source Sans Pro" w:cs="Source Sans Pro"/>
          <w:color w:val="auto"/>
          <w:sz w:val="22"/>
          <w:szCs w:val="22"/>
        </w:rPr>
        <w:t xml:space="preserve">206 Mio. € (–61 %) </w:t>
      </w:r>
      <w:r w:rsidRPr="00A601A1">
        <w:rPr>
          <w:rFonts w:ascii="Source Sans Pro" w:hAnsi="Source Sans Pro" w:cs="Source Sans Pro"/>
          <w:color w:val="auto"/>
          <w:sz w:val="22"/>
          <w:szCs w:val="22"/>
        </w:rPr>
        <w:t xml:space="preserve"> und in Stuttgart 60 Mio. € (–63 %). </w:t>
      </w:r>
    </w:p>
    <w:p w14:paraId="6FF433DF" w14:textId="70FA92D0" w:rsidR="0041283D" w:rsidRPr="0041283D" w:rsidRDefault="0041283D" w:rsidP="009C7CBD">
      <w:pPr>
        <w:pStyle w:val="Listenabsatz"/>
        <w:numPr>
          <w:ilvl w:val="0"/>
          <w:numId w:val="14"/>
        </w:numPr>
        <w:rPr>
          <w:rFonts w:ascii="Source Sans Pro" w:hAnsi="Source Sans Pro" w:cs="Source Sans Pro"/>
          <w:sz w:val="22"/>
          <w:szCs w:val="22"/>
        </w:rPr>
      </w:pPr>
      <w:r w:rsidRPr="0041283D">
        <w:rPr>
          <w:rFonts w:ascii="Source Sans Pro" w:hAnsi="Source Sans Pro" w:cs="Source Sans Pro"/>
          <w:sz w:val="22"/>
          <w:szCs w:val="22"/>
        </w:rPr>
        <w:t>Büroimmobilien stellten mit 36 % den größten Anteil am Top-7-Transaktionsvolumen, gefolgt von Mixed-use-Objekten (25 %) u</w:t>
      </w:r>
      <w:r w:rsidR="009C7CBD">
        <w:rPr>
          <w:rFonts w:ascii="Source Sans Pro" w:hAnsi="Source Sans Pro" w:cs="Source Sans Pro"/>
          <w:sz w:val="22"/>
          <w:szCs w:val="22"/>
        </w:rPr>
        <w:t>nd dem Segment Sonstiges (15 %)</w:t>
      </w:r>
      <w:r w:rsidR="009C7CBD" w:rsidRPr="009C7CBD">
        <w:rPr>
          <w:rFonts w:ascii="Source Sans Pro" w:hAnsi="Source Sans Pro" w:cs="Source Sans Pro"/>
          <w:sz w:val="22"/>
          <w:szCs w:val="22"/>
        </w:rPr>
        <w:t>, das im Wesentlichen durch den Pflegeportfolio-</w:t>
      </w:r>
      <w:r w:rsidR="009C7CBD">
        <w:rPr>
          <w:rFonts w:ascii="Source Sans Pro" w:hAnsi="Source Sans Pro" w:cs="Source Sans Pro"/>
          <w:sz w:val="22"/>
          <w:szCs w:val="22"/>
        </w:rPr>
        <w:t>Ankauf in Hamburg geprägt wurde</w:t>
      </w:r>
      <w:r w:rsidRPr="0041283D">
        <w:rPr>
          <w:rFonts w:ascii="Source Sans Pro" w:hAnsi="Source Sans Pro" w:cs="Source Sans Pro"/>
          <w:sz w:val="22"/>
          <w:szCs w:val="22"/>
        </w:rPr>
        <w:t xml:space="preserve">. </w:t>
      </w:r>
      <w:r w:rsidR="00F62BA1" w:rsidRPr="00F62BA1">
        <w:rPr>
          <w:rFonts w:ascii="Source Sans Pro" w:hAnsi="Source Sans Pro" w:cs="Source Sans Pro"/>
          <w:sz w:val="22"/>
          <w:szCs w:val="22"/>
        </w:rPr>
        <w:t>Die Verteilung nach Nutzungsarten fällt standortbezogen sehr unterschiedlich aus – je nach Markt dominierten unterschiedliche Assetklassen.</w:t>
      </w:r>
    </w:p>
    <w:p w14:paraId="51FE7825" w14:textId="394AEE44" w:rsidR="00F12945" w:rsidRDefault="00F12945" w:rsidP="00F12945">
      <w:pPr>
        <w:pStyle w:val="EinfAbs"/>
        <w:numPr>
          <w:ilvl w:val="0"/>
          <w:numId w:val="14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 w:rsidRPr="00F12945">
        <w:rPr>
          <w:rFonts w:ascii="Source Sans Pro" w:hAnsi="Source Sans Pro" w:cs="Source Sans Pro"/>
          <w:color w:val="auto"/>
          <w:sz w:val="22"/>
          <w:szCs w:val="22"/>
        </w:rPr>
        <w:t xml:space="preserve">Portfolioverkäufe machten im </w:t>
      </w:r>
      <w:r w:rsidR="0030435C">
        <w:rPr>
          <w:rFonts w:ascii="Source Sans Pro" w:hAnsi="Source Sans Pro" w:cs="Source Sans Pro"/>
          <w:color w:val="auto"/>
          <w:sz w:val="22"/>
          <w:szCs w:val="22"/>
        </w:rPr>
        <w:t xml:space="preserve">1. 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t>Halbjahr 24 % des Transaktionsvolumens an den Top-7-Standorten aus</w:t>
      </w:r>
      <w:r w:rsidR="0030435C">
        <w:rPr>
          <w:rFonts w:ascii="Source Sans Pro" w:hAnsi="Source Sans Pro" w:cs="Source Sans Pro"/>
          <w:color w:val="auto"/>
          <w:sz w:val="22"/>
          <w:szCs w:val="22"/>
        </w:rPr>
        <w:t xml:space="preserve"> (Q2 2024: 6%)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t xml:space="preserve">. In Hamburg lag ihr Anteil </w:t>
      </w:r>
      <w:r w:rsidR="002D1DA5">
        <w:rPr>
          <w:rFonts w:ascii="Source Sans Pro" w:hAnsi="Source Sans Pro" w:cs="Source Sans Pro"/>
          <w:color w:val="auto"/>
          <w:sz w:val="22"/>
          <w:szCs w:val="22"/>
        </w:rPr>
        <w:t xml:space="preserve">unter anderem 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t xml:space="preserve">aufgrund des „Pflegen 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lastRenderedPageBreak/>
        <w:t>&amp; Wohnen“-Dea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 xml:space="preserve">ls aus dem </w:t>
      </w:r>
      <w:r w:rsidR="0030435C">
        <w:rPr>
          <w:rFonts w:ascii="Source Sans Pro" w:hAnsi="Source Sans Pro" w:cs="Source Sans Pro"/>
          <w:color w:val="auto"/>
          <w:sz w:val="22"/>
          <w:szCs w:val="22"/>
        </w:rPr>
        <w:t>1.</w:t>
      </w:r>
      <w:r w:rsidR="00435653">
        <w:rPr>
          <w:rFonts w:ascii="Source Sans Pro" w:hAnsi="Source Sans Pro" w:cs="Source Sans Pro"/>
          <w:color w:val="auto"/>
          <w:sz w:val="22"/>
          <w:szCs w:val="22"/>
        </w:rPr>
        <w:t xml:space="preserve"> Quartal bei 70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t xml:space="preserve">%. In Köln wurden 40 %, in Frankfurt 25 % erreicht. München (14 %) und Berlin (3 %) verzeichneten nur geringe Anteile; in </w:t>
      </w:r>
      <w:r w:rsidR="002D1DA5">
        <w:rPr>
          <w:rFonts w:ascii="Source Sans Pro" w:hAnsi="Source Sans Pro" w:cs="Source Sans Pro"/>
          <w:color w:val="auto"/>
          <w:sz w:val="22"/>
          <w:szCs w:val="22"/>
        </w:rPr>
        <w:t>Düsseldorf und Stuttgart</w:t>
      </w:r>
      <w:r w:rsidRPr="00F12945">
        <w:rPr>
          <w:rFonts w:ascii="Source Sans Pro" w:hAnsi="Source Sans Pro" w:cs="Source Sans Pro"/>
          <w:color w:val="auto"/>
          <w:sz w:val="22"/>
          <w:szCs w:val="22"/>
        </w:rPr>
        <w:t xml:space="preserve"> fanden keine Portfolioabschlüsse statt.</w:t>
      </w:r>
    </w:p>
    <w:p w14:paraId="08427BD6" w14:textId="2A51E597" w:rsidR="00713F4F" w:rsidRDefault="00F62BA1" w:rsidP="00E85914">
      <w:pPr>
        <w:pStyle w:val="Listenabsatz"/>
        <w:numPr>
          <w:ilvl w:val="0"/>
          <w:numId w:val="14"/>
        </w:numPr>
        <w:rPr>
          <w:rFonts w:ascii="Source Sans Pro" w:hAnsi="Source Sans Pro" w:cs="Source Sans Pro"/>
          <w:sz w:val="22"/>
          <w:szCs w:val="22"/>
        </w:rPr>
      </w:pPr>
      <w:r w:rsidRPr="00F62BA1">
        <w:rPr>
          <w:rFonts w:ascii="Source Sans Pro" w:hAnsi="Source Sans Pro" w:cs="Source Sans Pro"/>
          <w:sz w:val="22"/>
          <w:szCs w:val="22"/>
        </w:rPr>
        <w:t xml:space="preserve">Der Anteil internationaler </w:t>
      </w:r>
      <w:r w:rsidR="00045BDF">
        <w:rPr>
          <w:rFonts w:ascii="Source Sans Pro" w:hAnsi="Source Sans Pro" w:cs="Source Sans Pro"/>
          <w:sz w:val="22"/>
          <w:szCs w:val="22"/>
        </w:rPr>
        <w:t>Investoren</w:t>
      </w:r>
      <w:r w:rsidRPr="00F62BA1">
        <w:rPr>
          <w:rFonts w:ascii="Source Sans Pro" w:hAnsi="Source Sans Pro" w:cs="Source Sans Pro"/>
          <w:sz w:val="22"/>
          <w:szCs w:val="22"/>
        </w:rPr>
        <w:t xml:space="preserve"> am Transaktionsvolumen der Top-7-Märkte lag bei 24 % und damit auf dem Niveau des Vorjahres. </w:t>
      </w:r>
      <w:r w:rsidR="00E7624C" w:rsidRPr="00E85914">
        <w:rPr>
          <w:rFonts w:ascii="Source Sans Pro" w:hAnsi="Source Sans Pro" w:cs="Source Sans Pro"/>
          <w:sz w:val="22"/>
          <w:szCs w:val="22"/>
        </w:rPr>
        <w:t>In Frankfurt (</w:t>
      </w:r>
      <w:r w:rsidR="00E7624C">
        <w:rPr>
          <w:rFonts w:ascii="Source Sans Pro" w:hAnsi="Source Sans Pro" w:cs="Source Sans Pro"/>
          <w:sz w:val="22"/>
          <w:szCs w:val="22"/>
        </w:rPr>
        <w:t>54</w:t>
      </w:r>
      <w:r w:rsidR="00E7624C" w:rsidRPr="00E85914">
        <w:rPr>
          <w:rFonts w:ascii="Source Sans Pro" w:hAnsi="Source Sans Pro" w:cs="Source Sans Pro"/>
          <w:sz w:val="22"/>
          <w:szCs w:val="22"/>
        </w:rPr>
        <w:t xml:space="preserve"> %) </w:t>
      </w:r>
      <w:r w:rsidR="00E85914" w:rsidRPr="00E85914">
        <w:rPr>
          <w:rFonts w:ascii="Source Sans Pro" w:hAnsi="Source Sans Pro" w:cs="Source Sans Pro"/>
          <w:sz w:val="22"/>
          <w:szCs w:val="22"/>
        </w:rPr>
        <w:t xml:space="preserve"> und Stuttgart (60 %) war ihr Anteil überdurchschnittlich hoch – bei insgesamt allerdings sehr geringem Marktvolumen.</w:t>
      </w:r>
      <w:r w:rsidR="00E85914">
        <w:rPr>
          <w:rFonts w:ascii="Source Sans Pro" w:hAnsi="Source Sans Pro" w:cs="Source Sans Pro"/>
          <w:sz w:val="22"/>
          <w:szCs w:val="22"/>
        </w:rPr>
        <w:t xml:space="preserve"> A</w:t>
      </w:r>
      <w:r w:rsidRPr="00F62BA1">
        <w:rPr>
          <w:rFonts w:ascii="Source Sans Pro" w:hAnsi="Source Sans Pro" w:cs="Source Sans Pro"/>
          <w:sz w:val="22"/>
          <w:szCs w:val="22"/>
        </w:rPr>
        <w:t>n den übrigen Standorten bewegte er sich zwischen 13 % (Düsseldorf) und 33 % (Köln).</w:t>
      </w:r>
    </w:p>
    <w:p w14:paraId="1D0C489B" w14:textId="44D9F2EB" w:rsidR="00A62442" w:rsidRDefault="00713F4F" w:rsidP="00713F4F">
      <w:pPr>
        <w:pStyle w:val="Listenabsatz"/>
        <w:numPr>
          <w:ilvl w:val="0"/>
          <w:numId w:val="14"/>
        </w:numPr>
        <w:rPr>
          <w:rFonts w:ascii="Source Sans Pro" w:hAnsi="Source Sans Pro" w:cs="Source Sans Pro"/>
          <w:sz w:val="22"/>
          <w:szCs w:val="22"/>
        </w:rPr>
      </w:pPr>
      <w:r w:rsidRPr="00713F4F">
        <w:rPr>
          <w:rFonts w:ascii="Source Sans Pro" w:hAnsi="Source Sans Pro" w:cs="Source Sans Pro"/>
          <w:sz w:val="22"/>
          <w:szCs w:val="22"/>
        </w:rPr>
        <w:t xml:space="preserve">Mangels Core-Transaktionen basieren die aktuellen Spitzenrenditen teilweise auf marktseitigen Annahmen. Im </w:t>
      </w:r>
      <w:r w:rsidR="00B73459">
        <w:rPr>
          <w:rFonts w:ascii="Source Sans Pro" w:hAnsi="Source Sans Pro" w:cs="Source Sans Pro"/>
          <w:sz w:val="22"/>
          <w:szCs w:val="22"/>
        </w:rPr>
        <w:t>1.</w:t>
      </w:r>
      <w:r w:rsidRPr="00713F4F">
        <w:rPr>
          <w:rFonts w:ascii="Source Sans Pro" w:hAnsi="Source Sans Pro" w:cs="Source Sans Pro"/>
          <w:sz w:val="22"/>
          <w:szCs w:val="22"/>
        </w:rPr>
        <w:t xml:space="preserve"> Halbjahr 2025 blieben sie stabil: Büroimmobilien lagen bei 4,43 % (+0,01 %-Punkte), Logistik bei 4,49 % (–0,03 %-Punkte). Eine Veränderung des Niveaus ist kurzfristig nicht zu erwarten.</w:t>
      </w:r>
    </w:p>
    <w:p w14:paraId="35C7EBE4" w14:textId="77777777" w:rsidR="00713F4F" w:rsidRPr="00713F4F" w:rsidRDefault="00713F4F" w:rsidP="00713F4F">
      <w:pPr>
        <w:pStyle w:val="Listenabsatz"/>
        <w:rPr>
          <w:rFonts w:ascii="Source Sans Pro" w:hAnsi="Source Sans Pro" w:cs="Source Sans Pro"/>
          <w:sz w:val="22"/>
          <w:szCs w:val="22"/>
        </w:rPr>
      </w:pPr>
    </w:p>
    <w:p w14:paraId="7919366B" w14:textId="44F472F5" w:rsidR="0070445B" w:rsidRPr="00A93031" w:rsidRDefault="00575521" w:rsidP="004D686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A93031">
        <w:rPr>
          <w:rFonts w:ascii="Source Sans Pro" w:hAnsi="Source Sans Pro" w:cs="Source Sans Pro"/>
          <w:b/>
          <w:sz w:val="22"/>
          <w:szCs w:val="22"/>
        </w:rPr>
        <w:t>Holzwarth</w:t>
      </w:r>
      <w:r w:rsidRPr="00A93031">
        <w:rPr>
          <w:rFonts w:ascii="Source Sans Pro" w:hAnsi="Source Sans Pro" w:cs="Source Sans Pro"/>
          <w:sz w:val="22"/>
          <w:szCs w:val="22"/>
        </w:rPr>
        <w:t xml:space="preserve"> </w:t>
      </w:r>
      <w:r w:rsidR="00F33A67" w:rsidRPr="00A93031">
        <w:rPr>
          <w:rFonts w:ascii="Source Sans Pro" w:hAnsi="Source Sans Pro" w:cs="Source Sans Pro"/>
          <w:sz w:val="22"/>
          <w:szCs w:val="22"/>
        </w:rPr>
        <w:t>erwarte</w:t>
      </w:r>
      <w:r w:rsidR="00623BB8" w:rsidRPr="00A93031">
        <w:rPr>
          <w:rFonts w:ascii="Source Sans Pro" w:hAnsi="Source Sans Pro" w:cs="Source Sans Pro"/>
          <w:sz w:val="22"/>
          <w:szCs w:val="22"/>
        </w:rPr>
        <w:t xml:space="preserve">t für den weiteren Jahresverlauf: </w:t>
      </w:r>
      <w:r w:rsidR="00A21C6E" w:rsidRPr="00A21C6E">
        <w:rPr>
          <w:rFonts w:ascii="Source Sans Pro" w:hAnsi="Source Sans Pro" w:cs="Source Sans Pro"/>
          <w:i/>
          <w:sz w:val="22"/>
          <w:szCs w:val="22"/>
        </w:rPr>
        <w:t xml:space="preserve">„Im zweiten Halbjahr </w:t>
      </w:r>
      <w:r w:rsidR="00E85914">
        <w:rPr>
          <w:rFonts w:ascii="Source Sans Pro" w:hAnsi="Source Sans Pro" w:cs="Source Sans Pro"/>
          <w:i/>
          <w:sz w:val="22"/>
          <w:szCs w:val="22"/>
        </w:rPr>
        <w:t>ist mit einer leichten Belebung zu rechnen</w:t>
      </w:r>
      <w:r w:rsidR="00A21C6E" w:rsidRPr="00A21C6E">
        <w:rPr>
          <w:rFonts w:ascii="Source Sans Pro" w:hAnsi="Source Sans Pro" w:cs="Source Sans Pro"/>
          <w:i/>
          <w:sz w:val="22"/>
          <w:szCs w:val="22"/>
        </w:rPr>
        <w:t>. An mehreren Standorten befinden sich Objekt</w:t>
      </w:r>
      <w:r w:rsidR="00514BE0">
        <w:rPr>
          <w:rFonts w:ascii="Source Sans Pro" w:hAnsi="Source Sans Pro" w:cs="Source Sans Pro"/>
          <w:i/>
          <w:sz w:val="22"/>
          <w:szCs w:val="22"/>
        </w:rPr>
        <w:t>verkäuf</w:t>
      </w:r>
      <w:r w:rsidR="00A21C6E" w:rsidRPr="00A21C6E">
        <w:rPr>
          <w:rFonts w:ascii="Source Sans Pro" w:hAnsi="Source Sans Pro" w:cs="Source Sans Pro"/>
          <w:i/>
          <w:sz w:val="22"/>
          <w:szCs w:val="22"/>
        </w:rPr>
        <w:t xml:space="preserve">e in Vorbereitung, teils auch im </w:t>
      </w:r>
      <w:r w:rsidR="0024304D">
        <w:rPr>
          <w:rFonts w:ascii="Source Sans Pro" w:hAnsi="Source Sans Pro" w:cs="Source Sans Pro"/>
          <w:i/>
          <w:sz w:val="22"/>
          <w:szCs w:val="22"/>
        </w:rPr>
        <w:t>höheren Preiss</w:t>
      </w:r>
      <w:r w:rsidR="00A21C6E" w:rsidRPr="00A21C6E">
        <w:rPr>
          <w:rFonts w:ascii="Source Sans Pro" w:hAnsi="Source Sans Pro" w:cs="Source Sans Pro"/>
          <w:i/>
          <w:sz w:val="22"/>
          <w:szCs w:val="22"/>
        </w:rPr>
        <w:t>egment. Vieles hängt davon ab, ob die angestoßenen Verkaufsprozesse auch tatsächlich zu Abschlüssen führen. Die gesunkenen Leitzinsen schlagen bislang kaum auf langfristige Finanzierungen durch – vor allem im Bürosegment bleibt die Lage angespannt. Großvolumige Verkäufe dürften weiterhin eher die Ausnahme bleiben.“</w:t>
      </w:r>
    </w:p>
    <w:p w14:paraId="4675409E" w14:textId="77777777" w:rsidR="004D6861" w:rsidRDefault="004D6861" w:rsidP="004D686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4F4EA542" w14:textId="3B2402D8" w:rsidR="00B05185" w:rsidRPr="004C0351" w:rsidRDefault="00B05185" w:rsidP="004C0351">
      <w:pPr>
        <w:rPr>
          <w:rFonts w:ascii="Source Sans Pro" w:hAnsi="Source Sans Pro" w:cs="Source Sans Pro"/>
          <w:sz w:val="22"/>
          <w:szCs w:val="22"/>
        </w:rPr>
      </w:pPr>
      <w:r w:rsidRPr="00F33A67">
        <w:rPr>
          <w:rFonts w:ascii="Source Sans Pro" w:hAnsi="Source Sans Pro" w:cs="Source Sans Pro"/>
          <w:sz w:val="22"/>
          <w:szCs w:val="22"/>
        </w:rPr>
        <w:t>Zu German Property Partners (GPP) gehören Grossmann &amp; Berger Immobilien, Anteon Immobilien, GREIF &amp; CONTZEN Immobilien, blackolive und E &amp; G Immobilien.</w:t>
      </w:r>
    </w:p>
    <w:p w14:paraId="1ADAFE53" w14:textId="36F1619B" w:rsidR="00575521" w:rsidRDefault="00575521" w:rsidP="00991B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/>
          <w:sz w:val="20"/>
        </w:rPr>
      </w:pPr>
    </w:p>
    <w:p w14:paraId="1554564B" w14:textId="2B710ACD" w:rsidR="00E822DD" w:rsidRPr="00EF0944" w:rsidRDefault="00B775BE" w:rsidP="00E822DD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t xml:space="preserve">Top-7-Standorte | </w:t>
      </w:r>
      <w:r w:rsidR="00F44A19">
        <w:rPr>
          <w:rFonts w:ascii="Source Sans Pro" w:hAnsi="Source Sans Pro" w:cs="Arial"/>
          <w:b/>
          <w:sz w:val="20"/>
          <w:lang w:val="en-GB"/>
        </w:rPr>
        <w:t>1.-</w:t>
      </w:r>
      <w:r>
        <w:rPr>
          <w:rFonts w:ascii="Source Sans Pro" w:hAnsi="Source Sans Pro" w:cs="Arial"/>
          <w:b/>
          <w:sz w:val="20"/>
          <w:lang w:val="en-GB"/>
        </w:rPr>
        <w:t>2</w:t>
      </w:r>
      <w:r w:rsidR="00E822DD">
        <w:rPr>
          <w:rFonts w:ascii="Source Sans Pro" w:hAnsi="Source Sans Pro" w:cs="Arial"/>
          <w:b/>
          <w:sz w:val="20"/>
          <w:lang w:val="en-GB"/>
        </w:rPr>
        <w:t>.</w:t>
      </w:r>
      <w:r w:rsidR="00E822DD" w:rsidRPr="00161817">
        <w:rPr>
          <w:rFonts w:ascii="Source Sans Pro" w:hAnsi="Source Sans Pro" w:cs="Arial"/>
          <w:b/>
          <w:sz w:val="20"/>
          <w:lang w:val="en-GB"/>
        </w:rPr>
        <w:t xml:space="preserve"> </w:t>
      </w:r>
      <w:r w:rsidR="00E822DD" w:rsidRPr="00161817">
        <w:rPr>
          <w:rFonts w:ascii="Source Sans Pro" w:hAnsi="Source Sans Pro" w:cs="Arial"/>
          <w:b/>
          <w:sz w:val="20"/>
        </w:rPr>
        <w:t>Quartal 202</w:t>
      </w:r>
      <w:r w:rsidR="00433CD9">
        <w:rPr>
          <w:rFonts w:ascii="Source Sans Pro" w:hAnsi="Source Sans Pro" w:cs="Arial"/>
          <w:b/>
          <w:sz w:val="20"/>
        </w:rPr>
        <w:t>5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992"/>
        <w:gridCol w:w="992"/>
        <w:gridCol w:w="851"/>
        <w:gridCol w:w="923"/>
      </w:tblGrid>
      <w:tr w:rsidR="00910B65" w:rsidRPr="00161817" w14:paraId="2B554485" w14:textId="77777777" w:rsidTr="00A62B1C">
        <w:tc>
          <w:tcPr>
            <w:tcW w:w="1555" w:type="dxa"/>
          </w:tcPr>
          <w:p w14:paraId="5F7F2C19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CCBA56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992" w:type="dxa"/>
          </w:tcPr>
          <w:p w14:paraId="1B9556F5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992" w:type="dxa"/>
          </w:tcPr>
          <w:p w14:paraId="4B35B61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993" w:type="dxa"/>
          </w:tcPr>
          <w:p w14:paraId="669870D1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992" w:type="dxa"/>
          </w:tcPr>
          <w:p w14:paraId="012CEC8E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992" w:type="dxa"/>
          </w:tcPr>
          <w:p w14:paraId="337BA2E8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851" w:type="dxa"/>
          </w:tcPr>
          <w:p w14:paraId="29257547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923" w:type="dxa"/>
          </w:tcPr>
          <w:p w14:paraId="1D10DF5A" w14:textId="77777777" w:rsidR="00E822DD" w:rsidRPr="00161817" w:rsidRDefault="00E822DD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910B65" w:rsidRPr="00161817" w14:paraId="277AF685" w14:textId="77777777" w:rsidTr="00A62B1C">
        <w:tc>
          <w:tcPr>
            <w:tcW w:w="1555" w:type="dxa"/>
          </w:tcPr>
          <w:p w14:paraId="013262B9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TAV</w:t>
            </w:r>
          </w:p>
          <w:p w14:paraId="0501F81D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in Mio. €</w:t>
            </w:r>
          </w:p>
        </w:tc>
        <w:tc>
          <w:tcPr>
            <w:tcW w:w="992" w:type="dxa"/>
            <w:vAlign w:val="center"/>
          </w:tcPr>
          <w:p w14:paraId="37982267" w14:textId="641922F0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790</w:t>
            </w:r>
          </w:p>
        </w:tc>
        <w:tc>
          <w:tcPr>
            <w:tcW w:w="992" w:type="dxa"/>
            <w:vAlign w:val="center"/>
          </w:tcPr>
          <w:p w14:paraId="626C970A" w14:textId="3DD95073" w:rsidR="00E822DD" w:rsidRPr="00B62A24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1.275</w:t>
            </w:r>
          </w:p>
        </w:tc>
        <w:tc>
          <w:tcPr>
            <w:tcW w:w="992" w:type="dxa"/>
            <w:vAlign w:val="center"/>
          </w:tcPr>
          <w:p w14:paraId="7AEB33B8" w14:textId="4EDD67CA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245</w:t>
            </w:r>
          </w:p>
        </w:tc>
        <w:tc>
          <w:tcPr>
            <w:tcW w:w="993" w:type="dxa"/>
            <w:vAlign w:val="center"/>
          </w:tcPr>
          <w:p w14:paraId="2C2C18EC" w14:textId="15F973EA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vAlign w:val="center"/>
          </w:tcPr>
          <w:p w14:paraId="32C4F1F9" w14:textId="22E18FD3" w:rsidR="00E822DD" w:rsidRPr="006061BF" w:rsidRDefault="00E7624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206</w:t>
            </w:r>
          </w:p>
        </w:tc>
        <w:tc>
          <w:tcPr>
            <w:tcW w:w="992" w:type="dxa"/>
            <w:vAlign w:val="center"/>
          </w:tcPr>
          <w:p w14:paraId="4883A7F0" w14:textId="61DA61DA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E6ACA" w14:textId="49829C99" w:rsidR="00E822DD" w:rsidRPr="00B62A24" w:rsidRDefault="00713F4F" w:rsidP="004751D8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727</w:t>
            </w:r>
          </w:p>
        </w:tc>
        <w:tc>
          <w:tcPr>
            <w:tcW w:w="923" w:type="dxa"/>
            <w:vAlign w:val="center"/>
          </w:tcPr>
          <w:p w14:paraId="72E3C7F5" w14:textId="13866C3C" w:rsidR="00E822DD" w:rsidRPr="006061BF" w:rsidRDefault="00713F4F" w:rsidP="00D72472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3.570</w:t>
            </w:r>
          </w:p>
        </w:tc>
      </w:tr>
      <w:tr w:rsidR="00910B65" w:rsidRPr="00161817" w14:paraId="5C518F86" w14:textId="77777777" w:rsidTr="00A62B1C">
        <w:tc>
          <w:tcPr>
            <w:tcW w:w="1555" w:type="dxa"/>
          </w:tcPr>
          <w:p w14:paraId="3350112D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21AFC26B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ggü. Vorjahr</w:t>
            </w: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6EC238E4" w14:textId="1729BD5E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2C0D819C" w14:textId="6E5E6FE4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14:paraId="1D31FE0A" w14:textId="1C046C6D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-51</w:t>
            </w:r>
          </w:p>
        </w:tc>
        <w:tc>
          <w:tcPr>
            <w:tcW w:w="993" w:type="dxa"/>
            <w:vAlign w:val="center"/>
          </w:tcPr>
          <w:p w14:paraId="21EB7A3C" w14:textId="681D8079" w:rsidR="00E822DD" w:rsidRPr="00713F4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13F4F">
              <w:rPr>
                <w:rFonts w:ascii="Source Sans Pro" w:hAnsi="Source Sans Pro" w:cs="Arial"/>
                <w:sz w:val="16"/>
                <w:szCs w:val="16"/>
                <w:u w:val="single"/>
              </w:rPr>
              <w:t>50</w:t>
            </w:r>
          </w:p>
        </w:tc>
        <w:tc>
          <w:tcPr>
            <w:tcW w:w="992" w:type="dxa"/>
            <w:vAlign w:val="center"/>
          </w:tcPr>
          <w:p w14:paraId="61BD16E7" w14:textId="42574D72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-6</w:t>
            </w:r>
            <w:r w:rsidR="00E7624C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2E248438" w14:textId="1C630288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12C30" w14:textId="3304E71A" w:rsidR="00E822DD" w:rsidRPr="004E6096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-46</w:t>
            </w:r>
          </w:p>
        </w:tc>
        <w:tc>
          <w:tcPr>
            <w:tcW w:w="923" w:type="dxa"/>
            <w:vAlign w:val="center"/>
          </w:tcPr>
          <w:p w14:paraId="44391118" w14:textId="1120B5FF" w:rsidR="00E822DD" w:rsidRPr="006061BF" w:rsidRDefault="00713F4F" w:rsidP="00690558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-22</w:t>
            </w:r>
          </w:p>
        </w:tc>
      </w:tr>
      <w:tr w:rsidR="00910B65" w:rsidRPr="00161817" w14:paraId="0E2C9494" w14:textId="77777777" w:rsidTr="00A62B1C">
        <w:tc>
          <w:tcPr>
            <w:tcW w:w="1555" w:type="dxa"/>
          </w:tcPr>
          <w:p w14:paraId="3C8BE28D" w14:textId="3F43E0C8" w:rsidR="00E822DD" w:rsidRPr="00161817" w:rsidRDefault="00E822DD" w:rsidP="006061BF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Spitzenrendite* Büro</w:t>
            </w:r>
            <w:r w:rsidR="006061BF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5D7F0600" w14:textId="7084FB0B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6D16127A" w14:textId="49398CE3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4,30</w:t>
            </w:r>
          </w:p>
        </w:tc>
        <w:tc>
          <w:tcPr>
            <w:tcW w:w="992" w:type="dxa"/>
            <w:vAlign w:val="center"/>
          </w:tcPr>
          <w:p w14:paraId="02CFC26B" w14:textId="53BBBA02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3" w:type="dxa"/>
            <w:vAlign w:val="center"/>
          </w:tcPr>
          <w:p w14:paraId="77622C27" w14:textId="71B567CD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992" w:type="dxa"/>
            <w:vAlign w:val="center"/>
          </w:tcPr>
          <w:p w14:paraId="0C44D799" w14:textId="37F98460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4,60</w:t>
            </w:r>
          </w:p>
        </w:tc>
        <w:tc>
          <w:tcPr>
            <w:tcW w:w="992" w:type="dxa"/>
            <w:vAlign w:val="center"/>
          </w:tcPr>
          <w:p w14:paraId="480FC3B3" w14:textId="7AA8DDC2" w:rsidR="00E822DD" w:rsidRPr="0043217C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38FEF" w14:textId="3C1B0E96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923" w:type="dxa"/>
            <w:vAlign w:val="center"/>
          </w:tcPr>
          <w:p w14:paraId="12457880" w14:textId="76A9C879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4,43</w:t>
            </w:r>
          </w:p>
        </w:tc>
      </w:tr>
      <w:tr w:rsidR="00910B65" w:rsidRPr="00161817" w14:paraId="5B819F04" w14:textId="77777777" w:rsidTr="00A62B1C">
        <w:tc>
          <w:tcPr>
            <w:tcW w:w="1555" w:type="dxa"/>
          </w:tcPr>
          <w:p w14:paraId="345B2B43" w14:textId="77777777" w:rsidR="006061B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ggü. Vorjahr</w:t>
            </w:r>
          </w:p>
          <w:p w14:paraId="5F4CAF94" w14:textId="4A9AEBF6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1BF8BB5A" w14:textId="0A8AD7AA" w:rsidR="00E822DD" w:rsidRPr="0043217C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30382577" w14:textId="4832CE36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50221CA" w14:textId="31FCE6FF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0,10</w:t>
            </w:r>
          </w:p>
        </w:tc>
        <w:tc>
          <w:tcPr>
            <w:tcW w:w="993" w:type="dxa"/>
            <w:vAlign w:val="center"/>
          </w:tcPr>
          <w:p w14:paraId="6DD7413C" w14:textId="2C7D4B20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5EE8890" w14:textId="76833EB6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5AFA008F" w14:textId="5DF2E9CB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45EB7" w14:textId="302B88D8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23" w:type="dxa"/>
            <w:vAlign w:val="center"/>
          </w:tcPr>
          <w:p w14:paraId="10E27A7C" w14:textId="54F53523" w:rsidR="00E822DD" w:rsidRPr="006061B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0,01</w:t>
            </w:r>
          </w:p>
        </w:tc>
      </w:tr>
      <w:tr w:rsidR="00910B65" w:rsidRPr="00161817" w14:paraId="2411BA51" w14:textId="77777777" w:rsidTr="00A62B1C">
        <w:tc>
          <w:tcPr>
            <w:tcW w:w="1555" w:type="dxa"/>
          </w:tcPr>
          <w:p w14:paraId="16BE5098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Spitzenrendite* Logistik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1E269F87" w14:textId="0DDBA18B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4AC2BC62" w14:textId="54276B55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992" w:type="dxa"/>
            <w:vAlign w:val="center"/>
          </w:tcPr>
          <w:p w14:paraId="2BC1DA3D" w14:textId="2CF7FD3A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4,60</w:t>
            </w:r>
          </w:p>
        </w:tc>
        <w:tc>
          <w:tcPr>
            <w:tcW w:w="993" w:type="dxa"/>
            <w:vAlign w:val="center"/>
          </w:tcPr>
          <w:p w14:paraId="46DE1972" w14:textId="3771292A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4,40</w:t>
            </w:r>
          </w:p>
        </w:tc>
        <w:tc>
          <w:tcPr>
            <w:tcW w:w="992" w:type="dxa"/>
            <w:vAlign w:val="center"/>
          </w:tcPr>
          <w:p w14:paraId="51830899" w14:textId="36E7D498" w:rsidR="00E822DD" w:rsidRPr="00935423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92" w:type="dxa"/>
            <w:vAlign w:val="center"/>
          </w:tcPr>
          <w:p w14:paraId="2AEDBBC9" w14:textId="68EC34EB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9DE90" w14:textId="3E02F4BA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23" w:type="dxa"/>
            <w:vAlign w:val="center"/>
          </w:tcPr>
          <w:p w14:paraId="15EC44A2" w14:textId="0D124024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4,49</w:t>
            </w:r>
          </w:p>
        </w:tc>
      </w:tr>
      <w:tr w:rsidR="00910B65" w:rsidRPr="00161817" w14:paraId="7E552845" w14:textId="77777777" w:rsidTr="00A62B1C">
        <w:tc>
          <w:tcPr>
            <w:tcW w:w="1555" w:type="dxa"/>
          </w:tcPr>
          <w:p w14:paraId="6DC11B9C" w14:textId="77777777" w:rsidR="006061BF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ggü. Vorjahr</w:t>
            </w:r>
          </w:p>
          <w:p w14:paraId="5725897F" w14:textId="569358C3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992" w:type="dxa"/>
            <w:vAlign w:val="center"/>
          </w:tcPr>
          <w:p w14:paraId="56189F55" w14:textId="045784D4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09A563B0" w14:textId="2FC9CDDC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-0,10</w:t>
            </w:r>
          </w:p>
        </w:tc>
        <w:tc>
          <w:tcPr>
            <w:tcW w:w="992" w:type="dxa"/>
            <w:vAlign w:val="center"/>
          </w:tcPr>
          <w:p w14:paraId="28EE0851" w14:textId="7047D7F3" w:rsidR="00E822DD" w:rsidRPr="00713F4F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13F4F"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EC1D9CD" w14:textId="5BA87430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DCD6729" w14:textId="760E6A99" w:rsidR="00E822DD" w:rsidRPr="004751D8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-0,10</w:t>
            </w:r>
          </w:p>
        </w:tc>
        <w:tc>
          <w:tcPr>
            <w:tcW w:w="992" w:type="dxa"/>
            <w:vAlign w:val="center"/>
          </w:tcPr>
          <w:p w14:paraId="4BFB79FE" w14:textId="51318F4C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3E6E9" w14:textId="0CE44454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0,00</w:t>
            </w:r>
          </w:p>
        </w:tc>
        <w:tc>
          <w:tcPr>
            <w:tcW w:w="923" w:type="dxa"/>
            <w:vAlign w:val="center"/>
          </w:tcPr>
          <w:p w14:paraId="243E1FC2" w14:textId="0BF9B70E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-0,03</w:t>
            </w:r>
          </w:p>
        </w:tc>
      </w:tr>
      <w:tr w:rsidR="00910B65" w:rsidRPr="00161817" w14:paraId="511D3D80" w14:textId="77777777" w:rsidTr="00A62B1C">
        <w:trPr>
          <w:trHeight w:val="471"/>
        </w:trPr>
        <w:tc>
          <w:tcPr>
            <w:tcW w:w="1555" w:type="dxa"/>
          </w:tcPr>
          <w:p w14:paraId="23F6D442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4F399EC0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Assetklasse</w:t>
            </w:r>
          </w:p>
        </w:tc>
        <w:tc>
          <w:tcPr>
            <w:tcW w:w="992" w:type="dxa"/>
            <w:vAlign w:val="center"/>
          </w:tcPr>
          <w:p w14:paraId="708BFD1F" w14:textId="3D03E64A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Sonstige</w:t>
            </w:r>
          </w:p>
        </w:tc>
        <w:tc>
          <w:tcPr>
            <w:tcW w:w="992" w:type="dxa"/>
            <w:vAlign w:val="center"/>
          </w:tcPr>
          <w:p w14:paraId="457A7224" w14:textId="52846084" w:rsidR="00E822DD" w:rsidRPr="002704CD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Mischnutzung</w:t>
            </w:r>
          </w:p>
        </w:tc>
        <w:tc>
          <w:tcPr>
            <w:tcW w:w="992" w:type="dxa"/>
            <w:vAlign w:val="center"/>
          </w:tcPr>
          <w:p w14:paraId="0579ADDE" w14:textId="54850749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3" w:type="dxa"/>
            <w:vAlign w:val="center"/>
          </w:tcPr>
          <w:p w14:paraId="280FC882" w14:textId="7798009A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Hotel</w:t>
            </w:r>
          </w:p>
        </w:tc>
        <w:tc>
          <w:tcPr>
            <w:tcW w:w="992" w:type="dxa"/>
            <w:vAlign w:val="center"/>
          </w:tcPr>
          <w:p w14:paraId="008BF92C" w14:textId="5F4200A7" w:rsidR="00E822DD" w:rsidRPr="002704CD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92" w:type="dxa"/>
            <w:vAlign w:val="center"/>
          </w:tcPr>
          <w:p w14:paraId="14E2CD93" w14:textId="3F167427" w:rsidR="00E822DD" w:rsidRPr="002704CD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Mischnutzung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549E8" w14:textId="6B271F17" w:rsidR="00E822DD" w:rsidRPr="002704CD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23" w:type="dxa"/>
            <w:vAlign w:val="center"/>
          </w:tcPr>
          <w:p w14:paraId="6C2135E3" w14:textId="4B58250A" w:rsidR="00E822DD" w:rsidRPr="002704CD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Büro</w:t>
            </w:r>
          </w:p>
        </w:tc>
      </w:tr>
      <w:tr w:rsidR="00910B65" w:rsidRPr="00161817" w14:paraId="3C798CFE" w14:textId="77777777" w:rsidTr="00A62B1C">
        <w:tc>
          <w:tcPr>
            <w:tcW w:w="1555" w:type="dxa"/>
          </w:tcPr>
          <w:p w14:paraId="69CD3109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7FDF28CB" w14:textId="77777777" w:rsidR="00E822DD" w:rsidRPr="00161817" w:rsidRDefault="00E822DD" w:rsidP="002B1BCA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Assetklasse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992" w:type="dxa"/>
            <w:vAlign w:val="center"/>
          </w:tcPr>
          <w:p w14:paraId="2F2CDD9F" w14:textId="16D58465" w:rsidR="00E822DD" w:rsidRPr="002704CD" w:rsidRDefault="0024304D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14:paraId="673EE990" w14:textId="6A75E41F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41</w:t>
            </w:r>
          </w:p>
        </w:tc>
        <w:tc>
          <w:tcPr>
            <w:tcW w:w="992" w:type="dxa"/>
            <w:vAlign w:val="center"/>
          </w:tcPr>
          <w:p w14:paraId="73931A1E" w14:textId="6F1F33D9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52</w:t>
            </w:r>
          </w:p>
        </w:tc>
        <w:tc>
          <w:tcPr>
            <w:tcW w:w="993" w:type="dxa"/>
            <w:vAlign w:val="center"/>
          </w:tcPr>
          <w:p w14:paraId="6D5DE4CF" w14:textId="01288104" w:rsidR="00E822DD" w:rsidRPr="002704CD" w:rsidRDefault="00713F4F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center"/>
          </w:tcPr>
          <w:p w14:paraId="461FD967" w14:textId="2A42E64E" w:rsidR="00E822DD" w:rsidRPr="002704CD" w:rsidRDefault="00E7624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73</w:t>
            </w:r>
          </w:p>
        </w:tc>
        <w:tc>
          <w:tcPr>
            <w:tcW w:w="992" w:type="dxa"/>
            <w:vAlign w:val="center"/>
          </w:tcPr>
          <w:p w14:paraId="4EE4162A" w14:textId="0DDD055D" w:rsidR="00E822DD" w:rsidRPr="00F020D9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3299E" w14:textId="39A3AAC9" w:rsidR="00E822DD" w:rsidRPr="00F020D9" w:rsidRDefault="00A62B1C" w:rsidP="002B1BCA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65</w:t>
            </w:r>
          </w:p>
        </w:tc>
        <w:tc>
          <w:tcPr>
            <w:tcW w:w="923" w:type="dxa"/>
            <w:vAlign w:val="center"/>
          </w:tcPr>
          <w:p w14:paraId="08D05C82" w14:textId="57ECDD6E" w:rsidR="00E822DD" w:rsidRPr="002704CD" w:rsidRDefault="00A62B1C" w:rsidP="00921012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36</w:t>
            </w:r>
          </w:p>
        </w:tc>
      </w:tr>
    </w:tbl>
    <w:p w14:paraId="621BC974" w14:textId="5F0C5BA7" w:rsidR="00B73459" w:rsidRDefault="00E822DD" w:rsidP="00B73459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  <w:r w:rsidRPr="00161817">
        <w:rPr>
          <w:rFonts w:ascii="Source Sans Pro" w:hAnsi="Source Sans Pro" w:cs="Arial"/>
          <w:sz w:val="16"/>
          <w:szCs w:val="16"/>
        </w:rPr>
        <w:t>* Nettoanfangsrendite</w:t>
      </w:r>
      <w:r w:rsidR="002704CD">
        <w:rPr>
          <w:rFonts w:ascii="Source Sans Pro" w:hAnsi="Source Sans Pro" w:cs="Arial"/>
          <w:sz w:val="16"/>
          <w:szCs w:val="16"/>
        </w:rPr>
        <w:t>.</w:t>
      </w:r>
      <w:r w:rsidRPr="00161817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3E9D2206" w14:textId="77777777" w:rsidR="00B73459" w:rsidRPr="00B73459" w:rsidRDefault="00B73459" w:rsidP="00B73459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</w:p>
    <w:p w14:paraId="6581C64B" w14:textId="77777777" w:rsidR="00B73459" w:rsidRDefault="00B73459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1C358938" w14:textId="77777777" w:rsidR="00B73459" w:rsidRDefault="00B73459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5CED34B8" w14:textId="604633DE" w:rsidR="00161817" w:rsidRPr="00161817" w:rsidRDefault="00367F4F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t>Größte</w:t>
      </w:r>
      <w:r w:rsidR="00161817" w:rsidRPr="00161817">
        <w:rPr>
          <w:rFonts w:ascii="Source Sans Pro" w:hAnsi="Source Sans Pro" w:cs="Arial"/>
          <w:b/>
          <w:sz w:val="20"/>
        </w:rPr>
        <w:t xml:space="preserve"> bekannte </w:t>
      </w:r>
      <w:r w:rsidR="00B775BE">
        <w:rPr>
          <w:rFonts w:ascii="Source Sans Pro" w:hAnsi="Source Sans Pro" w:cs="Arial"/>
          <w:b/>
          <w:sz w:val="20"/>
        </w:rPr>
        <w:t xml:space="preserve">Abschlüsse | Top-7-Standorte | </w:t>
      </w:r>
      <w:r w:rsidR="00F44A19">
        <w:rPr>
          <w:rFonts w:ascii="Source Sans Pro" w:hAnsi="Source Sans Pro" w:cs="Arial"/>
          <w:b/>
          <w:sz w:val="20"/>
        </w:rPr>
        <w:t>1.-</w:t>
      </w:r>
      <w:r w:rsidR="00B775BE">
        <w:rPr>
          <w:rFonts w:ascii="Source Sans Pro" w:hAnsi="Source Sans Pro" w:cs="Arial"/>
          <w:b/>
          <w:sz w:val="20"/>
        </w:rPr>
        <w:t>2</w:t>
      </w:r>
      <w:r w:rsidR="00161817" w:rsidRPr="00161817">
        <w:rPr>
          <w:rFonts w:ascii="Source Sans Pro" w:hAnsi="Source Sans Pro" w:cs="Arial"/>
          <w:b/>
          <w:sz w:val="20"/>
        </w:rPr>
        <w:t>. Quartal 202</w:t>
      </w:r>
      <w:r w:rsidR="00433CD9">
        <w:rPr>
          <w:rFonts w:ascii="Source Sans Pro" w:hAnsi="Source Sans Pro" w:cs="Arial"/>
          <w:b/>
          <w:sz w:val="20"/>
        </w:rPr>
        <w:t>5</w:t>
      </w:r>
    </w:p>
    <w:tbl>
      <w:tblPr>
        <w:tblStyle w:val="TableGrid1"/>
        <w:tblW w:w="9231" w:type="dxa"/>
        <w:tblLayout w:type="fixed"/>
        <w:tblLook w:val="04A0" w:firstRow="1" w:lastRow="0" w:firstColumn="1" w:lastColumn="0" w:noHBand="0" w:noVBand="1"/>
      </w:tblPr>
      <w:tblGrid>
        <w:gridCol w:w="687"/>
        <w:gridCol w:w="2682"/>
        <w:gridCol w:w="2658"/>
        <w:gridCol w:w="2190"/>
        <w:gridCol w:w="1014"/>
      </w:tblGrid>
      <w:tr w:rsidR="00161817" w:rsidRPr="00161817" w14:paraId="113FCC50" w14:textId="77777777" w:rsidTr="009E6C40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30C696A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E34B091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6669932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Käufer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90FE9E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Verkäufer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8E3657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KP*</w:t>
            </w:r>
          </w:p>
          <w:p w14:paraId="24C76A25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(ca. Mio. €)</w:t>
            </w:r>
          </w:p>
        </w:tc>
      </w:tr>
      <w:tr w:rsidR="0057613A" w:rsidRPr="00161817" w14:paraId="1585B5AF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2BE791B1" w14:textId="32BC3EE9" w:rsidR="0057613A" w:rsidRDefault="0057613A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DCCFE14" w14:textId="5CBC763B" w:rsidR="0057613A" w:rsidRPr="00575521" w:rsidRDefault="00081DAD" w:rsidP="00081DA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57613A" w:rsidRPr="0057613A">
              <w:rPr>
                <w:rFonts w:ascii="Source Sans Pro" w:hAnsi="Source Sans Pro" w:cs="Arial"/>
                <w:sz w:val="16"/>
                <w:szCs w:val="16"/>
              </w:rPr>
              <w:t>Upper West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="0057613A">
              <w:rPr>
                <w:rFonts w:ascii="Source Sans Pro" w:hAnsi="Source Sans Pro" w:cs="Arial"/>
                <w:sz w:val="16"/>
                <w:szCs w:val="16"/>
              </w:rPr>
              <w:t xml:space="preserve">, </w:t>
            </w:r>
            <w:r w:rsidR="005B1077" w:rsidRPr="005B1077">
              <w:rPr>
                <w:rFonts w:ascii="Source Sans Pro" w:hAnsi="Source Sans Pro" w:cs="Arial"/>
                <w:sz w:val="16"/>
                <w:szCs w:val="16"/>
              </w:rPr>
              <w:t>Kantstraße 163-164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C3C29BE" w14:textId="56139A14" w:rsidR="0057613A" w:rsidRDefault="0057613A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7613A">
              <w:rPr>
                <w:rFonts w:ascii="Source Sans Pro" w:hAnsi="Source Sans Pro" w:cs="Arial"/>
                <w:sz w:val="16"/>
                <w:szCs w:val="16"/>
              </w:rPr>
              <w:t>Schoeller Group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B1A4E31" w14:textId="2C8FA810" w:rsidR="0057613A" w:rsidRDefault="0057613A" w:rsidP="005B1077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57613A">
              <w:rPr>
                <w:rFonts w:ascii="Source Sans Pro" w:hAnsi="Source Sans Pro" w:cs="Arial"/>
                <w:sz w:val="16"/>
                <w:szCs w:val="16"/>
              </w:rPr>
              <w:t>Signa</w:t>
            </w:r>
            <w:r w:rsidR="005B1077">
              <w:rPr>
                <w:rFonts w:ascii="Source Sans Pro" w:hAnsi="Source Sans Pro" w:cs="Arial"/>
                <w:sz w:val="16"/>
                <w:szCs w:val="16"/>
              </w:rPr>
              <w:t xml:space="preserve"> Holding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36847F" w14:textId="073EC058" w:rsidR="0057613A" w:rsidRDefault="005B1077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450</w:t>
            </w:r>
          </w:p>
        </w:tc>
      </w:tr>
      <w:tr w:rsidR="00583AC8" w:rsidRPr="00161817" w14:paraId="0B78E6CD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576C9D5C" w14:textId="0F04D69A" w:rsidR="00583AC8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lastRenderedPageBreak/>
              <w:t>HAM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CDDAAC2" w14:textId="41EFC043" w:rsidR="00583AC8" w:rsidRPr="002704CD" w:rsidRDefault="0057613A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575521" w:rsidRPr="00575521">
              <w:rPr>
                <w:rFonts w:ascii="Source Sans Pro" w:hAnsi="Source Sans Pro" w:cs="Arial"/>
                <w:sz w:val="16"/>
                <w:szCs w:val="16"/>
              </w:rPr>
              <w:t>Pflegen &amp; Wohnen</w:t>
            </w:r>
            <w:r>
              <w:rPr>
                <w:rFonts w:ascii="Source Sans Pro" w:hAnsi="Source Sans Pro" w:cs="Arial"/>
                <w:sz w:val="16"/>
                <w:szCs w:val="16"/>
              </w:rPr>
              <w:t>“-</w:t>
            </w:r>
            <w:r w:rsidR="00575521" w:rsidRPr="00575521">
              <w:rPr>
                <w:rFonts w:ascii="Source Sans Pro" w:hAnsi="Source Sans Pro" w:cs="Arial"/>
                <w:sz w:val="16"/>
                <w:szCs w:val="16"/>
              </w:rPr>
              <w:t>Portfolio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EECDA99" w14:textId="10F4A8DF" w:rsidR="00583AC8" w:rsidRPr="002704CD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Stadt Hamburg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F8AFED1" w14:textId="4D94A5B2" w:rsidR="00583AC8" w:rsidRPr="002704CD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Deutsche Wohnen SE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25E6C98" w14:textId="230E0251" w:rsidR="00583AC8" w:rsidRPr="002704CD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380</w:t>
            </w:r>
          </w:p>
        </w:tc>
      </w:tr>
      <w:tr w:rsidR="00583AC8" w:rsidRPr="00161817" w14:paraId="61DBCEAF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06119DA2" w14:textId="719B852C" w:rsidR="00583AC8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CD90978" w14:textId="4510A993" w:rsidR="00583AC8" w:rsidRPr="00A86AFC" w:rsidRDefault="00575521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F8412D" w:rsidRPr="00575521">
              <w:rPr>
                <w:rFonts w:ascii="Source Sans Pro" w:hAnsi="Source Sans Pro" w:cs="Arial"/>
                <w:sz w:val="16"/>
                <w:szCs w:val="16"/>
              </w:rPr>
              <w:t>R</w:t>
            </w:r>
            <w:r w:rsidR="00F8412D">
              <w:rPr>
                <w:rFonts w:ascii="Source Sans Pro" w:hAnsi="Source Sans Pro" w:cs="Arial"/>
                <w:sz w:val="16"/>
                <w:szCs w:val="16"/>
              </w:rPr>
              <w:t>139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575521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15690C">
              <w:rPr>
                <w:rFonts w:ascii="Source Sans Pro" w:hAnsi="Source Sans Pro" w:cs="Arial"/>
                <w:sz w:val="16"/>
                <w:szCs w:val="16"/>
              </w:rPr>
              <w:t xml:space="preserve"> Rosenheimer Straße 139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D4D3495" w14:textId="599175CB" w:rsidR="00583AC8" w:rsidRPr="00A86AFC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Generali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5E718DC" w14:textId="62842EBC" w:rsidR="00583AC8" w:rsidRPr="00A86AFC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Art Invest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DB19CDE" w14:textId="5C4DC317" w:rsidR="00583AC8" w:rsidRPr="00A86AFC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150</w:t>
            </w:r>
          </w:p>
        </w:tc>
      </w:tr>
      <w:tr w:rsidR="00B775BE" w:rsidRPr="00161817" w14:paraId="60456EEB" w14:textId="77777777" w:rsidTr="00B775BE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6CAA3522" w14:textId="13B6D5AC" w:rsidR="00B775BE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58C542A0" w14:textId="0DC7C43C" w:rsidR="00B775BE" w:rsidRDefault="00FB2FAC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B2FAC">
              <w:rPr>
                <w:rFonts w:ascii="Source Sans Pro" w:hAnsi="Source Sans Pro" w:cs="Arial"/>
                <w:sz w:val="16"/>
                <w:szCs w:val="16"/>
              </w:rPr>
              <w:t xml:space="preserve">Neubau des Landratsamts, 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FB2FAC">
              <w:rPr>
                <w:rFonts w:ascii="Source Sans Pro" w:hAnsi="Source Sans Pro" w:cs="Arial"/>
                <w:sz w:val="16"/>
                <w:szCs w:val="16"/>
              </w:rPr>
              <w:t>Joseph-Wild-Straße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2299D5E9" w14:textId="37DEB4CC" w:rsidR="00B775BE" w:rsidRPr="00A8377D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B2FAC">
              <w:rPr>
                <w:rFonts w:ascii="Source Sans Pro" w:hAnsi="Source Sans Pro" w:cs="Arial"/>
                <w:sz w:val="16"/>
                <w:szCs w:val="16"/>
              </w:rPr>
              <w:t>Landkreis München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2B000B3" w14:textId="5DF8D4F1" w:rsidR="00B775BE" w:rsidRDefault="00FB2FAC" w:rsidP="00935423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B2FAC">
              <w:rPr>
                <w:rFonts w:ascii="Source Sans Pro" w:hAnsi="Source Sans Pro" w:cs="Arial"/>
                <w:sz w:val="16"/>
                <w:szCs w:val="16"/>
              </w:rPr>
              <w:t>Stadt München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35177738" w14:textId="63C59BF2" w:rsidR="00B775BE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100</w:t>
            </w:r>
          </w:p>
        </w:tc>
      </w:tr>
      <w:tr w:rsidR="00FB2FAC" w:rsidRPr="00161817" w14:paraId="60581707" w14:textId="77777777" w:rsidTr="00FB2FAC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E0E9048" w14:textId="74CCFC92" w:rsidR="00FB2FAC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HAM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FC1E815" w14:textId="67437200" w:rsidR="00FB2FAC" w:rsidRDefault="00FB2FAC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FB2FAC">
              <w:rPr>
                <w:rFonts w:ascii="Source Sans Pro" w:hAnsi="Source Sans Pro" w:cs="Arial"/>
                <w:sz w:val="16"/>
                <w:szCs w:val="16"/>
              </w:rPr>
              <w:t>Tichelhaus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FB2FAC">
              <w:rPr>
                <w:rFonts w:ascii="Source Sans Pro" w:hAnsi="Source Sans Pro" w:cs="Arial"/>
                <w:sz w:val="16"/>
                <w:szCs w:val="16"/>
              </w:rPr>
              <w:t>, Willy-Brandt-Straße 69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6CF143DE" w14:textId="664E1F46" w:rsidR="00FB2FAC" w:rsidRPr="00FB2FAC" w:rsidRDefault="000A3A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A3AAC">
              <w:rPr>
                <w:rFonts w:ascii="Source Sans Pro" w:hAnsi="Source Sans Pro" w:cs="Arial"/>
                <w:sz w:val="16"/>
                <w:szCs w:val="16"/>
              </w:rPr>
              <w:t>Family Office Sandra Ortega Mera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EC59E78" w14:textId="1AC216ED" w:rsidR="00FB2FAC" w:rsidRPr="00FB2FAC" w:rsidRDefault="00FB2FAC" w:rsidP="00935423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B2FAC">
              <w:rPr>
                <w:rFonts w:ascii="Source Sans Pro" w:hAnsi="Source Sans Pro" w:cs="Arial"/>
                <w:sz w:val="16"/>
                <w:szCs w:val="16"/>
              </w:rPr>
              <w:t>Quest Investment Partners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7E5D677D" w14:textId="0439DDE6" w:rsidR="00FB2FAC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75</w:t>
            </w:r>
          </w:p>
        </w:tc>
      </w:tr>
      <w:tr w:rsidR="00FB2FAC" w:rsidRPr="00161817" w14:paraId="7D7C32A9" w14:textId="77777777" w:rsidTr="00FB2FAC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CF22272" w14:textId="68F94D66" w:rsidR="00FB2FAC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02041B1" w14:textId="7F46CF43" w:rsidR="00FB2FAC" w:rsidRDefault="00FB2FAC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FB2FAC">
              <w:rPr>
                <w:rFonts w:ascii="Source Sans Pro" w:hAnsi="Source Sans Pro" w:cs="Arial"/>
                <w:sz w:val="16"/>
                <w:szCs w:val="16"/>
              </w:rPr>
              <w:t>LEO7</w:t>
            </w:r>
            <w:r>
              <w:rPr>
                <w:rFonts w:ascii="Source Sans Pro" w:hAnsi="Source Sans Pro" w:cs="Arial"/>
                <w:sz w:val="16"/>
                <w:szCs w:val="16"/>
              </w:rPr>
              <w:t>“, Leopoldstr.7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7084C158" w14:textId="0E79919C" w:rsidR="00FB2FAC" w:rsidRPr="00A8377D" w:rsidRDefault="000A3A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A3AAC">
              <w:rPr>
                <w:rFonts w:ascii="Source Sans Pro" w:hAnsi="Source Sans Pro" w:cs="Arial"/>
                <w:sz w:val="16"/>
                <w:szCs w:val="16"/>
              </w:rPr>
              <w:t>Family Office Sandra Ortega Mera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2FFA46F4" w14:textId="36F42DC4" w:rsidR="00FB2FAC" w:rsidRDefault="00FB2FAC" w:rsidP="00935423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B2FAC">
              <w:rPr>
                <w:rFonts w:ascii="Source Sans Pro" w:hAnsi="Source Sans Pro" w:cs="Arial"/>
                <w:sz w:val="16"/>
                <w:szCs w:val="16"/>
              </w:rPr>
              <w:t>Quest Investment Partners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2F80DBC7" w14:textId="4B23A94E" w:rsidR="00FB2FAC" w:rsidRDefault="00FB2F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</w:tr>
      <w:tr w:rsidR="00A8377D" w:rsidRPr="00161817" w14:paraId="0EC1C3E7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405AA306" w14:textId="6231C83F" w:rsidR="00A8377D" w:rsidRDefault="00A8377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02CF298" w14:textId="03D3F7BB" w:rsidR="00A8377D" w:rsidRDefault="00A8377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„Pullman-Hotel“, </w:t>
            </w:r>
            <w:r w:rsidRPr="00A8377D">
              <w:rPr>
                <w:rFonts w:ascii="Source Sans Pro" w:hAnsi="Source Sans Pro" w:cs="Arial"/>
                <w:sz w:val="16"/>
                <w:szCs w:val="16"/>
              </w:rPr>
              <w:t>Helenenstraße 14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763B41F" w14:textId="4BE1791C" w:rsidR="00A8377D" w:rsidRPr="0015690C" w:rsidRDefault="00A8377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8377D">
              <w:rPr>
                <w:rFonts w:ascii="Source Sans Pro" w:hAnsi="Source Sans Pro" w:cs="Arial"/>
                <w:sz w:val="16"/>
                <w:szCs w:val="16"/>
              </w:rPr>
              <w:t>Pandox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701C954" w14:textId="03C2AF24" w:rsidR="00A8377D" w:rsidRPr="0015690C" w:rsidRDefault="00081DAD" w:rsidP="00935423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D72472" w:rsidRPr="00D72472">
              <w:rPr>
                <w:rFonts w:ascii="Source Sans Pro" w:hAnsi="Source Sans Pro" w:cs="Arial"/>
                <w:sz w:val="16"/>
                <w:szCs w:val="16"/>
              </w:rPr>
              <w:t>Hotel-Manage to Core-Fonds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="00D72472" w:rsidRPr="00D72472">
              <w:rPr>
                <w:rFonts w:ascii="Source Sans Pro" w:hAnsi="Source Sans Pro" w:cs="Arial"/>
                <w:sz w:val="16"/>
                <w:szCs w:val="16"/>
              </w:rPr>
              <w:t xml:space="preserve"> (Hotelfonds der Art-Invest Real Estate)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A955A9B" w14:textId="763CC25B" w:rsidR="00A8377D" w:rsidRDefault="00A8377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66</w:t>
            </w:r>
          </w:p>
        </w:tc>
      </w:tr>
      <w:tr w:rsidR="000B4A9D" w:rsidRPr="00161817" w14:paraId="5809275A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7CE0EC77" w14:textId="583861CA" w:rsidR="000B4A9D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BDC97A7" w14:textId="5EC5BB5D" w:rsidR="000B4A9D" w:rsidRPr="00A86AFC" w:rsidRDefault="0015690C" w:rsidP="00081DA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15690C">
              <w:rPr>
                <w:rFonts w:ascii="Source Sans Pro" w:hAnsi="Source Sans Pro" w:cs="Arial"/>
                <w:sz w:val="16"/>
                <w:szCs w:val="16"/>
              </w:rPr>
              <w:t>Streitfeld Lofts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“, </w:t>
            </w:r>
            <w:r w:rsidR="00081DAD">
              <w:rPr>
                <w:rFonts w:ascii="Source Sans Pro" w:hAnsi="Source Sans Pro" w:cs="Arial"/>
                <w:sz w:val="16"/>
                <w:szCs w:val="16"/>
              </w:rPr>
              <w:br/>
            </w:r>
            <w:r>
              <w:rPr>
                <w:rFonts w:ascii="Source Sans Pro" w:hAnsi="Source Sans Pro" w:cs="Arial"/>
                <w:sz w:val="16"/>
                <w:szCs w:val="16"/>
              </w:rPr>
              <w:t>Streitfeldstr</w:t>
            </w:r>
            <w:r w:rsidR="00081DAD">
              <w:rPr>
                <w:rFonts w:ascii="Source Sans Pro" w:hAnsi="Source Sans Pro" w:cs="Arial"/>
                <w:sz w:val="16"/>
                <w:szCs w:val="16"/>
              </w:rPr>
              <w:t>aße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 17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8B2B66A" w14:textId="0E6A60ED" w:rsidR="000B4A9D" w:rsidRPr="00A86AFC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5690C">
              <w:rPr>
                <w:rFonts w:ascii="Source Sans Pro" w:hAnsi="Source Sans Pro" w:cs="Arial"/>
                <w:sz w:val="16"/>
                <w:szCs w:val="16"/>
              </w:rPr>
              <w:t>KGAL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B0CC4B1" w14:textId="6159A5E5" w:rsidR="000B4A9D" w:rsidRPr="00A86AFC" w:rsidRDefault="000A3AA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</w:t>
            </w:r>
            <w:r w:rsidR="0015690C" w:rsidRPr="0015690C">
              <w:rPr>
                <w:rFonts w:ascii="Source Sans Pro" w:hAnsi="Source Sans Pro" w:cs="Arial"/>
                <w:sz w:val="16"/>
                <w:szCs w:val="16"/>
              </w:rPr>
              <w:t>lackrock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3E29F60" w14:textId="0BF9A9ED" w:rsidR="000B4A9D" w:rsidRPr="00A86AFC" w:rsidRDefault="0015690C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55</w:t>
            </w:r>
          </w:p>
        </w:tc>
      </w:tr>
      <w:tr w:rsidR="0015690C" w:rsidRPr="00161817" w14:paraId="4962DD99" w14:textId="77777777" w:rsidTr="00073A63">
        <w:trPr>
          <w:trHeight w:val="140"/>
        </w:trPr>
        <w:tc>
          <w:tcPr>
            <w:tcW w:w="687" w:type="dxa"/>
            <w:shd w:val="clear" w:color="auto" w:fill="AEAAAA" w:themeFill="background2" w:themeFillShade="BF"/>
            <w:vAlign w:val="center"/>
          </w:tcPr>
          <w:p w14:paraId="75742589" w14:textId="77777777" w:rsidR="0015690C" w:rsidRDefault="0015690C" w:rsidP="0015690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EAAAA" w:themeFill="background2" w:themeFillShade="BF"/>
            <w:vAlign w:val="center"/>
          </w:tcPr>
          <w:p w14:paraId="03D0F1B5" w14:textId="77777777" w:rsidR="0015690C" w:rsidRPr="003613CB" w:rsidRDefault="0015690C" w:rsidP="0015690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658" w:type="dxa"/>
            <w:shd w:val="clear" w:color="auto" w:fill="AEAAAA" w:themeFill="background2" w:themeFillShade="BF"/>
            <w:vAlign w:val="center"/>
          </w:tcPr>
          <w:p w14:paraId="01D566D4" w14:textId="77777777" w:rsidR="0015690C" w:rsidRPr="003613CB" w:rsidRDefault="0015690C" w:rsidP="0015690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190" w:type="dxa"/>
            <w:shd w:val="clear" w:color="auto" w:fill="AEAAAA" w:themeFill="background2" w:themeFillShade="BF"/>
            <w:vAlign w:val="center"/>
          </w:tcPr>
          <w:p w14:paraId="72D67DB9" w14:textId="77777777" w:rsidR="0015690C" w:rsidRPr="003613CB" w:rsidRDefault="0015690C" w:rsidP="0015690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1014" w:type="dxa"/>
            <w:shd w:val="clear" w:color="auto" w:fill="AEAAAA" w:themeFill="background2" w:themeFillShade="BF"/>
            <w:vAlign w:val="center"/>
          </w:tcPr>
          <w:p w14:paraId="29A21095" w14:textId="77777777" w:rsidR="0015690C" w:rsidRPr="003613CB" w:rsidRDefault="0015690C" w:rsidP="0015690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7A6817" w:rsidRPr="00161817" w14:paraId="296A1EA4" w14:textId="77777777" w:rsidTr="00FB2FAC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24CC1B48" w14:textId="1F53392E" w:rsidR="007A6817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53F67FB" w14:textId="7C7A1B5C" w:rsidR="007A6817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Markgrafenpark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 xml:space="preserve">, 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Markgrafenstraße 19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2C84E552" w14:textId="0613EBC9" w:rsidR="007A6817" w:rsidRPr="00FB2FAC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PGIM Real Estate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15E4C2A" w14:textId="58BCE1E7" w:rsidR="007A6817" w:rsidRPr="00FB2FAC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Pimco Real Estate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199CA4C7" w14:textId="543E4470" w:rsidR="007A6817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7A6817" w:rsidRPr="00161817" w14:paraId="2BE65040" w14:textId="77777777" w:rsidTr="00FB2FAC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7F21F01" w14:textId="3574BECB" w:rsidR="007A6817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E9C33FE" w14:textId="669D5D6B" w:rsidR="007A6817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Elements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 xml:space="preserve">, 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Michaelkirchstraße 22-23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39836DD1" w14:textId="1A8F7C75" w:rsidR="007A6817" w:rsidRPr="00FB2FAC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Tishman Speyer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218BCE7" w14:textId="19E3558D" w:rsidR="007A6817" w:rsidRPr="00FB2FAC" w:rsidRDefault="007A6817" w:rsidP="00FB2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Development Partner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0A139275" w14:textId="2F47FC1E" w:rsidR="007A6817" w:rsidRDefault="007A6817" w:rsidP="007A681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A62B1C" w:rsidRPr="00161817" w14:paraId="312B61F1" w14:textId="77777777" w:rsidTr="00FB2FAC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3D20EEE7" w14:textId="5010FC52" w:rsidR="00A62B1C" w:rsidRDefault="00A62B1C" w:rsidP="00A62B1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CGN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3379EB83" w14:textId="36ACB64C" w:rsidR="00A62B1C" w:rsidRDefault="00A62B1C" w:rsidP="00A62B1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Silo 23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 xml:space="preserve"> und </w:t>
            </w: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ECR</w:t>
            </w:r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 xml:space="preserve">, 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7A6817">
              <w:rPr>
                <w:rFonts w:ascii="Source Sans Pro" w:hAnsi="Source Sans Pro" w:cs="Arial"/>
                <w:sz w:val="16"/>
                <w:szCs w:val="16"/>
              </w:rPr>
              <w:t>Agrippinawerft 22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674CCF6A" w14:textId="1ADA59A7" w:rsidR="00A62B1C" w:rsidRPr="00FB2FAC" w:rsidRDefault="00A62B1C" w:rsidP="00A62B1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Pamera Real Estate für zwei Gesellschaften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8BDF2A6" w14:textId="45AE1F8E" w:rsidR="00A62B1C" w:rsidRPr="00FB2FAC" w:rsidRDefault="00A62B1C" w:rsidP="00A62B1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A6817">
              <w:rPr>
                <w:rFonts w:ascii="Source Sans Pro" w:hAnsi="Source Sans Pro" w:cs="Arial"/>
                <w:sz w:val="16"/>
                <w:szCs w:val="16"/>
              </w:rPr>
              <w:t>Branicks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7A12754F" w14:textId="071B4AF1" w:rsidR="00A62B1C" w:rsidRDefault="00A62B1C" w:rsidP="00A62B1C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</w:tbl>
    <w:p w14:paraId="693F740A" w14:textId="257A1F0D" w:rsidR="00B73459" w:rsidRDefault="002704CD" w:rsidP="00E822DD">
      <w:pPr>
        <w:widowControl w:val="0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*</w:t>
      </w:r>
      <w:r w:rsidRPr="009E00E8">
        <w:rPr>
          <w:rFonts w:ascii="Source Sans Pro" w:hAnsi="Source Sans Pro" w:cs="Arial"/>
          <w:sz w:val="16"/>
          <w:szCs w:val="16"/>
        </w:rPr>
        <w:t>Die aufgeführten Kaufpreise basieren auf öffentlich verfügbaren Angaben; wo solche fehlen, sind die Kaufpreise geschätzt</w:t>
      </w:r>
      <w:r w:rsidR="00B775BE">
        <w:rPr>
          <w:rFonts w:ascii="Source Sans Pro" w:hAnsi="Source Sans Pro" w:cs="Arial"/>
          <w:sz w:val="16"/>
          <w:szCs w:val="16"/>
        </w:rPr>
        <w:t xml:space="preserve">; </w:t>
      </w:r>
      <w:r w:rsidR="00B775BE" w:rsidRPr="00510879">
        <w:rPr>
          <w:rFonts w:ascii="Source Sans Pro" w:hAnsi="Source Sans Pro" w:cs="Arial"/>
          <w:sz w:val="16"/>
          <w:szCs w:val="16"/>
        </w:rPr>
        <w:t>Transaktionen aus dem aktuellen Quartal sind farblich markiert</w:t>
      </w:r>
      <w:r w:rsidR="00B775BE">
        <w:rPr>
          <w:rFonts w:ascii="Source Sans Pro" w:hAnsi="Source Sans Pro" w:cs="Arial"/>
          <w:sz w:val="16"/>
          <w:szCs w:val="16"/>
        </w:rPr>
        <w:t>.</w:t>
      </w:r>
      <w:r>
        <w:rPr>
          <w:rFonts w:ascii="Source Sans Pro" w:hAnsi="Source Sans Pro" w:cs="Arial"/>
          <w:sz w:val="16"/>
          <w:szCs w:val="16"/>
        </w:rPr>
        <w:t xml:space="preserve"> </w:t>
      </w:r>
      <w:r w:rsidR="00161817" w:rsidRPr="00161817">
        <w:rPr>
          <w:rFonts w:ascii="Source Sans Pro" w:hAnsi="Source Sans Pro" w:cs="Arial"/>
          <w:sz w:val="16"/>
          <w:szCs w:val="16"/>
        </w:rPr>
        <w:t>Quelle:</w:t>
      </w:r>
      <w:r w:rsidR="00161817" w:rsidRPr="002704CD">
        <w:rPr>
          <w:rFonts w:ascii="Source Sans Pro" w:hAnsi="Source Sans Pro" w:cs="Arial"/>
          <w:sz w:val="16"/>
          <w:szCs w:val="16"/>
        </w:rPr>
        <w:t xml:space="preserve"> German Property Partners (GPP)</w:t>
      </w:r>
    </w:p>
    <w:p w14:paraId="5750C757" w14:textId="77777777" w:rsidR="00B73459" w:rsidRDefault="00B73459" w:rsidP="00E822DD">
      <w:pPr>
        <w:widowControl w:val="0"/>
        <w:rPr>
          <w:rFonts w:ascii="Source Sans Pro" w:hAnsi="Source Sans Pro" w:cs="Arial"/>
          <w:sz w:val="16"/>
          <w:szCs w:val="16"/>
        </w:rPr>
      </w:pPr>
    </w:p>
    <w:p w14:paraId="5270E9E7" w14:textId="77777777" w:rsidR="00B73459" w:rsidRPr="00B73459" w:rsidRDefault="00B73459" w:rsidP="00E822DD">
      <w:pPr>
        <w:widowControl w:val="0"/>
        <w:rPr>
          <w:rFonts w:ascii="Source Sans Pro" w:hAnsi="Source Sans Pro" w:cs="Arial"/>
          <w:sz w:val="16"/>
          <w:szCs w:val="16"/>
        </w:rPr>
      </w:pPr>
    </w:p>
    <w:p w14:paraId="527E0B5F" w14:textId="77777777" w:rsidR="00384735" w:rsidRPr="006456EA" w:rsidRDefault="00384735" w:rsidP="00384735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bookmarkStart w:id="0" w:name="_Hlk194423614"/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</w:p>
    <w:p w14:paraId="48870DC9" w14:textId="77777777" w:rsidR="00384735" w:rsidRPr="00E1280F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0028A7E6" w14:textId="77777777" w:rsidR="00384735" w:rsidRPr="00E1280F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2BDC7CC" w14:textId="77777777" w:rsidR="00384735" w:rsidRPr="00E1280F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|Essen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35A69B27" w14:textId="77777777" w:rsidR="00384735" w:rsidRPr="00E1280F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539AF850" w14:textId="77777777" w:rsidR="00384735" w:rsidRPr="00E1280F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380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350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890 MIO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 €.</w:t>
      </w:r>
    </w:p>
    <w:p w14:paraId="7B350A66" w14:textId="77777777" w:rsidR="00384735" w:rsidRPr="006456EA" w:rsidRDefault="00384735" w:rsidP="00384735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44867C81" w14:textId="425393E0" w:rsidR="00F6024C" w:rsidRPr="00B73459" w:rsidRDefault="00384735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  <w:bookmarkEnd w:id="0"/>
    </w:p>
    <w:p w14:paraId="468FAFF6" w14:textId="00332105" w:rsidR="005C25D5" w:rsidRPr="00D56A51" w:rsidRDefault="0029067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D56A51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5310BD6B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0A3AAC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0A3AAC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183E2E75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1A6DC9"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0D703A99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DC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28F88B32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0A3AAC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0A3AAC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196BBEF1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8B1BA3">
      <w:rPr>
        <w:rFonts w:ascii="Source Sans Pro" w:hAnsi="Source Sans Pro" w:cs="Source Sans Pro"/>
        <w:color w:val="0087A8"/>
        <w:sz w:val="18"/>
        <w:szCs w:val="18"/>
      </w:rPr>
      <w:t>9</w:t>
    </w:r>
    <w:r w:rsidR="001A6DC9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4643A2BF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DC9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E87"/>
    <w:multiLevelType w:val="hybridMultilevel"/>
    <w:tmpl w:val="D2941DE4"/>
    <w:lvl w:ilvl="0" w:tplc="E22A0C4A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F1E"/>
    <w:multiLevelType w:val="hybridMultilevel"/>
    <w:tmpl w:val="4B542F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3BB"/>
    <w:multiLevelType w:val="hybridMultilevel"/>
    <w:tmpl w:val="A8BA5CB4"/>
    <w:lvl w:ilvl="0" w:tplc="8778A3D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0E33"/>
    <w:multiLevelType w:val="hybridMultilevel"/>
    <w:tmpl w:val="2BE8E350"/>
    <w:lvl w:ilvl="0" w:tplc="B82AA30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D19DC"/>
    <w:multiLevelType w:val="hybridMultilevel"/>
    <w:tmpl w:val="7068B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36C0"/>
    <w:multiLevelType w:val="hybridMultilevel"/>
    <w:tmpl w:val="51220B10"/>
    <w:lvl w:ilvl="0" w:tplc="782E1AF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712F"/>
    <w:multiLevelType w:val="hybridMultilevel"/>
    <w:tmpl w:val="ABC89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30DF"/>
    <w:multiLevelType w:val="hybridMultilevel"/>
    <w:tmpl w:val="C9B00D30"/>
    <w:lvl w:ilvl="0" w:tplc="59D258A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C230A"/>
    <w:multiLevelType w:val="hybridMultilevel"/>
    <w:tmpl w:val="C442B6BA"/>
    <w:lvl w:ilvl="0" w:tplc="5A6C334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13C1"/>
    <w:multiLevelType w:val="hybridMultilevel"/>
    <w:tmpl w:val="05F49C50"/>
    <w:lvl w:ilvl="0" w:tplc="82300CE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B6D1F"/>
    <w:multiLevelType w:val="hybridMultilevel"/>
    <w:tmpl w:val="456A7860"/>
    <w:lvl w:ilvl="0" w:tplc="B774640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D78BD"/>
    <w:multiLevelType w:val="hybridMultilevel"/>
    <w:tmpl w:val="904C4D60"/>
    <w:lvl w:ilvl="0" w:tplc="51F0D846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963"/>
    <w:multiLevelType w:val="hybridMultilevel"/>
    <w:tmpl w:val="751880B2"/>
    <w:lvl w:ilvl="0" w:tplc="AF12DF7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85149"/>
    <w:multiLevelType w:val="hybridMultilevel"/>
    <w:tmpl w:val="EDEAD9E0"/>
    <w:lvl w:ilvl="0" w:tplc="2782346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221962">
    <w:abstractNumId w:val="13"/>
  </w:num>
  <w:num w:numId="2" w16cid:durableId="1189488910">
    <w:abstractNumId w:val="12"/>
  </w:num>
  <w:num w:numId="3" w16cid:durableId="807744814">
    <w:abstractNumId w:val="9"/>
  </w:num>
  <w:num w:numId="4" w16cid:durableId="1205289068">
    <w:abstractNumId w:val="3"/>
  </w:num>
  <w:num w:numId="5" w16cid:durableId="556285818">
    <w:abstractNumId w:val="0"/>
  </w:num>
  <w:num w:numId="6" w16cid:durableId="1033530944">
    <w:abstractNumId w:val="11"/>
  </w:num>
  <w:num w:numId="7" w16cid:durableId="195237503">
    <w:abstractNumId w:val="10"/>
  </w:num>
  <w:num w:numId="8" w16cid:durableId="453986933">
    <w:abstractNumId w:val="8"/>
  </w:num>
  <w:num w:numId="9" w16cid:durableId="381175663">
    <w:abstractNumId w:val="2"/>
  </w:num>
  <w:num w:numId="10" w16cid:durableId="808985481">
    <w:abstractNumId w:val="5"/>
  </w:num>
  <w:num w:numId="11" w16cid:durableId="826283328">
    <w:abstractNumId w:val="7"/>
  </w:num>
  <w:num w:numId="12" w16cid:durableId="269359623">
    <w:abstractNumId w:val="1"/>
  </w:num>
  <w:num w:numId="13" w16cid:durableId="206647927">
    <w:abstractNumId w:val="4"/>
  </w:num>
  <w:num w:numId="14" w16cid:durableId="1148403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STFILENAME" w:val="\\fs01\home$\jan.schubert\Documents\FlowFact\587583BADF454BD8A1EDC224108EB323\GPP-PM-Top-7-Investmentmärkte-2Q-2025.docx"/>
    <w:docVar w:name="WEITERE_DSN" w:val="AKT {587583BA-DF45-4BD8-A1ED-C224108EB323}"/>
  </w:docVars>
  <w:rsids>
    <w:rsidRoot w:val="00BB0F85"/>
    <w:rsid w:val="00001F24"/>
    <w:rsid w:val="000021F4"/>
    <w:rsid w:val="00004E93"/>
    <w:rsid w:val="000136D7"/>
    <w:rsid w:val="00013C9D"/>
    <w:rsid w:val="00013D73"/>
    <w:rsid w:val="0001662B"/>
    <w:rsid w:val="00020AC9"/>
    <w:rsid w:val="00027EA3"/>
    <w:rsid w:val="00030FCD"/>
    <w:rsid w:val="00032028"/>
    <w:rsid w:val="00034121"/>
    <w:rsid w:val="000440EB"/>
    <w:rsid w:val="00045BDF"/>
    <w:rsid w:val="0005029E"/>
    <w:rsid w:val="000610DA"/>
    <w:rsid w:val="00062237"/>
    <w:rsid w:val="00065685"/>
    <w:rsid w:val="000663B5"/>
    <w:rsid w:val="000665E2"/>
    <w:rsid w:val="00066A8A"/>
    <w:rsid w:val="00072A30"/>
    <w:rsid w:val="00073A63"/>
    <w:rsid w:val="000772AE"/>
    <w:rsid w:val="00077E8A"/>
    <w:rsid w:val="00080FD4"/>
    <w:rsid w:val="00081DAD"/>
    <w:rsid w:val="00082C59"/>
    <w:rsid w:val="00091562"/>
    <w:rsid w:val="00091D49"/>
    <w:rsid w:val="00091E5B"/>
    <w:rsid w:val="0009382E"/>
    <w:rsid w:val="000A072C"/>
    <w:rsid w:val="000A36D6"/>
    <w:rsid w:val="000A3AAC"/>
    <w:rsid w:val="000A4FBB"/>
    <w:rsid w:val="000A6A78"/>
    <w:rsid w:val="000B2DF4"/>
    <w:rsid w:val="000B310B"/>
    <w:rsid w:val="000B4A9D"/>
    <w:rsid w:val="000C3A22"/>
    <w:rsid w:val="000C6B4F"/>
    <w:rsid w:val="000D5A87"/>
    <w:rsid w:val="000D6F1F"/>
    <w:rsid w:val="000D7B09"/>
    <w:rsid w:val="000D7FD3"/>
    <w:rsid w:val="000E194E"/>
    <w:rsid w:val="000E4F2C"/>
    <w:rsid w:val="000E6577"/>
    <w:rsid w:val="000E694E"/>
    <w:rsid w:val="000E753B"/>
    <w:rsid w:val="000F3199"/>
    <w:rsid w:val="000F57F1"/>
    <w:rsid w:val="000F582C"/>
    <w:rsid w:val="001104E2"/>
    <w:rsid w:val="00110917"/>
    <w:rsid w:val="00110E37"/>
    <w:rsid w:val="00110F8E"/>
    <w:rsid w:val="00113D8C"/>
    <w:rsid w:val="00120624"/>
    <w:rsid w:val="0012156C"/>
    <w:rsid w:val="001304F6"/>
    <w:rsid w:val="00131DC5"/>
    <w:rsid w:val="001340F8"/>
    <w:rsid w:val="00146388"/>
    <w:rsid w:val="00150092"/>
    <w:rsid w:val="001550FE"/>
    <w:rsid w:val="00155828"/>
    <w:rsid w:val="0015690C"/>
    <w:rsid w:val="00156AF6"/>
    <w:rsid w:val="00161817"/>
    <w:rsid w:val="00162CC4"/>
    <w:rsid w:val="001647B3"/>
    <w:rsid w:val="00166ED2"/>
    <w:rsid w:val="00176433"/>
    <w:rsid w:val="0018092C"/>
    <w:rsid w:val="00181706"/>
    <w:rsid w:val="00184BB0"/>
    <w:rsid w:val="00190761"/>
    <w:rsid w:val="00195319"/>
    <w:rsid w:val="00195679"/>
    <w:rsid w:val="001963BB"/>
    <w:rsid w:val="0019772A"/>
    <w:rsid w:val="001A22F5"/>
    <w:rsid w:val="001A6DC9"/>
    <w:rsid w:val="001B786B"/>
    <w:rsid w:val="001C32DB"/>
    <w:rsid w:val="001C33FC"/>
    <w:rsid w:val="001C518B"/>
    <w:rsid w:val="001D00A5"/>
    <w:rsid w:val="001E1829"/>
    <w:rsid w:val="001E5503"/>
    <w:rsid w:val="001E7716"/>
    <w:rsid w:val="001F218D"/>
    <w:rsid w:val="001F35E1"/>
    <w:rsid w:val="001F53BE"/>
    <w:rsid w:val="00200C83"/>
    <w:rsid w:val="002014F7"/>
    <w:rsid w:val="00202DD3"/>
    <w:rsid w:val="0022694F"/>
    <w:rsid w:val="00235393"/>
    <w:rsid w:val="00235BF8"/>
    <w:rsid w:val="002373F7"/>
    <w:rsid w:val="0024304D"/>
    <w:rsid w:val="00264A0A"/>
    <w:rsid w:val="00265CA3"/>
    <w:rsid w:val="002704CD"/>
    <w:rsid w:val="00270F3A"/>
    <w:rsid w:val="0028070D"/>
    <w:rsid w:val="00282ED8"/>
    <w:rsid w:val="00290672"/>
    <w:rsid w:val="00290917"/>
    <w:rsid w:val="002A09C2"/>
    <w:rsid w:val="002A21DD"/>
    <w:rsid w:val="002A42FA"/>
    <w:rsid w:val="002A480D"/>
    <w:rsid w:val="002A7D58"/>
    <w:rsid w:val="002B63FD"/>
    <w:rsid w:val="002B749A"/>
    <w:rsid w:val="002C52C5"/>
    <w:rsid w:val="002D1DA5"/>
    <w:rsid w:val="002E1C45"/>
    <w:rsid w:val="002E5673"/>
    <w:rsid w:val="002F461A"/>
    <w:rsid w:val="002F53E5"/>
    <w:rsid w:val="002F73BE"/>
    <w:rsid w:val="002F786B"/>
    <w:rsid w:val="0030435C"/>
    <w:rsid w:val="00306932"/>
    <w:rsid w:val="0030746C"/>
    <w:rsid w:val="003152C9"/>
    <w:rsid w:val="00315870"/>
    <w:rsid w:val="00316196"/>
    <w:rsid w:val="003250ED"/>
    <w:rsid w:val="00333A90"/>
    <w:rsid w:val="00340A89"/>
    <w:rsid w:val="00341D84"/>
    <w:rsid w:val="003424EC"/>
    <w:rsid w:val="0034454C"/>
    <w:rsid w:val="00355438"/>
    <w:rsid w:val="00355ED1"/>
    <w:rsid w:val="003613CB"/>
    <w:rsid w:val="00362B48"/>
    <w:rsid w:val="00363075"/>
    <w:rsid w:val="00364C2C"/>
    <w:rsid w:val="00366AF3"/>
    <w:rsid w:val="00367F4F"/>
    <w:rsid w:val="00370785"/>
    <w:rsid w:val="00371640"/>
    <w:rsid w:val="00374F87"/>
    <w:rsid w:val="00375256"/>
    <w:rsid w:val="00384735"/>
    <w:rsid w:val="00392E9E"/>
    <w:rsid w:val="003948FA"/>
    <w:rsid w:val="00394B04"/>
    <w:rsid w:val="003A463F"/>
    <w:rsid w:val="003B09DC"/>
    <w:rsid w:val="003B10B7"/>
    <w:rsid w:val="003B4145"/>
    <w:rsid w:val="003B4C22"/>
    <w:rsid w:val="003B63A8"/>
    <w:rsid w:val="003D36F0"/>
    <w:rsid w:val="003D3F73"/>
    <w:rsid w:val="003D5215"/>
    <w:rsid w:val="003D5D91"/>
    <w:rsid w:val="003E772C"/>
    <w:rsid w:val="003F293B"/>
    <w:rsid w:val="003F5E07"/>
    <w:rsid w:val="003F6066"/>
    <w:rsid w:val="0040331F"/>
    <w:rsid w:val="00403C95"/>
    <w:rsid w:val="00404BCC"/>
    <w:rsid w:val="00405679"/>
    <w:rsid w:val="004061B9"/>
    <w:rsid w:val="0041188F"/>
    <w:rsid w:val="0041283D"/>
    <w:rsid w:val="00423DAC"/>
    <w:rsid w:val="00425DBF"/>
    <w:rsid w:val="00426531"/>
    <w:rsid w:val="00430DA2"/>
    <w:rsid w:val="0043217C"/>
    <w:rsid w:val="004329C6"/>
    <w:rsid w:val="004338CA"/>
    <w:rsid w:val="00433CD9"/>
    <w:rsid w:val="004343B1"/>
    <w:rsid w:val="00434EB9"/>
    <w:rsid w:val="00435653"/>
    <w:rsid w:val="00436DD0"/>
    <w:rsid w:val="00442B5C"/>
    <w:rsid w:val="00453F14"/>
    <w:rsid w:val="00456442"/>
    <w:rsid w:val="00462200"/>
    <w:rsid w:val="00465A6E"/>
    <w:rsid w:val="00474099"/>
    <w:rsid w:val="00474AC5"/>
    <w:rsid w:val="004751D8"/>
    <w:rsid w:val="004804A5"/>
    <w:rsid w:val="00481D27"/>
    <w:rsid w:val="00484027"/>
    <w:rsid w:val="00486F74"/>
    <w:rsid w:val="00491CBC"/>
    <w:rsid w:val="004956AE"/>
    <w:rsid w:val="004A2A30"/>
    <w:rsid w:val="004A2D54"/>
    <w:rsid w:val="004A60FB"/>
    <w:rsid w:val="004B5CB6"/>
    <w:rsid w:val="004C0351"/>
    <w:rsid w:val="004C322C"/>
    <w:rsid w:val="004C616B"/>
    <w:rsid w:val="004D2CD0"/>
    <w:rsid w:val="004D30FB"/>
    <w:rsid w:val="004D31CF"/>
    <w:rsid w:val="004D6861"/>
    <w:rsid w:val="004E6096"/>
    <w:rsid w:val="004F09D7"/>
    <w:rsid w:val="004F1EDD"/>
    <w:rsid w:val="004F38BF"/>
    <w:rsid w:val="004F5262"/>
    <w:rsid w:val="004F77D4"/>
    <w:rsid w:val="00500981"/>
    <w:rsid w:val="00501428"/>
    <w:rsid w:val="0050248F"/>
    <w:rsid w:val="005045E7"/>
    <w:rsid w:val="00510C33"/>
    <w:rsid w:val="005122A0"/>
    <w:rsid w:val="00514BE0"/>
    <w:rsid w:val="0052371C"/>
    <w:rsid w:val="0054038E"/>
    <w:rsid w:val="0054593A"/>
    <w:rsid w:val="00547877"/>
    <w:rsid w:val="00554C9F"/>
    <w:rsid w:val="005550A4"/>
    <w:rsid w:val="00557B57"/>
    <w:rsid w:val="00563E13"/>
    <w:rsid w:val="005644BE"/>
    <w:rsid w:val="0057524E"/>
    <w:rsid w:val="00575521"/>
    <w:rsid w:val="00575A55"/>
    <w:rsid w:val="0057613A"/>
    <w:rsid w:val="00583AC8"/>
    <w:rsid w:val="00584565"/>
    <w:rsid w:val="00593E99"/>
    <w:rsid w:val="005A5999"/>
    <w:rsid w:val="005B1077"/>
    <w:rsid w:val="005C25D5"/>
    <w:rsid w:val="005C47F7"/>
    <w:rsid w:val="005D0D0E"/>
    <w:rsid w:val="005D449F"/>
    <w:rsid w:val="005D73BE"/>
    <w:rsid w:val="005E1C97"/>
    <w:rsid w:val="005E6515"/>
    <w:rsid w:val="005F0760"/>
    <w:rsid w:val="005F1F6B"/>
    <w:rsid w:val="005F3B7B"/>
    <w:rsid w:val="0060257F"/>
    <w:rsid w:val="00604E20"/>
    <w:rsid w:val="00604F63"/>
    <w:rsid w:val="00605989"/>
    <w:rsid w:val="006061BF"/>
    <w:rsid w:val="00607CF6"/>
    <w:rsid w:val="00610BB3"/>
    <w:rsid w:val="00613713"/>
    <w:rsid w:val="006222FA"/>
    <w:rsid w:val="006224FB"/>
    <w:rsid w:val="00623BB8"/>
    <w:rsid w:val="0063115F"/>
    <w:rsid w:val="00632159"/>
    <w:rsid w:val="00635995"/>
    <w:rsid w:val="006363DA"/>
    <w:rsid w:val="006432C0"/>
    <w:rsid w:val="006456EA"/>
    <w:rsid w:val="00653983"/>
    <w:rsid w:val="00654CEA"/>
    <w:rsid w:val="006609C2"/>
    <w:rsid w:val="00663D75"/>
    <w:rsid w:val="0066478F"/>
    <w:rsid w:val="00675E89"/>
    <w:rsid w:val="00682849"/>
    <w:rsid w:val="00690558"/>
    <w:rsid w:val="00695F46"/>
    <w:rsid w:val="006969F1"/>
    <w:rsid w:val="006A3C35"/>
    <w:rsid w:val="006A6D11"/>
    <w:rsid w:val="006B2259"/>
    <w:rsid w:val="006B3ECE"/>
    <w:rsid w:val="006C5754"/>
    <w:rsid w:val="006D03D9"/>
    <w:rsid w:val="006D6526"/>
    <w:rsid w:val="006E06BE"/>
    <w:rsid w:val="006E1DD0"/>
    <w:rsid w:val="006E674D"/>
    <w:rsid w:val="006E6770"/>
    <w:rsid w:val="006F154A"/>
    <w:rsid w:val="00701992"/>
    <w:rsid w:val="0070363C"/>
    <w:rsid w:val="0070445B"/>
    <w:rsid w:val="00712023"/>
    <w:rsid w:val="00713F4F"/>
    <w:rsid w:val="007144E9"/>
    <w:rsid w:val="007145C9"/>
    <w:rsid w:val="00714A1F"/>
    <w:rsid w:val="00717328"/>
    <w:rsid w:val="0072073D"/>
    <w:rsid w:val="007266BC"/>
    <w:rsid w:val="00734725"/>
    <w:rsid w:val="00742C04"/>
    <w:rsid w:val="0074571D"/>
    <w:rsid w:val="00750962"/>
    <w:rsid w:val="00750A05"/>
    <w:rsid w:val="00752C05"/>
    <w:rsid w:val="00767018"/>
    <w:rsid w:val="0077139B"/>
    <w:rsid w:val="0077196D"/>
    <w:rsid w:val="00771C92"/>
    <w:rsid w:val="0078119F"/>
    <w:rsid w:val="00795586"/>
    <w:rsid w:val="00797DA3"/>
    <w:rsid w:val="007A17C3"/>
    <w:rsid w:val="007A4844"/>
    <w:rsid w:val="007A4BE6"/>
    <w:rsid w:val="007A6817"/>
    <w:rsid w:val="007B1DFE"/>
    <w:rsid w:val="007B33CE"/>
    <w:rsid w:val="007B7B81"/>
    <w:rsid w:val="007C1429"/>
    <w:rsid w:val="007C1D56"/>
    <w:rsid w:val="007C5441"/>
    <w:rsid w:val="007C6ABB"/>
    <w:rsid w:val="007D1495"/>
    <w:rsid w:val="007D5A52"/>
    <w:rsid w:val="007D5CA1"/>
    <w:rsid w:val="007D75C8"/>
    <w:rsid w:val="007D7673"/>
    <w:rsid w:val="007E0EDC"/>
    <w:rsid w:val="007E2C66"/>
    <w:rsid w:val="007F1021"/>
    <w:rsid w:val="007F12A3"/>
    <w:rsid w:val="007F1BD3"/>
    <w:rsid w:val="007F2270"/>
    <w:rsid w:val="007F2DBB"/>
    <w:rsid w:val="007F7E7C"/>
    <w:rsid w:val="00801A08"/>
    <w:rsid w:val="00806C63"/>
    <w:rsid w:val="0081166B"/>
    <w:rsid w:val="00816613"/>
    <w:rsid w:val="00821A81"/>
    <w:rsid w:val="00825F63"/>
    <w:rsid w:val="008322D8"/>
    <w:rsid w:val="00837E5B"/>
    <w:rsid w:val="008472D3"/>
    <w:rsid w:val="008472F9"/>
    <w:rsid w:val="00851067"/>
    <w:rsid w:val="00851402"/>
    <w:rsid w:val="0085416C"/>
    <w:rsid w:val="00855329"/>
    <w:rsid w:val="00856A7C"/>
    <w:rsid w:val="0086041F"/>
    <w:rsid w:val="008627C2"/>
    <w:rsid w:val="008739E7"/>
    <w:rsid w:val="00874645"/>
    <w:rsid w:val="008814E3"/>
    <w:rsid w:val="00881685"/>
    <w:rsid w:val="008844D9"/>
    <w:rsid w:val="00890D2E"/>
    <w:rsid w:val="00891C3A"/>
    <w:rsid w:val="00895E64"/>
    <w:rsid w:val="008A3638"/>
    <w:rsid w:val="008A3A3B"/>
    <w:rsid w:val="008A7188"/>
    <w:rsid w:val="008B1BA3"/>
    <w:rsid w:val="008B68F7"/>
    <w:rsid w:val="008C276D"/>
    <w:rsid w:val="008D72C3"/>
    <w:rsid w:val="008D799D"/>
    <w:rsid w:val="008E0A69"/>
    <w:rsid w:val="008F2058"/>
    <w:rsid w:val="008F3731"/>
    <w:rsid w:val="009020E3"/>
    <w:rsid w:val="00903C74"/>
    <w:rsid w:val="00904B69"/>
    <w:rsid w:val="009064CE"/>
    <w:rsid w:val="0090663A"/>
    <w:rsid w:val="00910AD1"/>
    <w:rsid w:val="00910B65"/>
    <w:rsid w:val="00912233"/>
    <w:rsid w:val="00914021"/>
    <w:rsid w:val="00917410"/>
    <w:rsid w:val="00921012"/>
    <w:rsid w:val="00921FB1"/>
    <w:rsid w:val="0092334A"/>
    <w:rsid w:val="009264D0"/>
    <w:rsid w:val="0093360A"/>
    <w:rsid w:val="00935423"/>
    <w:rsid w:val="009358D3"/>
    <w:rsid w:val="0093738F"/>
    <w:rsid w:val="00955433"/>
    <w:rsid w:val="00955764"/>
    <w:rsid w:val="00955E22"/>
    <w:rsid w:val="00957A6F"/>
    <w:rsid w:val="0096086D"/>
    <w:rsid w:val="009649C2"/>
    <w:rsid w:val="00965DEB"/>
    <w:rsid w:val="00966A04"/>
    <w:rsid w:val="009738DE"/>
    <w:rsid w:val="00980BEB"/>
    <w:rsid w:val="00980D94"/>
    <w:rsid w:val="00982F7B"/>
    <w:rsid w:val="009843D4"/>
    <w:rsid w:val="00986361"/>
    <w:rsid w:val="009867A7"/>
    <w:rsid w:val="0099076D"/>
    <w:rsid w:val="00991B64"/>
    <w:rsid w:val="00995A75"/>
    <w:rsid w:val="0099690F"/>
    <w:rsid w:val="00996D38"/>
    <w:rsid w:val="00997F89"/>
    <w:rsid w:val="009A10C6"/>
    <w:rsid w:val="009A2FAA"/>
    <w:rsid w:val="009A3057"/>
    <w:rsid w:val="009A4503"/>
    <w:rsid w:val="009B008F"/>
    <w:rsid w:val="009C2D11"/>
    <w:rsid w:val="009C3FDE"/>
    <w:rsid w:val="009C4CE9"/>
    <w:rsid w:val="009C5D27"/>
    <w:rsid w:val="009C7CBD"/>
    <w:rsid w:val="009E17B9"/>
    <w:rsid w:val="009F28F5"/>
    <w:rsid w:val="009F5763"/>
    <w:rsid w:val="00A06310"/>
    <w:rsid w:val="00A07846"/>
    <w:rsid w:val="00A17CA6"/>
    <w:rsid w:val="00A21C6E"/>
    <w:rsid w:val="00A22C2C"/>
    <w:rsid w:val="00A22FBF"/>
    <w:rsid w:val="00A2670C"/>
    <w:rsid w:val="00A3040C"/>
    <w:rsid w:val="00A346EF"/>
    <w:rsid w:val="00A53E9E"/>
    <w:rsid w:val="00A54087"/>
    <w:rsid w:val="00A57024"/>
    <w:rsid w:val="00A601A1"/>
    <w:rsid w:val="00A61757"/>
    <w:rsid w:val="00A61BCF"/>
    <w:rsid w:val="00A62442"/>
    <w:rsid w:val="00A62B1C"/>
    <w:rsid w:val="00A63939"/>
    <w:rsid w:val="00A64E84"/>
    <w:rsid w:val="00A65690"/>
    <w:rsid w:val="00A65FB0"/>
    <w:rsid w:val="00A66A23"/>
    <w:rsid w:val="00A743C6"/>
    <w:rsid w:val="00A8148C"/>
    <w:rsid w:val="00A831E7"/>
    <w:rsid w:val="00A8377D"/>
    <w:rsid w:val="00A85640"/>
    <w:rsid w:val="00A86AFC"/>
    <w:rsid w:val="00A91DC1"/>
    <w:rsid w:val="00A93031"/>
    <w:rsid w:val="00A9412B"/>
    <w:rsid w:val="00A94903"/>
    <w:rsid w:val="00AB536E"/>
    <w:rsid w:val="00AB69AD"/>
    <w:rsid w:val="00AB747E"/>
    <w:rsid w:val="00AC31F4"/>
    <w:rsid w:val="00AC6B15"/>
    <w:rsid w:val="00AD2569"/>
    <w:rsid w:val="00AD4124"/>
    <w:rsid w:val="00AD7DB5"/>
    <w:rsid w:val="00AE0761"/>
    <w:rsid w:val="00AE07A3"/>
    <w:rsid w:val="00AE0E7B"/>
    <w:rsid w:val="00AE2412"/>
    <w:rsid w:val="00AE318F"/>
    <w:rsid w:val="00AF0066"/>
    <w:rsid w:val="00AF00B8"/>
    <w:rsid w:val="00AF237D"/>
    <w:rsid w:val="00AF27B7"/>
    <w:rsid w:val="00AF63B5"/>
    <w:rsid w:val="00B005BD"/>
    <w:rsid w:val="00B03444"/>
    <w:rsid w:val="00B04F23"/>
    <w:rsid w:val="00B05185"/>
    <w:rsid w:val="00B062A5"/>
    <w:rsid w:val="00B068E7"/>
    <w:rsid w:val="00B14C16"/>
    <w:rsid w:val="00B14E68"/>
    <w:rsid w:val="00B23669"/>
    <w:rsid w:val="00B24860"/>
    <w:rsid w:val="00B33789"/>
    <w:rsid w:val="00B434EA"/>
    <w:rsid w:val="00B46BC1"/>
    <w:rsid w:val="00B56AFB"/>
    <w:rsid w:val="00B576A5"/>
    <w:rsid w:val="00B62A24"/>
    <w:rsid w:val="00B73459"/>
    <w:rsid w:val="00B775BE"/>
    <w:rsid w:val="00B862DB"/>
    <w:rsid w:val="00B9042E"/>
    <w:rsid w:val="00B922EE"/>
    <w:rsid w:val="00B9596E"/>
    <w:rsid w:val="00B9713B"/>
    <w:rsid w:val="00BA2FA0"/>
    <w:rsid w:val="00BA3D8E"/>
    <w:rsid w:val="00BA40B4"/>
    <w:rsid w:val="00BA49EB"/>
    <w:rsid w:val="00BB0F85"/>
    <w:rsid w:val="00BC0132"/>
    <w:rsid w:val="00BC0598"/>
    <w:rsid w:val="00BC3993"/>
    <w:rsid w:val="00BC6B47"/>
    <w:rsid w:val="00BC7A4D"/>
    <w:rsid w:val="00BD0526"/>
    <w:rsid w:val="00BD2784"/>
    <w:rsid w:val="00BD46B2"/>
    <w:rsid w:val="00BE21ED"/>
    <w:rsid w:val="00BE3DBC"/>
    <w:rsid w:val="00BE4710"/>
    <w:rsid w:val="00BF11C6"/>
    <w:rsid w:val="00C11004"/>
    <w:rsid w:val="00C111FE"/>
    <w:rsid w:val="00C1497F"/>
    <w:rsid w:val="00C20B9C"/>
    <w:rsid w:val="00C21E75"/>
    <w:rsid w:val="00C2509E"/>
    <w:rsid w:val="00C2778C"/>
    <w:rsid w:val="00C27F6A"/>
    <w:rsid w:val="00C3159C"/>
    <w:rsid w:val="00C35841"/>
    <w:rsid w:val="00C409C6"/>
    <w:rsid w:val="00C41C74"/>
    <w:rsid w:val="00C4260E"/>
    <w:rsid w:val="00C43C76"/>
    <w:rsid w:val="00C47B63"/>
    <w:rsid w:val="00C47F8B"/>
    <w:rsid w:val="00C50567"/>
    <w:rsid w:val="00C742DD"/>
    <w:rsid w:val="00C76943"/>
    <w:rsid w:val="00C81564"/>
    <w:rsid w:val="00C846F6"/>
    <w:rsid w:val="00C871C5"/>
    <w:rsid w:val="00C94B4E"/>
    <w:rsid w:val="00C96048"/>
    <w:rsid w:val="00C96214"/>
    <w:rsid w:val="00C9797F"/>
    <w:rsid w:val="00CA1FB9"/>
    <w:rsid w:val="00CA73C1"/>
    <w:rsid w:val="00CA79D7"/>
    <w:rsid w:val="00CB7BE6"/>
    <w:rsid w:val="00CC0E23"/>
    <w:rsid w:val="00CC2433"/>
    <w:rsid w:val="00CC40B9"/>
    <w:rsid w:val="00CD7E39"/>
    <w:rsid w:val="00CE2EFB"/>
    <w:rsid w:val="00CE5A10"/>
    <w:rsid w:val="00CF2D6E"/>
    <w:rsid w:val="00D02FD8"/>
    <w:rsid w:val="00D10832"/>
    <w:rsid w:val="00D11A3A"/>
    <w:rsid w:val="00D3104C"/>
    <w:rsid w:val="00D42152"/>
    <w:rsid w:val="00D43D89"/>
    <w:rsid w:val="00D50FDD"/>
    <w:rsid w:val="00D513E4"/>
    <w:rsid w:val="00D53B8E"/>
    <w:rsid w:val="00D56A51"/>
    <w:rsid w:val="00D602AC"/>
    <w:rsid w:val="00D70824"/>
    <w:rsid w:val="00D72472"/>
    <w:rsid w:val="00D760A9"/>
    <w:rsid w:val="00D760CF"/>
    <w:rsid w:val="00D925B8"/>
    <w:rsid w:val="00D93233"/>
    <w:rsid w:val="00D949D0"/>
    <w:rsid w:val="00DA3B66"/>
    <w:rsid w:val="00DA4453"/>
    <w:rsid w:val="00DA4D95"/>
    <w:rsid w:val="00DA6836"/>
    <w:rsid w:val="00DA733A"/>
    <w:rsid w:val="00DB2417"/>
    <w:rsid w:val="00DC05A3"/>
    <w:rsid w:val="00DC6A0C"/>
    <w:rsid w:val="00DE49B7"/>
    <w:rsid w:val="00DF67A8"/>
    <w:rsid w:val="00E03DB3"/>
    <w:rsid w:val="00E04EB8"/>
    <w:rsid w:val="00E06757"/>
    <w:rsid w:val="00E1280F"/>
    <w:rsid w:val="00E178A3"/>
    <w:rsid w:val="00E17B2C"/>
    <w:rsid w:val="00E20875"/>
    <w:rsid w:val="00E26EA1"/>
    <w:rsid w:val="00E27DEF"/>
    <w:rsid w:val="00E30081"/>
    <w:rsid w:val="00E30394"/>
    <w:rsid w:val="00E32743"/>
    <w:rsid w:val="00E342C7"/>
    <w:rsid w:val="00E354F6"/>
    <w:rsid w:val="00E356BD"/>
    <w:rsid w:val="00E412D0"/>
    <w:rsid w:val="00E4317C"/>
    <w:rsid w:val="00E53D4C"/>
    <w:rsid w:val="00E5677B"/>
    <w:rsid w:val="00E609ED"/>
    <w:rsid w:val="00E63703"/>
    <w:rsid w:val="00E64DDC"/>
    <w:rsid w:val="00E704C6"/>
    <w:rsid w:val="00E7624C"/>
    <w:rsid w:val="00E77545"/>
    <w:rsid w:val="00E775AC"/>
    <w:rsid w:val="00E77A47"/>
    <w:rsid w:val="00E77B98"/>
    <w:rsid w:val="00E822DD"/>
    <w:rsid w:val="00E8471E"/>
    <w:rsid w:val="00E85914"/>
    <w:rsid w:val="00E91E8C"/>
    <w:rsid w:val="00E942DA"/>
    <w:rsid w:val="00E94EF3"/>
    <w:rsid w:val="00E959E9"/>
    <w:rsid w:val="00E95E00"/>
    <w:rsid w:val="00E97167"/>
    <w:rsid w:val="00EB1611"/>
    <w:rsid w:val="00EB468A"/>
    <w:rsid w:val="00EB4B3E"/>
    <w:rsid w:val="00EC01E6"/>
    <w:rsid w:val="00EC3DC1"/>
    <w:rsid w:val="00EC4845"/>
    <w:rsid w:val="00EC6CC2"/>
    <w:rsid w:val="00ED1C27"/>
    <w:rsid w:val="00ED3D73"/>
    <w:rsid w:val="00ED3FA6"/>
    <w:rsid w:val="00ED5CDF"/>
    <w:rsid w:val="00ED6DCA"/>
    <w:rsid w:val="00EF0944"/>
    <w:rsid w:val="00EF7BE7"/>
    <w:rsid w:val="00F020D9"/>
    <w:rsid w:val="00F05141"/>
    <w:rsid w:val="00F054F6"/>
    <w:rsid w:val="00F07267"/>
    <w:rsid w:val="00F12945"/>
    <w:rsid w:val="00F159E2"/>
    <w:rsid w:val="00F167CB"/>
    <w:rsid w:val="00F16AA1"/>
    <w:rsid w:val="00F2164E"/>
    <w:rsid w:val="00F22F9A"/>
    <w:rsid w:val="00F240EB"/>
    <w:rsid w:val="00F315FE"/>
    <w:rsid w:val="00F31FE6"/>
    <w:rsid w:val="00F32290"/>
    <w:rsid w:val="00F33A67"/>
    <w:rsid w:val="00F40B12"/>
    <w:rsid w:val="00F44A19"/>
    <w:rsid w:val="00F45BB8"/>
    <w:rsid w:val="00F4739C"/>
    <w:rsid w:val="00F53F80"/>
    <w:rsid w:val="00F5697E"/>
    <w:rsid w:val="00F57625"/>
    <w:rsid w:val="00F6024C"/>
    <w:rsid w:val="00F62BA1"/>
    <w:rsid w:val="00F673A2"/>
    <w:rsid w:val="00F67B89"/>
    <w:rsid w:val="00F71A10"/>
    <w:rsid w:val="00F72A3E"/>
    <w:rsid w:val="00F74B67"/>
    <w:rsid w:val="00F7577B"/>
    <w:rsid w:val="00F8348D"/>
    <w:rsid w:val="00F8412D"/>
    <w:rsid w:val="00F91726"/>
    <w:rsid w:val="00F93E3D"/>
    <w:rsid w:val="00FA4283"/>
    <w:rsid w:val="00FB2FAC"/>
    <w:rsid w:val="00FB3B53"/>
    <w:rsid w:val="00FB551B"/>
    <w:rsid w:val="00FC2947"/>
    <w:rsid w:val="00FC69D9"/>
    <w:rsid w:val="00FD28C1"/>
    <w:rsid w:val="00FD7412"/>
    <w:rsid w:val="00FE6F42"/>
    <w:rsid w:val="00FE7EF3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465A6E"/>
    <w:pPr>
      <w:ind w:left="720"/>
      <w:contextualSpacing/>
    </w:pPr>
  </w:style>
  <w:style w:type="paragraph" w:styleId="berarbeitung">
    <w:name w:val="Revision"/>
    <w:hidden/>
    <w:uiPriority w:val="99"/>
    <w:semiHidden/>
    <w:rsid w:val="00910AD1"/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771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4</cp:revision>
  <cp:lastPrinted>2022-03-30T15:12:00Z</cp:lastPrinted>
  <dcterms:created xsi:type="dcterms:W3CDTF">2025-07-02T13:21:00Z</dcterms:created>
  <dcterms:modified xsi:type="dcterms:W3CDTF">2025-07-02T13:22:00Z</dcterms:modified>
</cp:coreProperties>
</file>