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4C642" w14:textId="1B26DE57" w:rsidR="00A1239B" w:rsidRDefault="00A1239B" w:rsidP="00683AB9">
      <w:pPr>
        <w:rPr>
          <w:rFonts w:ascii="Avenir Next" w:hAnsi="Avenir Next"/>
        </w:rPr>
      </w:pPr>
      <w:r>
        <w:rPr>
          <w:rFonts w:ascii="Avenir Next" w:hAnsi="Avenir Next"/>
          <w:noProof/>
        </w:rPr>
        <w:drawing>
          <wp:inline distT="0" distB="0" distL="0" distR="0" wp14:anchorId="3D2C6840" wp14:editId="08169438">
            <wp:extent cx="2580968" cy="457200"/>
            <wp:effectExtent l="0" t="0" r="0" b="0"/>
            <wp:docPr id="14800837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3728" name="Grafik 1480083728"/>
                    <pic:cNvPicPr/>
                  </pic:nvPicPr>
                  <pic:blipFill>
                    <a:blip r:embed="rId5">
                      <a:extLst>
                        <a:ext uri="{28A0092B-C50C-407E-A947-70E740481C1C}">
                          <a14:useLocalDpi xmlns:a14="http://schemas.microsoft.com/office/drawing/2010/main" val="0"/>
                        </a:ext>
                      </a:extLst>
                    </a:blip>
                    <a:stretch>
                      <a:fillRect/>
                    </a:stretch>
                  </pic:blipFill>
                  <pic:spPr>
                    <a:xfrm>
                      <a:off x="0" y="0"/>
                      <a:ext cx="2686461" cy="475887"/>
                    </a:xfrm>
                    <a:prstGeom prst="rect">
                      <a:avLst/>
                    </a:prstGeom>
                  </pic:spPr>
                </pic:pic>
              </a:graphicData>
            </a:graphic>
          </wp:inline>
        </w:drawing>
      </w:r>
    </w:p>
    <w:p w14:paraId="116EA829" w14:textId="77777777" w:rsidR="00A1239B" w:rsidRDefault="00A1239B" w:rsidP="00683AB9">
      <w:pPr>
        <w:rPr>
          <w:rFonts w:ascii="Avenir Next" w:hAnsi="Avenir Next"/>
        </w:rPr>
      </w:pPr>
    </w:p>
    <w:p w14:paraId="2EE6FD32" w14:textId="3140CC86" w:rsidR="00A1239B" w:rsidRDefault="00A1239B" w:rsidP="00683AB9">
      <w:pPr>
        <w:rPr>
          <w:rFonts w:ascii="Avenir Next" w:hAnsi="Avenir Next"/>
        </w:rPr>
      </w:pP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t xml:space="preserve">Seltz, </w:t>
      </w:r>
      <w:r w:rsidR="00BD0715">
        <w:rPr>
          <w:rFonts w:ascii="Avenir Next" w:hAnsi="Avenir Next"/>
        </w:rPr>
        <w:t>22</w:t>
      </w:r>
      <w:r>
        <w:rPr>
          <w:rFonts w:ascii="Avenir Next" w:hAnsi="Avenir Next"/>
        </w:rPr>
        <w:t>. August 2024</w:t>
      </w:r>
    </w:p>
    <w:p w14:paraId="55442FAF" w14:textId="77777777" w:rsidR="00A1239B" w:rsidRDefault="00A1239B" w:rsidP="00683AB9">
      <w:pPr>
        <w:rPr>
          <w:rFonts w:ascii="Avenir Next" w:hAnsi="Avenir Next"/>
        </w:rPr>
      </w:pPr>
    </w:p>
    <w:p w14:paraId="21594B4B" w14:textId="77777777" w:rsidR="00A1239B" w:rsidRDefault="00A1239B" w:rsidP="00683AB9">
      <w:pPr>
        <w:rPr>
          <w:rFonts w:ascii="Avenir Next" w:hAnsi="Avenir Next"/>
        </w:rPr>
      </w:pPr>
    </w:p>
    <w:p w14:paraId="7A6B65F6" w14:textId="33E633AD" w:rsidR="00A1239B" w:rsidRDefault="00A1239B" w:rsidP="00683AB9">
      <w:pPr>
        <w:rPr>
          <w:rFonts w:ascii="Avenir Next" w:hAnsi="Avenir Next"/>
        </w:rPr>
      </w:pPr>
      <w:r>
        <w:rPr>
          <w:rFonts w:ascii="Avenir Next" w:hAnsi="Avenir Next"/>
        </w:rPr>
        <w:t>Pressemitteilung</w:t>
      </w:r>
    </w:p>
    <w:p w14:paraId="23874485" w14:textId="77777777" w:rsidR="00A1239B" w:rsidRDefault="00A1239B" w:rsidP="00683AB9">
      <w:pPr>
        <w:rPr>
          <w:rFonts w:ascii="Avenir Next" w:hAnsi="Avenir Next"/>
        </w:rPr>
      </w:pPr>
    </w:p>
    <w:p w14:paraId="4517888F" w14:textId="05337E77" w:rsidR="00683AB9" w:rsidRPr="00A1239B" w:rsidRDefault="00683AB9" w:rsidP="00683AB9">
      <w:pPr>
        <w:rPr>
          <w:rFonts w:ascii="Avenir Next" w:hAnsi="Avenir Next"/>
          <w:u w:val="single"/>
        </w:rPr>
      </w:pPr>
      <w:r w:rsidRPr="00A1239B">
        <w:rPr>
          <w:rFonts w:ascii="Avenir Next" w:hAnsi="Avenir Next"/>
          <w:u w:val="single"/>
        </w:rPr>
        <w:t>Inter Link auf der M.O.W.</w:t>
      </w:r>
    </w:p>
    <w:p w14:paraId="32DEA8AC" w14:textId="77777777" w:rsidR="00683AB9" w:rsidRPr="0070774E" w:rsidRDefault="00683AB9" w:rsidP="00683AB9">
      <w:pPr>
        <w:rPr>
          <w:rFonts w:ascii="Avenir Next" w:hAnsi="Avenir Next"/>
        </w:rPr>
      </w:pPr>
    </w:p>
    <w:p w14:paraId="0AA2BF62" w14:textId="22F99658" w:rsidR="001B11A9" w:rsidRPr="00E67336" w:rsidRDefault="00683AB9" w:rsidP="00683AB9">
      <w:pPr>
        <w:rPr>
          <w:rFonts w:ascii="Avenir Next" w:hAnsi="Avenir Next"/>
          <w:b/>
          <w:bCs/>
          <w:sz w:val="40"/>
          <w:szCs w:val="40"/>
        </w:rPr>
      </w:pPr>
      <w:r w:rsidRPr="00E67336">
        <w:rPr>
          <w:rFonts w:ascii="Avenir Next" w:hAnsi="Avenir Next"/>
          <w:b/>
          <w:bCs/>
          <w:sz w:val="40"/>
          <w:szCs w:val="40"/>
        </w:rPr>
        <w:t>300 neue Möbel auf 1.000 Quadratmetern Ausstellungsfläche</w:t>
      </w:r>
    </w:p>
    <w:p w14:paraId="7008B748" w14:textId="77777777" w:rsidR="00683AB9" w:rsidRPr="0070774E" w:rsidRDefault="00683AB9">
      <w:pPr>
        <w:rPr>
          <w:rFonts w:ascii="Avenir Next" w:hAnsi="Avenir Next"/>
        </w:rPr>
      </w:pPr>
    </w:p>
    <w:p w14:paraId="4C91A570" w14:textId="32E5D385" w:rsidR="00A1239B" w:rsidRDefault="00BD0715">
      <w:pPr>
        <w:rPr>
          <w:rFonts w:ascii="Avenir Next" w:hAnsi="Avenir Next"/>
          <w:b/>
          <w:bCs/>
        </w:rPr>
      </w:pPr>
      <w:r w:rsidRPr="00BD0715">
        <w:rPr>
          <w:rFonts w:ascii="Avenir Next" w:hAnsi="Avenir Next"/>
          <w:b/>
          <w:bCs/>
        </w:rPr>
        <w:t>Zum 40-jährigen Jubiläum der M.O.W. vom 22. bis 26. September 2024 geht Inter Link in die Vollen – quantitativ und qualitativ. Da die Ausstellungsfläche für die Präsentation der 300 neuen Möbel nicht ausreicht, belegt der Spezialist für Massivholzmöbel weitere 100 Quadratmeter. Mit gleich drei komplett inszenierten Ständen – 6, 7 und 13 (neu) – ist Inter Link auf insgesamt 1.000 Quadratmetern Ausstellungsfläche das Zugpferd in Halle 12.</w:t>
      </w:r>
    </w:p>
    <w:p w14:paraId="2E789CE9" w14:textId="77777777" w:rsidR="00BD0715" w:rsidRPr="0070774E" w:rsidRDefault="00BD0715">
      <w:pPr>
        <w:rPr>
          <w:rFonts w:ascii="Avenir Next" w:hAnsi="Avenir Next"/>
        </w:rPr>
      </w:pPr>
    </w:p>
    <w:p w14:paraId="0BD2F94D" w14:textId="218CD31F" w:rsidR="00A1239B" w:rsidRDefault="00BD0715">
      <w:pPr>
        <w:rPr>
          <w:rFonts w:ascii="Avenir Next" w:hAnsi="Avenir Next"/>
        </w:rPr>
      </w:pPr>
      <w:r w:rsidRPr="00BD0715">
        <w:rPr>
          <w:rFonts w:ascii="Avenir Next" w:hAnsi="Avenir Next"/>
        </w:rPr>
        <w:t>Dabei werden die Möbel wie in einem Einrichtungshaus präsentiert – trendig, emotional und authentisch. „Mit diesem Auftritt wollen wir zeigen, dass Möbelhandel auch in schwierigen Zeiten Spaß machen kann. Damit nehmen wir unseren Handelspartnern Arbeit ab. Denn die Präsentationen, die sie bei uns am Stand sehen, können sie mit unserer Hilfe 1:1 am Point of Sale umsetzen. Deshalb lautet das Messe-Motto auch: Power your business with Inter Link“, erklärt Martin Link, Inhaber der Link Unternehmensgruppe.</w:t>
      </w:r>
    </w:p>
    <w:p w14:paraId="40EFDB0C" w14:textId="77777777" w:rsidR="00BD0715" w:rsidRPr="0070774E" w:rsidRDefault="00BD0715">
      <w:pPr>
        <w:rPr>
          <w:rFonts w:ascii="Avenir Next" w:hAnsi="Avenir Next"/>
        </w:rPr>
      </w:pPr>
    </w:p>
    <w:p w14:paraId="5BBE8BB3" w14:textId="77777777" w:rsidR="00BD0715" w:rsidRPr="00BD0715" w:rsidRDefault="00BD0715" w:rsidP="00BD0715">
      <w:pPr>
        <w:rPr>
          <w:rFonts w:ascii="Avenir Next" w:hAnsi="Avenir Next"/>
        </w:rPr>
      </w:pPr>
      <w:r w:rsidRPr="00BD0715">
        <w:rPr>
          <w:rFonts w:ascii="Avenir Next" w:hAnsi="Avenir Next"/>
        </w:rPr>
        <w:t>Inter Link hat sich inzwischen mit der eigenen Produktionsgesellschaft Inter Link do Brasil zu einem Kernlieferanten für den deutschen Möbelhandel entwickelt, und zwar in allen Warengruppen, also Wohnen, Speisen, Office, Kleinmöbel, Baby+Kids. Neben den angestammten Segmenten Junges Wohnen, Mitnahme und SB geht Inter Link seit drei Jahren auch den Weg in den konventionellen Bereich. Die Massivholzmöbel aus brasilianischer Produktion bieten den Handelspartnern viele attraktive Varianten für die Vermarktung. Dies gilt umso mehr, als seit August nun auch Möbel aus Weißrussland auf der Sanktionsliste stehen.</w:t>
      </w:r>
    </w:p>
    <w:p w14:paraId="38022B91" w14:textId="77777777" w:rsidR="00BD0715" w:rsidRPr="00BD0715" w:rsidRDefault="00BD0715" w:rsidP="00BD0715">
      <w:pPr>
        <w:rPr>
          <w:rFonts w:ascii="Avenir Next" w:hAnsi="Avenir Next"/>
        </w:rPr>
      </w:pPr>
    </w:p>
    <w:p w14:paraId="464E35D6" w14:textId="77777777" w:rsidR="00BD0715" w:rsidRPr="00BD0715" w:rsidRDefault="00BD0715" w:rsidP="00BD0715">
      <w:pPr>
        <w:rPr>
          <w:rFonts w:ascii="Avenir Next" w:hAnsi="Avenir Next"/>
        </w:rPr>
      </w:pPr>
      <w:r w:rsidRPr="00BD0715">
        <w:rPr>
          <w:rFonts w:ascii="Avenir Next" w:hAnsi="Avenir Next"/>
        </w:rPr>
        <w:t xml:space="preserve">Vom direkten Zugang zum brasilianischen Holzangebot profitiert Inter Link seit 2002 mit einer eigenen Produktion in São Bento do Sul, in der mehr als 110 Mitarbeitende beschäftigt sind. Die Stadt im Süden Brasiliens genießt in </w:t>
      </w:r>
      <w:r w:rsidRPr="00BD0715">
        <w:rPr>
          <w:rFonts w:ascii="Avenir Next" w:hAnsi="Avenir Next"/>
        </w:rPr>
        <w:lastRenderedPageBreak/>
        <w:t xml:space="preserve">Fachkreisen aufgrund ihrer Stellung in der holzverarbeitenden Industrie internationales Ansehen. </w:t>
      </w:r>
    </w:p>
    <w:p w14:paraId="41743C9E" w14:textId="77777777" w:rsidR="00BD0715" w:rsidRPr="00BD0715" w:rsidRDefault="00BD0715" w:rsidP="00BD0715">
      <w:pPr>
        <w:rPr>
          <w:rFonts w:ascii="Avenir Next" w:hAnsi="Avenir Next"/>
        </w:rPr>
      </w:pPr>
    </w:p>
    <w:p w14:paraId="23464621" w14:textId="77777777" w:rsidR="00BD0715" w:rsidRPr="00BD0715" w:rsidRDefault="00BD0715" w:rsidP="00BD0715">
      <w:pPr>
        <w:rPr>
          <w:rFonts w:ascii="Avenir Next" w:hAnsi="Avenir Next"/>
        </w:rPr>
      </w:pPr>
      <w:r w:rsidRPr="00BD0715">
        <w:rPr>
          <w:rFonts w:ascii="Avenir Next" w:hAnsi="Avenir Next"/>
        </w:rPr>
        <w:t>„Trotz aller politischen Turbulenzen ist Brasilien eine stabile Demokratie ohne Krieg, ohne Streiks, ohne große Krisen. Die Rohstoffbasis ist solide – vor allem Kiefernholz, Pinus Taeda, ist ausreichend vorhanden. Auch die Containerpreise aus Südamerika sind wieder gesunken“, beschreibt Martin Link die aktuelle Situation.</w:t>
      </w:r>
    </w:p>
    <w:p w14:paraId="59FD1376" w14:textId="77777777" w:rsidR="00BD0715" w:rsidRPr="00BD0715" w:rsidRDefault="00BD0715" w:rsidP="00BD0715">
      <w:pPr>
        <w:rPr>
          <w:rFonts w:ascii="Avenir Next" w:hAnsi="Avenir Next"/>
        </w:rPr>
      </w:pPr>
    </w:p>
    <w:p w14:paraId="5CE08DE7" w14:textId="77777777" w:rsidR="00BD0715" w:rsidRPr="00BD0715" w:rsidRDefault="00BD0715" w:rsidP="00BD0715">
      <w:pPr>
        <w:rPr>
          <w:rFonts w:ascii="Avenir Next" w:hAnsi="Avenir Next"/>
        </w:rPr>
      </w:pPr>
      <w:r w:rsidRPr="00BD0715">
        <w:rPr>
          <w:rFonts w:ascii="Avenir Next" w:hAnsi="Avenir Next"/>
        </w:rPr>
        <w:t>Viele Produkte aus dem Werk Inter Link do Brasil sind zudem mit den Gütesiegeln „GS TÜV“, „TÜV Rheinland“ und „LGA geprüft“ ausgezeichnet. Da die Möbel am Firmensitz an der deutsch-französischen Grenze gelagert werden, sind die Lieferzeiten an die Lager der Handelspartner oder per Dropshipping an die Endkunden extrem kurz.</w:t>
      </w:r>
    </w:p>
    <w:p w14:paraId="2DB0B04F" w14:textId="77777777" w:rsidR="00BD0715" w:rsidRPr="00BD0715" w:rsidRDefault="00BD0715" w:rsidP="00BD0715">
      <w:pPr>
        <w:rPr>
          <w:rFonts w:ascii="Avenir Next" w:hAnsi="Avenir Next"/>
        </w:rPr>
      </w:pPr>
    </w:p>
    <w:p w14:paraId="7DD041B1" w14:textId="6E6894EC" w:rsidR="00E67336" w:rsidRDefault="00BD0715" w:rsidP="00BD0715">
      <w:pPr>
        <w:rPr>
          <w:rFonts w:ascii="Avenir Next" w:hAnsi="Avenir Next"/>
        </w:rPr>
      </w:pPr>
      <w:r w:rsidRPr="00BD0715">
        <w:rPr>
          <w:rFonts w:ascii="Avenir Next" w:hAnsi="Avenir Next"/>
        </w:rPr>
        <w:t>„Unsere Handelspartner sollten sich auf jeden Fall viel Zeit nehmen, denn mit dem diesjährigen Jubiläumsangebot können sie ihr Sortiment grundlegend aufstocken und strukturieren“, freut sich Stefan Frisch, Vertriebsleiter bei Inter Link, auf regen Betrieb während der Messetage.</w:t>
      </w:r>
    </w:p>
    <w:p w14:paraId="4B78FEB2" w14:textId="77777777" w:rsidR="00705F80" w:rsidRDefault="00705F80" w:rsidP="00683AB9">
      <w:pPr>
        <w:rPr>
          <w:rFonts w:ascii="Avenir Next" w:hAnsi="Avenir Next"/>
        </w:rPr>
      </w:pPr>
    </w:p>
    <w:p w14:paraId="72B1A62C" w14:textId="77EA5DF3" w:rsidR="00E67336" w:rsidRPr="00E67336" w:rsidRDefault="00E67336" w:rsidP="00E67336">
      <w:pPr>
        <w:rPr>
          <w:rFonts w:ascii="Avenir Next" w:hAnsi="Avenir Next"/>
          <w:b/>
          <w:bCs/>
        </w:rPr>
      </w:pPr>
      <w:r w:rsidRPr="00E67336">
        <w:rPr>
          <w:rFonts w:ascii="Avenir Next" w:hAnsi="Avenir Next"/>
          <w:b/>
          <w:bCs/>
        </w:rPr>
        <w:t>Inter Link</w:t>
      </w:r>
      <w:r>
        <w:rPr>
          <w:rFonts w:ascii="Avenir Next" w:hAnsi="Avenir Next"/>
          <w:b/>
          <w:bCs/>
        </w:rPr>
        <w:t xml:space="preserve"> @ M.O.W.</w:t>
      </w:r>
    </w:p>
    <w:p w14:paraId="5C926C9C" w14:textId="547E8990" w:rsidR="00E67336" w:rsidRDefault="00E67336" w:rsidP="00683AB9">
      <w:pPr>
        <w:rPr>
          <w:rFonts w:ascii="Avenir Next" w:hAnsi="Avenir Next"/>
        </w:rPr>
      </w:pPr>
      <w:r w:rsidRPr="00E67336">
        <w:rPr>
          <w:rFonts w:ascii="Avenir Next" w:hAnsi="Avenir Next"/>
        </w:rPr>
        <w:t>Halle 12 | Stand 6+7+13</w:t>
      </w:r>
    </w:p>
    <w:p w14:paraId="705DA615" w14:textId="77777777" w:rsidR="00705F80" w:rsidRDefault="00705F80" w:rsidP="00E67336">
      <w:pPr>
        <w:rPr>
          <w:rFonts w:ascii="Avenir Next" w:hAnsi="Avenir Next"/>
          <w:b/>
          <w:bCs/>
        </w:rPr>
      </w:pPr>
    </w:p>
    <w:p w14:paraId="310F1491" w14:textId="53B95B41" w:rsidR="00E67336" w:rsidRPr="00E67336" w:rsidRDefault="00E67336" w:rsidP="00E67336">
      <w:pPr>
        <w:rPr>
          <w:rFonts w:ascii="Avenir Next" w:hAnsi="Avenir Next"/>
          <w:b/>
          <w:bCs/>
        </w:rPr>
      </w:pPr>
      <w:r w:rsidRPr="00E67336">
        <w:rPr>
          <w:rFonts w:ascii="Avenir Next" w:hAnsi="Avenir Next"/>
          <w:b/>
          <w:bCs/>
        </w:rPr>
        <w:t>Warengruppe</w:t>
      </w:r>
      <w:r w:rsidR="00705F80">
        <w:rPr>
          <w:rFonts w:ascii="Avenir Next" w:hAnsi="Avenir Next"/>
          <w:b/>
          <w:bCs/>
        </w:rPr>
        <w:t>n</w:t>
      </w:r>
      <w:r w:rsidRPr="00E67336">
        <w:rPr>
          <w:rFonts w:ascii="Avenir Next" w:hAnsi="Avenir Next"/>
          <w:b/>
          <w:bCs/>
        </w:rPr>
        <w:t>:</w:t>
      </w:r>
    </w:p>
    <w:p w14:paraId="2A94C0FD" w14:textId="77777777" w:rsidR="00E67336" w:rsidRPr="00E67336" w:rsidRDefault="00E67336" w:rsidP="00E67336">
      <w:pPr>
        <w:numPr>
          <w:ilvl w:val="0"/>
          <w:numId w:val="1"/>
        </w:numPr>
        <w:rPr>
          <w:rFonts w:ascii="Avenir Next" w:hAnsi="Avenir Next"/>
        </w:rPr>
      </w:pPr>
      <w:r w:rsidRPr="00E67336">
        <w:rPr>
          <w:rFonts w:ascii="Avenir Next" w:hAnsi="Avenir Next"/>
        </w:rPr>
        <w:t>Schlafen</w:t>
      </w:r>
    </w:p>
    <w:p w14:paraId="27BC7A3C" w14:textId="77777777" w:rsidR="00E67336" w:rsidRPr="00E67336" w:rsidRDefault="00E67336" w:rsidP="00E67336">
      <w:pPr>
        <w:numPr>
          <w:ilvl w:val="0"/>
          <w:numId w:val="1"/>
        </w:numPr>
        <w:rPr>
          <w:rFonts w:ascii="Avenir Next" w:hAnsi="Avenir Next"/>
        </w:rPr>
      </w:pPr>
      <w:r w:rsidRPr="00E67336">
        <w:rPr>
          <w:rFonts w:ascii="Avenir Next" w:hAnsi="Avenir Next"/>
        </w:rPr>
        <w:t>Speisen</w:t>
      </w:r>
    </w:p>
    <w:p w14:paraId="04AA1EDA" w14:textId="77777777" w:rsidR="00E67336" w:rsidRPr="00E67336" w:rsidRDefault="00E67336" w:rsidP="00E67336">
      <w:pPr>
        <w:numPr>
          <w:ilvl w:val="0"/>
          <w:numId w:val="1"/>
        </w:numPr>
        <w:rPr>
          <w:rFonts w:ascii="Avenir Next" w:hAnsi="Avenir Next"/>
        </w:rPr>
      </w:pPr>
      <w:r w:rsidRPr="00E67336">
        <w:rPr>
          <w:rFonts w:ascii="Avenir Next" w:hAnsi="Avenir Next"/>
        </w:rPr>
        <w:t>Wohnen</w:t>
      </w:r>
    </w:p>
    <w:p w14:paraId="0D6E3683" w14:textId="77777777" w:rsidR="00E67336" w:rsidRPr="00E67336" w:rsidRDefault="00E67336" w:rsidP="00E67336">
      <w:pPr>
        <w:numPr>
          <w:ilvl w:val="0"/>
          <w:numId w:val="1"/>
        </w:numPr>
        <w:rPr>
          <w:rFonts w:ascii="Avenir Next" w:hAnsi="Avenir Next"/>
        </w:rPr>
      </w:pPr>
      <w:r w:rsidRPr="00E67336">
        <w:rPr>
          <w:rFonts w:ascii="Avenir Next" w:hAnsi="Avenir Next"/>
        </w:rPr>
        <w:t>Büro</w:t>
      </w:r>
    </w:p>
    <w:p w14:paraId="582E0499" w14:textId="77777777" w:rsidR="00E67336" w:rsidRPr="00E67336" w:rsidRDefault="00E67336" w:rsidP="00E67336">
      <w:pPr>
        <w:numPr>
          <w:ilvl w:val="0"/>
          <w:numId w:val="1"/>
        </w:numPr>
        <w:rPr>
          <w:rFonts w:ascii="Avenir Next" w:hAnsi="Avenir Next"/>
        </w:rPr>
      </w:pPr>
      <w:r w:rsidRPr="00E67336">
        <w:rPr>
          <w:rFonts w:ascii="Avenir Next" w:hAnsi="Avenir Next"/>
        </w:rPr>
        <w:t>Kleinmöbel</w:t>
      </w:r>
    </w:p>
    <w:p w14:paraId="78734695" w14:textId="77777777" w:rsidR="00E67336" w:rsidRPr="00E67336" w:rsidRDefault="00E67336" w:rsidP="00E67336">
      <w:pPr>
        <w:numPr>
          <w:ilvl w:val="0"/>
          <w:numId w:val="1"/>
        </w:numPr>
        <w:rPr>
          <w:rFonts w:ascii="Avenir Next" w:hAnsi="Avenir Next"/>
        </w:rPr>
      </w:pPr>
      <w:r w:rsidRPr="00E67336">
        <w:rPr>
          <w:rFonts w:ascii="Avenir Next" w:hAnsi="Avenir Next"/>
        </w:rPr>
        <w:t>Küche</w:t>
      </w:r>
    </w:p>
    <w:p w14:paraId="7967BCA2" w14:textId="77777777" w:rsidR="00E67336" w:rsidRPr="00E67336" w:rsidRDefault="00E67336" w:rsidP="00E67336">
      <w:pPr>
        <w:numPr>
          <w:ilvl w:val="0"/>
          <w:numId w:val="1"/>
        </w:numPr>
        <w:rPr>
          <w:rFonts w:ascii="Avenir Next" w:hAnsi="Avenir Next"/>
        </w:rPr>
      </w:pPr>
      <w:r w:rsidRPr="00E67336">
        <w:rPr>
          <w:rFonts w:ascii="Avenir Next" w:hAnsi="Avenir Next"/>
        </w:rPr>
        <w:t>Baby/Kind/Jugend</w:t>
      </w:r>
    </w:p>
    <w:p w14:paraId="47AAF3D8" w14:textId="77777777" w:rsidR="00705F80" w:rsidRDefault="00705F80" w:rsidP="00E67336">
      <w:pPr>
        <w:rPr>
          <w:rFonts w:ascii="Avenir Next" w:hAnsi="Avenir Next"/>
          <w:b/>
          <w:bCs/>
        </w:rPr>
      </w:pPr>
    </w:p>
    <w:p w14:paraId="1BBC9275" w14:textId="08EEAE8C" w:rsidR="00E67336" w:rsidRPr="00E67336" w:rsidRDefault="00E67336" w:rsidP="00E67336">
      <w:pPr>
        <w:rPr>
          <w:rFonts w:ascii="Avenir Next" w:hAnsi="Avenir Next"/>
          <w:b/>
          <w:bCs/>
        </w:rPr>
      </w:pPr>
      <w:r w:rsidRPr="00E67336">
        <w:rPr>
          <w:rFonts w:ascii="Avenir Next" w:hAnsi="Avenir Next"/>
          <w:b/>
          <w:bCs/>
        </w:rPr>
        <w:t>Vertriebsform:</w:t>
      </w:r>
    </w:p>
    <w:p w14:paraId="2C4B52DE" w14:textId="77777777" w:rsidR="00E67336" w:rsidRPr="00E67336" w:rsidRDefault="00E67336" w:rsidP="00E67336">
      <w:pPr>
        <w:numPr>
          <w:ilvl w:val="0"/>
          <w:numId w:val="2"/>
        </w:numPr>
        <w:rPr>
          <w:rFonts w:ascii="Avenir Next" w:hAnsi="Avenir Next"/>
        </w:rPr>
      </w:pPr>
      <w:r w:rsidRPr="00E67336">
        <w:rPr>
          <w:rFonts w:ascii="Avenir Next" w:hAnsi="Avenir Next"/>
        </w:rPr>
        <w:t>Konventionell</w:t>
      </w:r>
    </w:p>
    <w:p w14:paraId="60B6E99C" w14:textId="77777777" w:rsidR="00E67336" w:rsidRPr="00E67336" w:rsidRDefault="00E67336" w:rsidP="00E67336">
      <w:pPr>
        <w:numPr>
          <w:ilvl w:val="0"/>
          <w:numId w:val="2"/>
        </w:numPr>
        <w:rPr>
          <w:rFonts w:ascii="Avenir Next" w:hAnsi="Avenir Next"/>
        </w:rPr>
      </w:pPr>
      <w:r w:rsidRPr="00E67336">
        <w:rPr>
          <w:rFonts w:ascii="Avenir Next" w:hAnsi="Avenir Next"/>
        </w:rPr>
        <w:t>Junges Wohnen</w:t>
      </w:r>
    </w:p>
    <w:p w14:paraId="642CF324" w14:textId="77777777" w:rsidR="00E67336" w:rsidRPr="00E67336" w:rsidRDefault="00E67336" w:rsidP="00E67336">
      <w:pPr>
        <w:numPr>
          <w:ilvl w:val="0"/>
          <w:numId w:val="2"/>
        </w:numPr>
        <w:rPr>
          <w:rFonts w:ascii="Avenir Next" w:hAnsi="Avenir Next"/>
        </w:rPr>
      </w:pPr>
      <w:r w:rsidRPr="00E67336">
        <w:rPr>
          <w:rFonts w:ascii="Avenir Next" w:hAnsi="Avenir Next"/>
        </w:rPr>
        <w:t>Mitnahme</w:t>
      </w:r>
    </w:p>
    <w:p w14:paraId="2B789461" w14:textId="77777777" w:rsidR="00E67336" w:rsidRPr="00E67336" w:rsidRDefault="00E67336" w:rsidP="00E67336">
      <w:pPr>
        <w:numPr>
          <w:ilvl w:val="0"/>
          <w:numId w:val="2"/>
        </w:numPr>
        <w:rPr>
          <w:rFonts w:ascii="Avenir Next" w:hAnsi="Avenir Next"/>
        </w:rPr>
      </w:pPr>
      <w:r w:rsidRPr="00E67336">
        <w:rPr>
          <w:rFonts w:ascii="Avenir Next" w:hAnsi="Avenir Next"/>
        </w:rPr>
        <w:t>SB</w:t>
      </w:r>
    </w:p>
    <w:p w14:paraId="4BE12115" w14:textId="77777777" w:rsidR="00E67336" w:rsidRPr="00E67336" w:rsidRDefault="00E67336" w:rsidP="00E67336">
      <w:pPr>
        <w:numPr>
          <w:ilvl w:val="0"/>
          <w:numId w:val="2"/>
        </w:numPr>
        <w:rPr>
          <w:rFonts w:ascii="Avenir Next" w:hAnsi="Avenir Next"/>
        </w:rPr>
      </w:pPr>
      <w:r w:rsidRPr="00E67336">
        <w:rPr>
          <w:rFonts w:ascii="Avenir Next" w:hAnsi="Avenir Next"/>
        </w:rPr>
        <w:t>Multichannel</w:t>
      </w:r>
    </w:p>
    <w:p w14:paraId="16BF0649" w14:textId="77777777" w:rsidR="00E67336" w:rsidRPr="00E67336" w:rsidRDefault="00E67336" w:rsidP="00E67336">
      <w:pPr>
        <w:numPr>
          <w:ilvl w:val="0"/>
          <w:numId w:val="2"/>
        </w:numPr>
        <w:rPr>
          <w:rFonts w:ascii="Avenir Next" w:hAnsi="Avenir Next"/>
        </w:rPr>
      </w:pPr>
      <w:r w:rsidRPr="00E67336">
        <w:rPr>
          <w:rFonts w:ascii="Avenir Next" w:hAnsi="Avenir Next"/>
        </w:rPr>
        <w:t>Online</w:t>
      </w:r>
    </w:p>
    <w:p w14:paraId="3960E853" w14:textId="77777777" w:rsidR="00E67336" w:rsidRPr="00E67336" w:rsidRDefault="00E67336" w:rsidP="00E67336">
      <w:pPr>
        <w:numPr>
          <w:ilvl w:val="0"/>
          <w:numId w:val="2"/>
        </w:numPr>
        <w:rPr>
          <w:rFonts w:ascii="Avenir Next" w:hAnsi="Avenir Next"/>
        </w:rPr>
      </w:pPr>
      <w:r w:rsidRPr="00E67336">
        <w:rPr>
          <w:rFonts w:ascii="Avenir Next" w:hAnsi="Avenir Next"/>
        </w:rPr>
        <w:t>Stationär</w:t>
      </w:r>
    </w:p>
    <w:p w14:paraId="1CE44050" w14:textId="77777777" w:rsidR="00E67336" w:rsidRPr="0070774E" w:rsidRDefault="00E67336" w:rsidP="00683AB9">
      <w:pPr>
        <w:rPr>
          <w:rFonts w:ascii="Avenir Next" w:hAnsi="Avenir Next"/>
        </w:rPr>
      </w:pPr>
    </w:p>
    <w:p w14:paraId="1B169155" w14:textId="77777777" w:rsidR="0070774E" w:rsidRPr="0070774E" w:rsidRDefault="0070774E" w:rsidP="00683AB9">
      <w:pPr>
        <w:rPr>
          <w:rFonts w:ascii="Avenir Next" w:hAnsi="Avenir Next"/>
        </w:rPr>
      </w:pPr>
    </w:p>
    <w:p w14:paraId="58358CCA" w14:textId="77777777" w:rsidR="0070774E" w:rsidRPr="0070774E" w:rsidRDefault="0070774E" w:rsidP="00683AB9">
      <w:pPr>
        <w:rPr>
          <w:rFonts w:ascii="Avenir Next" w:hAnsi="Avenir Next"/>
        </w:rPr>
      </w:pPr>
    </w:p>
    <w:sectPr w:rsidR="0070774E" w:rsidRPr="007077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C246D"/>
    <w:multiLevelType w:val="multilevel"/>
    <w:tmpl w:val="4DA8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614C0"/>
    <w:multiLevelType w:val="multilevel"/>
    <w:tmpl w:val="97D6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9504559">
    <w:abstractNumId w:val="1"/>
  </w:num>
  <w:num w:numId="2" w16cid:durableId="21909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A9"/>
    <w:rsid w:val="0018497C"/>
    <w:rsid w:val="001B11A9"/>
    <w:rsid w:val="002923BA"/>
    <w:rsid w:val="002A5BA5"/>
    <w:rsid w:val="005B75B6"/>
    <w:rsid w:val="00683AB9"/>
    <w:rsid w:val="006C6E54"/>
    <w:rsid w:val="00705F80"/>
    <w:rsid w:val="0070774E"/>
    <w:rsid w:val="00747623"/>
    <w:rsid w:val="009D60E8"/>
    <w:rsid w:val="009E433F"/>
    <w:rsid w:val="00A1239B"/>
    <w:rsid w:val="00B707EF"/>
    <w:rsid w:val="00BA7C59"/>
    <w:rsid w:val="00BD0715"/>
    <w:rsid w:val="00E67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89A3"/>
  <w15:chartTrackingRefBased/>
  <w15:docId w15:val="{0F01ACFF-A4A8-7141-95CC-899F0F62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B1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B1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B11A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B11A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B11A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B11A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B11A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B11A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B11A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11A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B11A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B11A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B11A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B11A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B11A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B11A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B11A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B11A9"/>
    <w:rPr>
      <w:rFonts w:eastAsiaTheme="majorEastAsia" w:cstheme="majorBidi"/>
      <w:color w:val="272727" w:themeColor="text1" w:themeTint="D8"/>
    </w:rPr>
  </w:style>
  <w:style w:type="paragraph" w:styleId="Titel">
    <w:name w:val="Title"/>
    <w:basedOn w:val="Standard"/>
    <w:next w:val="Standard"/>
    <w:link w:val="TitelZchn"/>
    <w:uiPriority w:val="10"/>
    <w:qFormat/>
    <w:rsid w:val="001B11A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B11A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B11A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B11A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B11A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B11A9"/>
    <w:rPr>
      <w:i/>
      <w:iCs/>
      <w:color w:val="404040" w:themeColor="text1" w:themeTint="BF"/>
    </w:rPr>
  </w:style>
  <w:style w:type="paragraph" w:styleId="Listenabsatz">
    <w:name w:val="List Paragraph"/>
    <w:basedOn w:val="Standard"/>
    <w:uiPriority w:val="34"/>
    <w:qFormat/>
    <w:rsid w:val="001B11A9"/>
    <w:pPr>
      <w:ind w:left="720"/>
      <w:contextualSpacing/>
    </w:pPr>
  </w:style>
  <w:style w:type="character" w:styleId="IntensiveHervorhebung">
    <w:name w:val="Intense Emphasis"/>
    <w:basedOn w:val="Absatz-Standardschriftart"/>
    <w:uiPriority w:val="21"/>
    <w:qFormat/>
    <w:rsid w:val="001B11A9"/>
    <w:rPr>
      <w:i/>
      <w:iCs/>
      <w:color w:val="0F4761" w:themeColor="accent1" w:themeShade="BF"/>
    </w:rPr>
  </w:style>
  <w:style w:type="paragraph" w:styleId="IntensivesZitat">
    <w:name w:val="Intense Quote"/>
    <w:basedOn w:val="Standard"/>
    <w:next w:val="Standard"/>
    <w:link w:val="IntensivesZitatZchn"/>
    <w:uiPriority w:val="30"/>
    <w:qFormat/>
    <w:rsid w:val="001B1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B11A9"/>
    <w:rPr>
      <w:i/>
      <w:iCs/>
      <w:color w:val="0F4761" w:themeColor="accent1" w:themeShade="BF"/>
    </w:rPr>
  </w:style>
  <w:style w:type="character" w:styleId="IntensiverVerweis">
    <w:name w:val="Intense Reference"/>
    <w:basedOn w:val="Absatz-Standardschriftart"/>
    <w:uiPriority w:val="32"/>
    <w:qFormat/>
    <w:rsid w:val="001B11A9"/>
    <w:rPr>
      <w:b/>
      <w:bCs/>
      <w:smallCaps/>
      <w:color w:val="0F4761" w:themeColor="accent1" w:themeShade="BF"/>
      <w:spacing w:val="5"/>
    </w:rPr>
  </w:style>
  <w:style w:type="character" w:styleId="Hyperlink">
    <w:name w:val="Hyperlink"/>
    <w:basedOn w:val="Absatz-Standardschriftart"/>
    <w:uiPriority w:val="99"/>
    <w:unhideWhenUsed/>
    <w:rsid w:val="00E67336"/>
    <w:rPr>
      <w:color w:val="467886" w:themeColor="hyperlink"/>
      <w:u w:val="single"/>
    </w:rPr>
  </w:style>
  <w:style w:type="character" w:styleId="NichtaufgelsteErwhnung">
    <w:name w:val="Unresolved Mention"/>
    <w:basedOn w:val="Absatz-Standardschriftart"/>
    <w:uiPriority w:val="99"/>
    <w:semiHidden/>
    <w:unhideWhenUsed/>
    <w:rsid w:val="00E67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08091">
      <w:bodyDiv w:val="1"/>
      <w:marLeft w:val="0"/>
      <w:marRight w:val="0"/>
      <w:marTop w:val="0"/>
      <w:marBottom w:val="0"/>
      <w:divBdr>
        <w:top w:val="none" w:sz="0" w:space="0" w:color="auto"/>
        <w:left w:val="none" w:sz="0" w:space="0" w:color="auto"/>
        <w:bottom w:val="none" w:sz="0" w:space="0" w:color="auto"/>
        <w:right w:val="none" w:sz="0" w:space="0" w:color="auto"/>
      </w:divBdr>
    </w:div>
    <w:div w:id="241765859">
      <w:bodyDiv w:val="1"/>
      <w:marLeft w:val="0"/>
      <w:marRight w:val="0"/>
      <w:marTop w:val="0"/>
      <w:marBottom w:val="0"/>
      <w:divBdr>
        <w:top w:val="none" w:sz="0" w:space="0" w:color="auto"/>
        <w:left w:val="none" w:sz="0" w:space="0" w:color="auto"/>
        <w:bottom w:val="none" w:sz="0" w:space="0" w:color="auto"/>
        <w:right w:val="none" w:sz="0" w:space="0" w:color="auto"/>
      </w:divBdr>
    </w:div>
    <w:div w:id="568616353">
      <w:bodyDiv w:val="1"/>
      <w:marLeft w:val="0"/>
      <w:marRight w:val="0"/>
      <w:marTop w:val="0"/>
      <w:marBottom w:val="0"/>
      <w:divBdr>
        <w:top w:val="none" w:sz="0" w:space="0" w:color="auto"/>
        <w:left w:val="none" w:sz="0" w:space="0" w:color="auto"/>
        <w:bottom w:val="none" w:sz="0" w:space="0" w:color="auto"/>
        <w:right w:val="none" w:sz="0" w:space="0" w:color="auto"/>
      </w:divBdr>
      <w:divsChild>
        <w:div w:id="1064261989">
          <w:marLeft w:val="0"/>
          <w:marRight w:val="0"/>
          <w:marTop w:val="0"/>
          <w:marBottom w:val="0"/>
          <w:divBdr>
            <w:top w:val="none" w:sz="0" w:space="0" w:color="auto"/>
            <w:left w:val="none" w:sz="0" w:space="0" w:color="auto"/>
            <w:bottom w:val="none" w:sz="0" w:space="0" w:color="auto"/>
            <w:right w:val="none" w:sz="0" w:space="0" w:color="auto"/>
          </w:divBdr>
        </w:div>
        <w:div w:id="1832913825">
          <w:marLeft w:val="0"/>
          <w:marRight w:val="0"/>
          <w:marTop w:val="0"/>
          <w:marBottom w:val="0"/>
          <w:divBdr>
            <w:top w:val="none" w:sz="0" w:space="0" w:color="auto"/>
            <w:left w:val="none" w:sz="0" w:space="0" w:color="auto"/>
            <w:bottom w:val="none" w:sz="0" w:space="0" w:color="auto"/>
            <w:right w:val="none" w:sz="0" w:space="0" w:color="auto"/>
          </w:divBdr>
        </w:div>
      </w:divsChild>
    </w:div>
    <w:div w:id="1012147760">
      <w:bodyDiv w:val="1"/>
      <w:marLeft w:val="0"/>
      <w:marRight w:val="0"/>
      <w:marTop w:val="0"/>
      <w:marBottom w:val="0"/>
      <w:divBdr>
        <w:top w:val="none" w:sz="0" w:space="0" w:color="auto"/>
        <w:left w:val="none" w:sz="0" w:space="0" w:color="auto"/>
        <w:bottom w:val="none" w:sz="0" w:space="0" w:color="auto"/>
        <w:right w:val="none" w:sz="0" w:space="0" w:color="auto"/>
      </w:divBdr>
    </w:div>
    <w:div w:id="1928228893">
      <w:bodyDiv w:val="1"/>
      <w:marLeft w:val="0"/>
      <w:marRight w:val="0"/>
      <w:marTop w:val="0"/>
      <w:marBottom w:val="0"/>
      <w:divBdr>
        <w:top w:val="none" w:sz="0" w:space="0" w:color="auto"/>
        <w:left w:val="none" w:sz="0" w:space="0" w:color="auto"/>
        <w:bottom w:val="none" w:sz="0" w:space="0" w:color="auto"/>
        <w:right w:val="none" w:sz="0" w:space="0" w:color="auto"/>
      </w:divBdr>
      <w:divsChild>
        <w:div w:id="2071804930">
          <w:marLeft w:val="0"/>
          <w:marRight w:val="0"/>
          <w:marTop w:val="0"/>
          <w:marBottom w:val="0"/>
          <w:divBdr>
            <w:top w:val="none" w:sz="0" w:space="0" w:color="auto"/>
            <w:left w:val="none" w:sz="0" w:space="0" w:color="auto"/>
            <w:bottom w:val="none" w:sz="0" w:space="0" w:color="auto"/>
            <w:right w:val="none" w:sz="0" w:space="0" w:color="auto"/>
          </w:divBdr>
        </w:div>
        <w:div w:id="1936858197">
          <w:marLeft w:val="0"/>
          <w:marRight w:val="0"/>
          <w:marTop w:val="0"/>
          <w:marBottom w:val="0"/>
          <w:divBdr>
            <w:top w:val="none" w:sz="0" w:space="0" w:color="auto"/>
            <w:left w:val="none" w:sz="0" w:space="0" w:color="auto"/>
            <w:bottom w:val="none" w:sz="0" w:space="0" w:color="auto"/>
            <w:right w:val="none" w:sz="0" w:space="0" w:color="auto"/>
          </w:divBdr>
        </w:div>
      </w:divsChild>
    </w:div>
    <w:div w:id="19677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2738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8</cp:revision>
  <dcterms:created xsi:type="dcterms:W3CDTF">2024-08-16T07:54:00Z</dcterms:created>
  <dcterms:modified xsi:type="dcterms:W3CDTF">2024-08-22T07:47:00Z</dcterms:modified>
</cp:coreProperties>
</file>