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5F2ED" w14:textId="77777777" w:rsidR="006F7B30" w:rsidRDefault="006F7B30" w:rsidP="006816BB">
      <w:pPr>
        <w:pBdr>
          <w:top w:val="nil"/>
          <w:left w:val="nil"/>
          <w:bottom w:val="nil"/>
          <w:right w:val="nil"/>
          <w:between w:val="nil"/>
          <w:bar w:val="nil"/>
        </w:pBdr>
        <w:rPr>
          <w:rFonts w:eastAsia="Arial" w:cs="Arial"/>
          <w:b/>
          <w:bCs/>
          <w:color w:val="FF0000"/>
          <w:sz w:val="32"/>
          <w:szCs w:val="32"/>
          <w:u w:color="000000"/>
          <w:bdr w:val="nil"/>
          <w14:textOutline w14:w="0" w14:cap="flat" w14:cmpd="sng" w14:algn="ctr">
            <w14:noFill/>
            <w14:prstDash w14:val="solid"/>
            <w14:bevel/>
          </w14:textOutline>
        </w:rPr>
      </w:pPr>
    </w:p>
    <w:p w14:paraId="42B559AE" w14:textId="1424A4E0" w:rsidR="00AD6F23" w:rsidRPr="003709E2" w:rsidRDefault="006F7B30" w:rsidP="006816BB">
      <w:pPr>
        <w:pBdr>
          <w:top w:val="nil"/>
          <w:left w:val="nil"/>
          <w:bottom w:val="nil"/>
          <w:right w:val="nil"/>
          <w:between w:val="nil"/>
          <w:bar w:val="nil"/>
        </w:pBdr>
        <w:rPr>
          <w:rFonts w:eastAsia="Arial" w:cs="Arial"/>
          <w:b/>
          <w:bCs/>
          <w:color w:val="FF0000"/>
          <w:sz w:val="32"/>
          <w:szCs w:val="32"/>
          <w:u w:color="000000"/>
          <w:bdr w:val="nil"/>
          <w14:textOutline w14:w="0" w14:cap="flat" w14:cmpd="sng" w14:algn="ctr">
            <w14:noFill/>
            <w14:prstDash w14:val="solid"/>
            <w14:bevel/>
          </w14:textOutline>
        </w:rPr>
      </w:pPr>
      <w:r>
        <w:rPr>
          <w:rFonts w:eastAsia="Arial" w:cs="Arial"/>
          <w:b/>
          <w:bCs/>
          <w:color w:val="FF0000"/>
          <w:sz w:val="32"/>
          <w:szCs w:val="32"/>
          <w:u w:color="000000"/>
          <w:bdr w:val="nil"/>
          <w14:textOutline w14:w="0" w14:cap="flat" w14:cmpd="sng" w14:algn="ctr">
            <w14:noFill/>
            <w14:prstDash w14:val="solid"/>
            <w14:bevel/>
          </w14:textOutline>
        </w:rPr>
        <w:t xml:space="preserve">Angenehmes Raumklima trotz extremem Wetter – integrierte Heiz- und Kühldeckensysteme der Lindner Group </w:t>
      </w:r>
    </w:p>
    <w:p w14:paraId="6722D94B" w14:textId="77777777" w:rsidR="00AD6F23" w:rsidRDefault="00AD6F23" w:rsidP="006816BB">
      <w:pPr>
        <w:pBdr>
          <w:top w:val="nil"/>
          <w:left w:val="nil"/>
          <w:bottom w:val="nil"/>
          <w:right w:val="nil"/>
          <w:between w:val="nil"/>
          <w:bar w:val="nil"/>
        </w:pBdr>
        <w:rPr>
          <w:rFonts w:eastAsia="Arial" w:cs="Arial"/>
          <w:color w:val="000000"/>
          <w:szCs w:val="22"/>
          <w:u w:color="000000"/>
          <w:bdr w:val="nil"/>
          <w14:textOutline w14:w="0" w14:cap="flat" w14:cmpd="sng" w14:algn="ctr">
            <w14:noFill/>
            <w14:prstDash w14:val="solid"/>
            <w14:bevel/>
          </w14:textOutline>
        </w:rPr>
      </w:pPr>
    </w:p>
    <w:p w14:paraId="62002E26" w14:textId="77777777" w:rsidR="00DA07D8" w:rsidRDefault="00DA07D8" w:rsidP="00DA07D8">
      <w:pPr>
        <w:rPr>
          <w:rFonts w:eastAsiaTheme="minorEastAsia"/>
        </w:rPr>
      </w:pPr>
      <w:r w:rsidRPr="00DA07D8">
        <w:rPr>
          <w:rFonts w:eastAsiaTheme="minorEastAsia"/>
        </w:rPr>
        <w:t>Die Hitzeperioden der letzten Zeit haben eindrücklich vor Augen geführt, welche Folgen überhitzte Räume für den täglichen Betrieb von Gebäuden haben können. Kindertagesstätten, Schulen und Hochschulen, Einrichtungen der Altenpflege, Kliniken sowie Büro- und Verwaltungsgebäude – hohe Temperaturen wirken sich unmittelbar auf Wohlbefinden, Konzentrationsfähigkeit und die allgemeine Betriebsfähigkeit aus.</w:t>
      </w:r>
    </w:p>
    <w:p w14:paraId="3BF752A7" w14:textId="77777777" w:rsidR="00DA07D8" w:rsidRDefault="00DA07D8" w:rsidP="00DA07D8">
      <w:pPr>
        <w:rPr>
          <w:rFonts w:eastAsiaTheme="minorEastAsia"/>
        </w:rPr>
      </w:pPr>
      <w:r w:rsidRPr="00DA07D8">
        <w:rPr>
          <w:rFonts w:eastAsiaTheme="minorEastAsia"/>
        </w:rPr>
        <w:t>Klassische mobile Klimageräte schaffen hier oft nur vorübergehend Abhilfe. Ihr Wirkungsbereich bleibt begrenzt, sie erzeugen störende Zugluft und Lärm, beanspruchen Raum und stellen im dauerhaften Einsatz weder aus energetischer noch aus praktischer Sicht eine überzeugende Lösung dar.</w:t>
      </w:r>
    </w:p>
    <w:p w14:paraId="0031D7E1" w14:textId="77777777" w:rsidR="00DA07D8" w:rsidRPr="00DA07D8" w:rsidRDefault="00DA07D8" w:rsidP="00DA07D8">
      <w:pPr>
        <w:rPr>
          <w:rFonts w:eastAsiaTheme="minorEastAsia"/>
        </w:rPr>
      </w:pPr>
    </w:p>
    <w:p w14:paraId="1A2AAB42" w14:textId="77777777" w:rsidR="00DA07D8" w:rsidRDefault="00DA07D8" w:rsidP="00DA07D8">
      <w:pPr>
        <w:rPr>
          <w:rFonts w:eastAsiaTheme="minorEastAsia"/>
        </w:rPr>
      </w:pPr>
      <w:r w:rsidRPr="00DA07D8">
        <w:rPr>
          <w:rFonts w:eastAsiaTheme="minorEastAsia"/>
        </w:rPr>
        <w:t xml:space="preserve">Die Lindner Group verfolgt mit ihren integrierten Heiz- und Kühldeckensystemen einen anderen Weg: Die komplette Deckenfläche wird zur Temperaturregulierung genutzt – ganz ohne spürbare Luftbewegung, ohne Betriebsgeräusche und ohne Zugluftbelästigung. In den Sommermonaten sorgen die Systeme für den effektiven Abtransport überschüssiger Wärme, während sie im Winter zum Heizen eingesetzt werden können. </w:t>
      </w:r>
    </w:p>
    <w:p w14:paraId="397D2B7E" w14:textId="77777777" w:rsidR="00DA07D8" w:rsidRPr="00DA07D8" w:rsidRDefault="00DA07D8" w:rsidP="00DA07D8">
      <w:pPr>
        <w:rPr>
          <w:rFonts w:eastAsiaTheme="minorEastAsia"/>
        </w:rPr>
      </w:pPr>
    </w:p>
    <w:p w14:paraId="71F8CD9A" w14:textId="77777777" w:rsidR="00DA07D8" w:rsidRPr="00DA07D8" w:rsidRDefault="00DA07D8" w:rsidP="00DA07D8">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DA07D8">
        <w:rPr>
          <w:rFonts w:eastAsia="Arial" w:cs="Arial"/>
          <w:b/>
          <w:bCs/>
          <w:color w:val="FF0000"/>
          <w:szCs w:val="22"/>
          <w:u w:color="000000"/>
          <w:bdr w:val="nil"/>
          <w14:textOutline w14:w="0" w14:cap="flat" w14:cmpd="sng" w14:algn="ctr">
            <w14:noFill/>
            <w14:prstDash w14:val="solid"/>
            <w14:bevel/>
          </w14:textOutline>
        </w:rPr>
        <w:t>Vielfältige Systemvarianten für unterschiedliche Einsatzbereiche</w:t>
      </w:r>
    </w:p>
    <w:p w14:paraId="70F489D9" w14:textId="77777777" w:rsidR="00DA07D8" w:rsidRDefault="00DA07D8" w:rsidP="00DA07D8">
      <w:pPr>
        <w:rPr>
          <w:rFonts w:eastAsiaTheme="minorEastAsia"/>
        </w:rPr>
      </w:pPr>
      <w:r w:rsidRPr="00DA07D8">
        <w:rPr>
          <w:rFonts w:eastAsiaTheme="minorEastAsia"/>
        </w:rPr>
        <w:t xml:space="preserve">Abhängig von den baulichen Gegebenheiten und individuellen Ansprüchen bietet Lindner verschiedene Ausführungsformen an: geschlossene Heiz-/Kühldecken, Deckensegel, Lamellendeckenkonstruktionen sowie maßgeschneiderte Speziallösungen für besondere Projektanforderungen. </w:t>
      </w:r>
    </w:p>
    <w:p w14:paraId="4BA07C33" w14:textId="77777777" w:rsidR="00DA07D8" w:rsidRPr="00DA07D8" w:rsidRDefault="00DA07D8" w:rsidP="00DA07D8">
      <w:pPr>
        <w:rPr>
          <w:rFonts w:eastAsiaTheme="minorEastAsia"/>
        </w:rPr>
      </w:pPr>
    </w:p>
    <w:p w14:paraId="7059423D" w14:textId="77777777" w:rsidR="00DA07D8" w:rsidRDefault="00DA07D8" w:rsidP="00DA07D8">
      <w:pPr>
        <w:rPr>
          <w:rFonts w:eastAsiaTheme="minorEastAsia"/>
        </w:rPr>
      </w:pPr>
      <w:r w:rsidRPr="00DA07D8">
        <w:rPr>
          <w:rFonts w:eastAsiaTheme="minorEastAsia"/>
        </w:rPr>
        <w:t>Zusätzliche Anforderungen wie Schallschutz bzw. raumakustische Wirksamkeit, Brandschutzvorgaben, hygienische Standards, eine gute Zugänglichkeit für Wartungs- und Revisionsarbeiten sowie besondere gestalterische Ansprüche lassen sich flexibel in die Systeme integrieren. So entstehen Heiz- und Kühldecken, die nicht nur für ein angenehmes Raumklima sorgen, sondern zugleich funktionale, technische und architektonische Anforderungen moderner Gebäude erfüllen.</w:t>
      </w:r>
    </w:p>
    <w:p w14:paraId="5C3E5049" w14:textId="77777777" w:rsidR="00DA07D8" w:rsidRPr="00DA07D8" w:rsidRDefault="00DA07D8" w:rsidP="00DA07D8">
      <w:pPr>
        <w:rPr>
          <w:rFonts w:eastAsiaTheme="minorEastAsia"/>
        </w:rPr>
      </w:pPr>
    </w:p>
    <w:p w14:paraId="2B4F1A78" w14:textId="77777777" w:rsidR="00DA07D8" w:rsidRPr="00DA07D8" w:rsidRDefault="00DA07D8" w:rsidP="00DA07D8">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DA07D8">
        <w:rPr>
          <w:rFonts w:eastAsia="Arial" w:cs="Arial"/>
          <w:b/>
          <w:bCs/>
          <w:color w:val="FF0000"/>
          <w:szCs w:val="22"/>
          <w:u w:color="000000"/>
          <w:bdr w:val="nil"/>
          <w14:textOutline w14:w="0" w14:cap="flat" w14:cmpd="sng" w14:algn="ctr">
            <w14:noFill/>
            <w14:prstDash w14:val="solid"/>
            <w14:bevel/>
          </w14:textOutline>
        </w:rPr>
        <w:t>Einsatz bei Neubau und Bestandssanierung</w:t>
      </w:r>
    </w:p>
    <w:p w14:paraId="14B72E43" w14:textId="77777777" w:rsidR="00DA07D8" w:rsidRDefault="00DA07D8" w:rsidP="00DA07D8">
      <w:pPr>
        <w:rPr>
          <w:rFonts w:eastAsiaTheme="minorEastAsia"/>
        </w:rPr>
      </w:pPr>
      <w:r w:rsidRPr="00DA07D8">
        <w:rPr>
          <w:rFonts w:eastAsiaTheme="minorEastAsia"/>
        </w:rPr>
        <w:t>Lindner Deckensysteme eignen sich gleichermaßen für Neubauvorhaben wie für die Modernisierung bestehender Gebäude. Besonders empfehlenswert ist dabei eine frühzeitige Einbindung in die Planungsphase – nur so lassen sich technische Machbarkeit, gestalterische Vorstellungen und wirtschaftliche Rahmenbedingungen miteinander in Einklang bringen.</w:t>
      </w:r>
    </w:p>
    <w:p w14:paraId="1AC8B54D" w14:textId="77777777" w:rsidR="00DA07D8" w:rsidRPr="00DA07D8" w:rsidRDefault="00DA07D8" w:rsidP="00DA07D8">
      <w:pPr>
        <w:rPr>
          <w:rFonts w:eastAsiaTheme="minorEastAsia"/>
        </w:rPr>
      </w:pPr>
    </w:p>
    <w:p w14:paraId="52766A73" w14:textId="77777777" w:rsidR="00DA07D8" w:rsidRPr="00DA07D8" w:rsidRDefault="00DA07D8" w:rsidP="00DA07D8">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DA07D8">
        <w:rPr>
          <w:rFonts w:eastAsia="Arial" w:cs="Arial"/>
          <w:b/>
          <w:bCs/>
          <w:color w:val="FF0000"/>
          <w:szCs w:val="22"/>
          <w:u w:color="000000"/>
          <w:bdr w:val="nil"/>
          <w14:textOutline w14:w="0" w14:cap="flat" w14:cmpd="sng" w14:algn="ctr">
            <w14:noFill/>
            <w14:prstDash w14:val="solid"/>
            <w14:bevel/>
          </w14:textOutline>
        </w:rPr>
        <w:t>Mehrwert für Planer, Architekten und Bauherren</w:t>
      </w:r>
    </w:p>
    <w:p w14:paraId="23DE9AC4" w14:textId="77777777" w:rsidR="00DA07D8" w:rsidRPr="00DA07D8" w:rsidRDefault="00DA07D8" w:rsidP="00DA07D8">
      <w:pPr>
        <w:rPr>
          <w:rFonts w:eastAsiaTheme="minorEastAsia"/>
        </w:rPr>
      </w:pPr>
      <w:r w:rsidRPr="00DA07D8">
        <w:rPr>
          <w:rFonts w:eastAsiaTheme="minorEastAsia"/>
        </w:rPr>
        <w:t xml:space="preserve">Für die TGA-Planung, Architekturbüros und Bauherren ergeben sich durch diesen integrierten Ansatz deutliche Vorteile: Das Raumklima wird von Anfang an als integraler Bestandteil des Gesamtkonzepts betrachtet, anstatt es nachträglich mit zusätzlichen Einzelgeräten nachrüsten </w:t>
      </w:r>
      <w:r w:rsidRPr="00DA07D8">
        <w:rPr>
          <w:rFonts w:eastAsiaTheme="minorEastAsia"/>
        </w:rPr>
        <w:lastRenderedPageBreak/>
        <w:t>zu müssen. Dies führt zu Gebäudelösungen, die sich durch Funktionalität, Nachhaltigkeit und Betriebssicherheit auszeichnen – bei gleichzeitig hohem Komfort für die Nutzer.</w:t>
      </w:r>
    </w:p>
    <w:p w14:paraId="05A516BD" w14:textId="77777777" w:rsidR="006F7B30" w:rsidRDefault="006F7B30" w:rsidP="00BF1C18">
      <w:pPr>
        <w:rPr>
          <w:rFonts w:eastAsiaTheme="minorEastAsia"/>
        </w:rPr>
      </w:pPr>
    </w:p>
    <w:p w14:paraId="48B11049" w14:textId="36853F34" w:rsidR="006F7B30" w:rsidRDefault="006F7B30" w:rsidP="00BF1C18">
      <w:pPr>
        <w:rPr>
          <w:rFonts w:eastAsiaTheme="minorEastAsia"/>
        </w:rPr>
      </w:pPr>
      <w:r>
        <w:rPr>
          <w:rFonts w:eastAsiaTheme="minorEastAsia"/>
        </w:rPr>
        <w:t xml:space="preserve">Mehr Informationen unter: </w:t>
      </w:r>
      <w:r w:rsidR="00FD25A2">
        <w:rPr>
          <w:rFonts w:eastAsiaTheme="minorEastAsia"/>
        </w:rPr>
        <w:t xml:space="preserve"> </w:t>
      </w:r>
      <w:hyperlink r:id="rId8" w:history="1">
        <w:r w:rsidR="00FD25A2" w:rsidRPr="00FD25A2">
          <w:rPr>
            <w:rStyle w:val="Hyperlink"/>
            <w:rFonts w:eastAsiaTheme="minorEastAsia"/>
          </w:rPr>
          <w:t>www.Lindner-Group.com/Heiz-und-Kühldecken</w:t>
        </w:r>
      </w:hyperlink>
    </w:p>
    <w:p w14:paraId="56243478" w14:textId="77777777" w:rsidR="005D1914" w:rsidRDefault="005D1914" w:rsidP="00BF1C18">
      <w:pPr>
        <w:rPr>
          <w:rFonts w:eastAsiaTheme="minorEastAsia"/>
        </w:rPr>
      </w:pPr>
    </w:p>
    <w:p w14:paraId="49DE67E4" w14:textId="77777777" w:rsidR="00AD6F23" w:rsidRDefault="006816BB">
      <w:pPr>
        <w:rPr>
          <w:b/>
          <w:color w:val="E00428"/>
        </w:rPr>
      </w:pPr>
      <w:r>
        <w:rPr>
          <w:b/>
          <w:color w:val="E00428"/>
        </w:rPr>
        <w:t>Bilder</w:t>
      </w:r>
    </w:p>
    <w:p w14:paraId="4A419CF1" w14:textId="77777777" w:rsidR="005D1914" w:rsidRDefault="005D1914">
      <w:r>
        <w:rPr>
          <w:noProof/>
        </w:rPr>
        <w:drawing>
          <wp:inline distT="0" distB="0" distL="0" distR="0" wp14:anchorId="3B78B24B" wp14:editId="734F372B">
            <wp:extent cx="2696552" cy="180000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96552" cy="1800000"/>
                    </a:xfrm>
                    <a:prstGeom prst="rect">
                      <a:avLst/>
                    </a:prstGeom>
                    <a:noFill/>
                    <a:ln>
                      <a:noFill/>
                    </a:ln>
                  </pic:spPr>
                </pic:pic>
              </a:graphicData>
            </a:graphic>
          </wp:inline>
        </w:drawing>
      </w:r>
    </w:p>
    <w:p w14:paraId="62338584" w14:textId="30BF9286" w:rsidR="005D1914" w:rsidRDefault="005D1914">
      <w:r w:rsidRPr="005D1914">
        <w:t>Lindner_Group_img-ch-kantonsspital-baden-3-11_© www.Lindner-Group.com.jpg</w:t>
      </w:r>
    </w:p>
    <w:p w14:paraId="6CDFB297" w14:textId="77777777" w:rsidR="005D1914" w:rsidRDefault="005D1914" w:rsidP="005D1914">
      <w:r>
        <w:t>Bildverweis:</w:t>
      </w:r>
      <w:r w:rsidRPr="005D1914">
        <w:t xml:space="preserve"> © </w:t>
      </w:r>
      <w:r>
        <w:t>www.Lindner-Group.com</w:t>
      </w:r>
    </w:p>
    <w:p w14:paraId="02E59CF6" w14:textId="77777777" w:rsidR="005D1914" w:rsidRDefault="005D1914"/>
    <w:p w14:paraId="5A95D8DE" w14:textId="77777777" w:rsidR="005D1914" w:rsidRDefault="005D1914">
      <w:r>
        <w:rPr>
          <w:noProof/>
        </w:rPr>
        <w:drawing>
          <wp:inline distT="0" distB="0" distL="0" distR="0" wp14:anchorId="7FFCC684" wp14:editId="5BAF68AA">
            <wp:extent cx="2696552" cy="1800000"/>
            <wp:effectExtent l="0" t="0" r="889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6552" cy="1800000"/>
                    </a:xfrm>
                    <a:prstGeom prst="rect">
                      <a:avLst/>
                    </a:prstGeom>
                    <a:noFill/>
                    <a:ln>
                      <a:noFill/>
                    </a:ln>
                  </pic:spPr>
                </pic:pic>
              </a:graphicData>
            </a:graphic>
          </wp:inline>
        </w:drawing>
      </w:r>
    </w:p>
    <w:p w14:paraId="7A600B44" w14:textId="19CD28D1" w:rsidR="005D1914" w:rsidRDefault="005D1914">
      <w:r w:rsidRPr="005D1914">
        <w:t>Lindner_Group_img-ch-universitätsspital-zürich-usz-gebärstation-20_© www.Lindner-Group.com.jpg</w:t>
      </w:r>
    </w:p>
    <w:p w14:paraId="508E54B6" w14:textId="2093DCC4" w:rsidR="005D1914" w:rsidRDefault="005D1914" w:rsidP="005D1914">
      <w:r>
        <w:t>Bildverweis:</w:t>
      </w:r>
      <w:r w:rsidRPr="005D1914">
        <w:t xml:space="preserve"> © </w:t>
      </w:r>
      <w:r>
        <w:t>www.Lindner-Group.com</w:t>
      </w:r>
    </w:p>
    <w:p w14:paraId="7544195F" w14:textId="77777777" w:rsidR="005D1914" w:rsidRDefault="005D1914"/>
    <w:p w14:paraId="349D43EF" w14:textId="77777777" w:rsidR="005D1914" w:rsidRDefault="005D1914">
      <w:r>
        <w:rPr>
          <w:noProof/>
        </w:rPr>
        <w:drawing>
          <wp:inline distT="0" distB="0" distL="0" distR="0" wp14:anchorId="07D31BA9" wp14:editId="2677C438">
            <wp:extent cx="2788933" cy="18000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8933" cy="1800000"/>
                    </a:xfrm>
                    <a:prstGeom prst="rect">
                      <a:avLst/>
                    </a:prstGeom>
                    <a:noFill/>
                    <a:ln>
                      <a:noFill/>
                    </a:ln>
                  </pic:spPr>
                </pic:pic>
              </a:graphicData>
            </a:graphic>
          </wp:inline>
        </w:drawing>
      </w:r>
    </w:p>
    <w:p w14:paraId="1ED6DCC5" w14:textId="35BFA55D" w:rsidR="005D1914" w:rsidRDefault="005D1914">
      <w:r w:rsidRPr="005D1914">
        <w:t xml:space="preserve">Lindner_Group_img-de-josef-schwarz-schule-heilbronn-03_© David </w:t>
      </w:r>
      <w:proofErr w:type="spellStart"/>
      <w:r w:rsidRPr="005D1914">
        <w:t>Matthiessen</w:t>
      </w:r>
      <w:proofErr w:type="spellEnd"/>
      <w:r w:rsidRPr="005D1914">
        <w:t xml:space="preserve"> Fotografie.jpg</w:t>
      </w:r>
    </w:p>
    <w:p w14:paraId="0A142991" w14:textId="77777777" w:rsidR="005D1914" w:rsidRDefault="005D1914" w:rsidP="005D1914">
      <w:r>
        <w:t>Bildverweis:</w:t>
      </w:r>
      <w:r w:rsidRPr="005D1914">
        <w:t xml:space="preserve"> © David </w:t>
      </w:r>
      <w:proofErr w:type="spellStart"/>
      <w:r w:rsidRPr="005D1914">
        <w:t>Matthiessen</w:t>
      </w:r>
      <w:proofErr w:type="spellEnd"/>
      <w:r w:rsidRPr="005D1914">
        <w:t xml:space="preserve"> Fotografie</w:t>
      </w:r>
    </w:p>
    <w:p w14:paraId="36A978B3" w14:textId="77777777" w:rsidR="005D1914" w:rsidRDefault="005D1914"/>
    <w:p w14:paraId="3C6F40D6" w14:textId="77777777" w:rsidR="005D1914" w:rsidRDefault="005D1914">
      <w:r>
        <w:rPr>
          <w:noProof/>
        </w:rPr>
        <w:drawing>
          <wp:inline distT="0" distB="0" distL="0" distR="0" wp14:anchorId="07D3C46B" wp14:editId="32F61B08">
            <wp:extent cx="2250718" cy="1800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0718" cy="1800000"/>
                    </a:xfrm>
                    <a:prstGeom prst="rect">
                      <a:avLst/>
                    </a:prstGeom>
                    <a:noFill/>
                    <a:ln>
                      <a:noFill/>
                    </a:ln>
                  </pic:spPr>
                </pic:pic>
              </a:graphicData>
            </a:graphic>
          </wp:inline>
        </w:drawing>
      </w:r>
    </w:p>
    <w:p w14:paraId="612A21BE" w14:textId="1E6D51EB" w:rsidR="005D1914" w:rsidRDefault="005D1914">
      <w:r w:rsidRPr="005D1914">
        <w:t xml:space="preserve">Lindner_Group_img-de-josef-schwarz-schule-heilbronn-11_© David </w:t>
      </w:r>
      <w:proofErr w:type="spellStart"/>
      <w:r w:rsidRPr="005D1914">
        <w:t>Matthiessen</w:t>
      </w:r>
      <w:proofErr w:type="spellEnd"/>
      <w:r w:rsidRPr="005D1914">
        <w:t xml:space="preserve"> Fotografie.jpg</w:t>
      </w:r>
    </w:p>
    <w:p w14:paraId="5C2C1A48" w14:textId="350E91E3" w:rsidR="005D1914" w:rsidRDefault="005D1914" w:rsidP="005D1914">
      <w:r>
        <w:t>Bildverweis:</w:t>
      </w:r>
      <w:r w:rsidRPr="005D1914">
        <w:t xml:space="preserve"> © David </w:t>
      </w:r>
      <w:proofErr w:type="spellStart"/>
      <w:r w:rsidRPr="005D1914">
        <w:t>Matthiessen</w:t>
      </w:r>
      <w:proofErr w:type="spellEnd"/>
      <w:r w:rsidRPr="005D1914">
        <w:t xml:space="preserve"> Fotografie</w:t>
      </w:r>
    </w:p>
    <w:p w14:paraId="02C50A63" w14:textId="77777777" w:rsidR="005D1914" w:rsidRDefault="005D1914"/>
    <w:p w14:paraId="2F74C318" w14:textId="77777777" w:rsidR="00AD6F23" w:rsidRDefault="00AD6F23"/>
    <w:p w14:paraId="2D6D4836" w14:textId="77777777" w:rsidR="00AD6F23" w:rsidRDefault="00AD6F23"/>
    <w:p w14:paraId="547806F3" w14:textId="77777777" w:rsidR="00AD6F23" w:rsidRDefault="006816BB">
      <w:pPr>
        <w:rPr>
          <w:b/>
          <w:color w:val="E00428"/>
        </w:rPr>
      </w:pPr>
      <w:r>
        <w:rPr>
          <w:b/>
          <w:color w:val="E00428"/>
        </w:rPr>
        <w:t>Lindner Group</w:t>
      </w:r>
    </w:p>
    <w:p w14:paraId="61D95382" w14:textId="5FF7248B" w:rsidR="006816BB" w:rsidRDefault="006816BB" w:rsidP="006816BB">
      <w:r>
        <w:rPr>
          <w:rFonts w:eastAsia="Arial Unicode MS" w:cs="Arial Unicode MS"/>
        </w:rPr>
        <w:t xml:space="preserve">Die Lindner Group ist Europas führender Komplettanbieter im Innenausbau, Gebäudehülle, Gebäudetechnik und </w:t>
      </w:r>
      <w:r w:rsidR="00F95103">
        <w:rPr>
          <w:rFonts w:eastAsia="Arial Unicode MS" w:cs="Arial Unicode MS"/>
        </w:rPr>
        <w:t>Isoliertechnik</w:t>
      </w:r>
      <w:r>
        <w:rPr>
          <w:rFonts w:eastAsia="Arial Unicode MS" w:cs="Arial Unicode MS"/>
        </w:rPr>
        <w:t xml:space="preserve">. Mit 60 Jahren Erfahrung im "Bauen mit neuen Lösungen" entwickelt und realisiert Lindner flexible, zukunftsfähige Projektlösungen, die nachhaltigen </w:t>
      </w:r>
      <w:proofErr w:type="spellStart"/>
      <w:r>
        <w:rPr>
          <w:rFonts w:eastAsia="Arial Unicode MS" w:cs="Arial Unicode MS"/>
        </w:rPr>
        <w:t>Mehr.Wert</w:t>
      </w:r>
      <w:proofErr w:type="spellEnd"/>
      <w:r>
        <w:rPr>
          <w:rFonts w:eastAsia="Arial Unicode MS" w:cs="Arial Unicode MS"/>
        </w:rPr>
        <w:t xml:space="preserve"> bieten. Mit weltweit 8.000 Mitarbeitern betreibt das Familienunternehmen vom bayerischen Arnstorf aus Produktionsstätten und Tochtergesellschaften in mehr als 40 Ländern.</w:t>
      </w:r>
    </w:p>
    <w:p w14:paraId="3446BFBF" w14:textId="77777777" w:rsidR="00AD6F23" w:rsidRDefault="00AD6F23"/>
    <w:p w14:paraId="1936C0CE" w14:textId="77777777" w:rsidR="00AD6F23" w:rsidRDefault="00AD6F23"/>
    <w:p w14:paraId="648F5E13" w14:textId="77777777" w:rsidR="00AD6F23" w:rsidRDefault="006816BB">
      <w:pPr>
        <w:rPr>
          <w:rFonts w:eastAsiaTheme="minorEastAsia"/>
          <w:b/>
          <w:color w:val="E40428"/>
        </w:rPr>
      </w:pPr>
      <w:r>
        <w:rPr>
          <w:rFonts w:eastAsiaTheme="minorEastAsia"/>
          <w:b/>
          <w:color w:val="E40428"/>
        </w:rPr>
        <w:t xml:space="preserve">Weitere Infos unter </w:t>
      </w:r>
      <w:hyperlink r:id="rId13" w:history="1">
        <w:r>
          <w:rPr>
            <w:rStyle w:val="Hyperlink"/>
            <w:rFonts w:eastAsiaTheme="minorEastAsia"/>
            <w:b/>
            <w:color w:val="E40428"/>
            <w:u w:val="none"/>
          </w:rPr>
          <w:t>www.Lindner-Group.com</w:t>
        </w:r>
      </w:hyperlink>
    </w:p>
    <w:p w14:paraId="6B18E46E" w14:textId="77777777" w:rsidR="00AD6F23" w:rsidRDefault="000C4449">
      <w:pPr>
        <w:pStyle w:val="EinfAbs"/>
        <w:rPr>
          <w:rFonts w:ascii="Arial" w:hAnsi="Arial" w:cs="Arial"/>
          <w:color w:val="auto"/>
          <w:sz w:val="20"/>
          <w:szCs w:val="16"/>
          <w:lang w:val="en-GB"/>
        </w:rPr>
      </w:pPr>
      <w:hyperlink r:id="rId14" w:history="1">
        <w:r w:rsidR="006816BB">
          <w:rPr>
            <w:rStyle w:val="Hyperlink"/>
            <w:rFonts w:ascii="Arial" w:hAnsi="Arial" w:cs="Arial"/>
            <w:color w:val="auto"/>
            <w:sz w:val="20"/>
            <w:szCs w:val="16"/>
            <w:lang w:val="en-GB"/>
          </w:rPr>
          <w:t>LinkedIn</w:t>
        </w:r>
      </w:hyperlink>
      <w:r w:rsidR="006816BB">
        <w:rPr>
          <w:rFonts w:ascii="Arial" w:hAnsi="Arial" w:cs="Arial"/>
          <w:color w:val="auto"/>
          <w:sz w:val="20"/>
          <w:szCs w:val="16"/>
          <w:lang w:val="en-GB"/>
        </w:rPr>
        <w:t xml:space="preserve"> | </w:t>
      </w:r>
      <w:hyperlink r:id="rId15" w:history="1">
        <w:r w:rsidR="006816BB">
          <w:rPr>
            <w:rStyle w:val="Hyperlink"/>
            <w:rFonts w:ascii="Arial" w:hAnsi="Arial" w:cs="Arial"/>
            <w:color w:val="auto"/>
            <w:sz w:val="20"/>
            <w:szCs w:val="16"/>
            <w:lang w:val="en-GB"/>
          </w:rPr>
          <w:t>Instagram</w:t>
        </w:r>
      </w:hyperlink>
      <w:r w:rsidR="006816BB">
        <w:rPr>
          <w:rStyle w:val="Hyperlink"/>
          <w:rFonts w:ascii="Arial" w:hAnsi="Arial" w:cs="Arial"/>
          <w:color w:val="auto"/>
          <w:sz w:val="20"/>
          <w:szCs w:val="16"/>
          <w:u w:val="none"/>
          <w:lang w:val="en-GB"/>
        </w:rPr>
        <w:t xml:space="preserve"> | </w:t>
      </w:r>
      <w:hyperlink r:id="rId16" w:history="1">
        <w:r w:rsidR="006816BB">
          <w:rPr>
            <w:rStyle w:val="Hyperlink"/>
            <w:rFonts w:ascii="Arial" w:hAnsi="Arial" w:cs="Arial"/>
            <w:color w:val="auto"/>
            <w:sz w:val="20"/>
            <w:szCs w:val="16"/>
            <w:lang w:val="en-GB"/>
          </w:rPr>
          <w:t>Facebook</w:t>
        </w:r>
      </w:hyperlink>
      <w:r w:rsidR="006816BB">
        <w:rPr>
          <w:rStyle w:val="Hyperlink"/>
          <w:rFonts w:ascii="Arial" w:hAnsi="Arial" w:cs="Arial"/>
          <w:color w:val="auto"/>
          <w:sz w:val="20"/>
          <w:szCs w:val="16"/>
          <w:u w:val="none"/>
          <w:lang w:val="en-GB"/>
        </w:rPr>
        <w:t xml:space="preserve"> | </w:t>
      </w:r>
      <w:hyperlink r:id="rId17" w:history="1">
        <w:r w:rsidR="006816BB">
          <w:rPr>
            <w:rStyle w:val="Hyperlink"/>
            <w:rFonts w:ascii="Arial" w:hAnsi="Arial" w:cs="Arial"/>
            <w:color w:val="auto"/>
            <w:sz w:val="20"/>
            <w:szCs w:val="16"/>
            <w:lang w:val="en-GB"/>
          </w:rPr>
          <w:t>Pinterest</w:t>
        </w:r>
      </w:hyperlink>
      <w:r w:rsidR="006816BB">
        <w:rPr>
          <w:rFonts w:ascii="Arial" w:hAnsi="Arial" w:cs="Arial"/>
          <w:color w:val="auto"/>
          <w:sz w:val="20"/>
          <w:szCs w:val="16"/>
          <w:lang w:val="en-GB"/>
        </w:rPr>
        <w:t xml:space="preserve"> | </w:t>
      </w:r>
      <w:hyperlink r:id="rId18" w:history="1">
        <w:r w:rsidR="006816BB">
          <w:rPr>
            <w:rStyle w:val="Hyperlink"/>
            <w:rFonts w:ascii="Arial" w:hAnsi="Arial" w:cs="Arial"/>
            <w:color w:val="auto"/>
            <w:sz w:val="20"/>
            <w:szCs w:val="16"/>
            <w:lang w:val="en-GB"/>
          </w:rPr>
          <w:t>YouTube</w:t>
        </w:r>
      </w:hyperlink>
    </w:p>
    <w:p w14:paraId="35002E85" w14:textId="77777777" w:rsidR="00AD6F23" w:rsidRDefault="00AD6F23">
      <w:pPr>
        <w:rPr>
          <w:rFonts w:eastAsiaTheme="minorEastAsia"/>
          <w:b/>
          <w:color w:val="E40428"/>
          <w:lang w:val="en-GB"/>
        </w:rPr>
      </w:pPr>
    </w:p>
    <w:p w14:paraId="63058725" w14:textId="77777777" w:rsidR="00AD6F23" w:rsidRDefault="00AD6F23">
      <w:pPr>
        <w:rPr>
          <w:rFonts w:eastAsiaTheme="minorEastAsia"/>
          <w:b/>
          <w:color w:val="E40428"/>
          <w:lang w:val="en-GB"/>
        </w:rPr>
      </w:pPr>
    </w:p>
    <w:sectPr w:rsidR="00AD6F23">
      <w:headerReference w:type="default" r:id="rId19"/>
      <w:footerReference w:type="default" r:id="rId20"/>
      <w:headerReference w:type="first" r:id="rId21"/>
      <w:footerReference w:type="first" r:id="rId22"/>
      <w:type w:val="continuous"/>
      <w:pgSz w:w="11906" w:h="16838" w:code="9"/>
      <w:pgMar w:top="2722" w:right="1247" w:bottom="1134" w:left="1247" w:header="1247" w:footer="567" w:gutter="0"/>
      <w:cols w:space="4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FCF6" w14:textId="77777777" w:rsidR="00AD6F23" w:rsidRDefault="006816BB">
      <w:r>
        <w:separator/>
      </w:r>
    </w:p>
  </w:endnote>
  <w:endnote w:type="continuationSeparator" w:id="0">
    <w:p w14:paraId="0F60B670" w14:textId="77777777" w:rsidR="00AD6F23" w:rsidRDefault="0068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MinionPro-Regular">
    <w:altName w:val="Cambria Math"/>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278D"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C1CB"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1</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CC8E" w14:textId="77777777" w:rsidR="00AD6F23" w:rsidRDefault="006816BB">
      <w:r>
        <w:separator/>
      </w:r>
    </w:p>
  </w:footnote>
  <w:footnote w:type="continuationSeparator" w:id="0">
    <w:p w14:paraId="79B0E385" w14:textId="77777777" w:rsidR="00AD6F23" w:rsidRDefault="00681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691D" w14:textId="77777777" w:rsidR="00AD6F23" w:rsidRDefault="006816BB">
    <w:pPr>
      <w:pStyle w:val="Kopfzeile"/>
    </w:pPr>
    <w:r>
      <w:rPr>
        <w:b/>
        <w:bCs/>
        <w:noProof/>
        <w:color w:val="ED1B34"/>
        <w:sz w:val="40"/>
        <w:szCs w:val="40"/>
      </w:rPr>
      <w:drawing>
        <wp:anchor distT="0" distB="0" distL="114300" distR="114300" simplePos="0" relativeHeight="251659264" behindDoc="0" locked="0" layoutInCell="1" allowOverlap="1" wp14:anchorId="7D8D4310" wp14:editId="2F52AFE7">
          <wp:simplePos x="0" y="0"/>
          <wp:positionH relativeFrom="margin">
            <wp:align>left</wp:align>
          </wp:positionH>
          <wp:positionV relativeFrom="page">
            <wp:posOffset>791845</wp:posOffset>
          </wp:positionV>
          <wp:extent cx="1922400" cy="288000"/>
          <wp:effectExtent l="0" t="0" r="1905" b="0"/>
          <wp:wrapNone/>
          <wp:docPr id="168" name="Grafik 168"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48AF" w14:textId="77777777" w:rsidR="00AD6F23" w:rsidRDefault="006816BB">
    <w:pPr>
      <w:tabs>
        <w:tab w:val="left" w:pos="6663"/>
      </w:tabs>
      <w:ind w:left="6237"/>
      <w:jc w:val="right"/>
      <w:rPr>
        <w:b/>
        <w:color w:val="E40428"/>
        <w:sz w:val="18"/>
      </w:rPr>
    </w:pPr>
    <w:r>
      <w:rPr>
        <w:b/>
        <w:bCs/>
        <w:noProof/>
        <w:color w:val="E40428"/>
        <w:sz w:val="32"/>
        <w:szCs w:val="40"/>
      </w:rPr>
      <w:drawing>
        <wp:anchor distT="0" distB="0" distL="114300" distR="114300" simplePos="0" relativeHeight="251661312" behindDoc="0" locked="0" layoutInCell="1" allowOverlap="1" wp14:anchorId="12330AC3" wp14:editId="4B308626">
          <wp:simplePos x="0" y="0"/>
          <wp:positionH relativeFrom="column">
            <wp:posOffset>0</wp:posOffset>
          </wp:positionH>
          <wp:positionV relativeFrom="page">
            <wp:posOffset>791845</wp:posOffset>
          </wp:positionV>
          <wp:extent cx="1922400" cy="288000"/>
          <wp:effectExtent l="0" t="0" r="1905" b="0"/>
          <wp:wrapNone/>
          <wp:docPr id="169" name="Grafik 169"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E40428"/>
        <w:sz w:val="18"/>
      </w:rPr>
      <w:t>Lindner Group</w:t>
    </w:r>
  </w:p>
  <w:p w14:paraId="3A87FA9B" w14:textId="77777777" w:rsidR="00AD6F23" w:rsidRDefault="006816BB">
    <w:pPr>
      <w:tabs>
        <w:tab w:val="left" w:pos="6663"/>
      </w:tabs>
      <w:ind w:left="6237"/>
      <w:jc w:val="right"/>
      <w:rPr>
        <w:sz w:val="18"/>
      </w:rPr>
    </w:pPr>
    <w:r>
      <w:rPr>
        <w:sz w:val="18"/>
      </w:rPr>
      <w:t>Bahnhofstraße 29, 94424 Arnstorf</w:t>
    </w:r>
  </w:p>
  <w:p w14:paraId="0DA5D72A" w14:textId="3F8B3CF8" w:rsidR="00AD6F23" w:rsidRDefault="006816BB">
    <w:pPr>
      <w:tabs>
        <w:tab w:val="left" w:pos="6663"/>
      </w:tabs>
      <w:ind w:left="6237"/>
      <w:jc w:val="right"/>
      <w:rPr>
        <w:sz w:val="18"/>
      </w:rPr>
    </w:pPr>
    <w:r>
      <w:rPr>
        <w:sz w:val="18"/>
      </w:rPr>
      <w:t>Telefon +49 8723 20-</w:t>
    </w:r>
    <w:r w:rsidR="006F7B30">
      <w:rPr>
        <w:sz w:val="18"/>
      </w:rPr>
      <w:t>0</w:t>
    </w:r>
  </w:p>
  <w:p w14:paraId="2E3C2B58" w14:textId="2CD10F4F" w:rsidR="00AD6F23" w:rsidRDefault="006816BB">
    <w:pPr>
      <w:tabs>
        <w:tab w:val="left" w:pos="6663"/>
      </w:tabs>
      <w:ind w:left="6237"/>
      <w:jc w:val="right"/>
      <w:rPr>
        <w:sz w:val="18"/>
      </w:rPr>
    </w:pPr>
    <w:r>
      <w:rPr>
        <w:rStyle w:val="Hyperlink"/>
        <w:color w:val="auto"/>
        <w:sz w:val="18"/>
        <w:u w:val="none"/>
      </w:rPr>
      <w:t>press@Lindner-Group.com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2CE8"/>
    <w:multiLevelType w:val="multilevel"/>
    <w:tmpl w:val="70FE56EE"/>
    <w:lvl w:ilvl="0">
      <w:start w:val="1"/>
      <w:numFmt w:val="decimal"/>
      <w:lvlText w:val="%1."/>
      <w:lvlJc w:val="left"/>
      <w:pPr>
        <w:ind w:left="72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5B392E"/>
    <w:multiLevelType w:val="multilevel"/>
    <w:tmpl w:val="577CA0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1B22CA1"/>
    <w:multiLevelType w:val="hybridMultilevel"/>
    <w:tmpl w:val="3984CAA0"/>
    <w:lvl w:ilvl="0" w:tplc="24B232D2">
      <w:start w:val="1"/>
      <w:numFmt w:val="bullet"/>
      <w:lvlText w:val=""/>
      <w:lvlJc w:val="left"/>
      <w:pPr>
        <w:tabs>
          <w:tab w:val="num" w:pos="360"/>
        </w:tabs>
        <w:ind w:left="170" w:hanging="170"/>
      </w:pPr>
      <w:rPr>
        <w:rFonts w:ascii="Symbol" w:hAnsi="Symbol" w:cs="Times New Roman"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E60EF2"/>
    <w:multiLevelType w:val="multilevel"/>
    <w:tmpl w:val="5BE83D78"/>
    <w:lvl w:ilvl="0">
      <w:start w:val="1"/>
      <w:numFmt w:val="decimal"/>
      <w:pStyle w:val="berschrift1"/>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D493FFD"/>
    <w:multiLevelType w:val="multilevel"/>
    <w:tmpl w:val="E26AB4F4"/>
    <w:styleLink w:val="Formatvorlage1"/>
    <w:lvl w:ilvl="0">
      <w:start w:val="1"/>
      <w:numFmt w:val="decimal"/>
      <w:isLgl/>
      <w:lvlText w:val="%1.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4D8C4592"/>
    <w:multiLevelType w:val="hybridMultilevel"/>
    <w:tmpl w:val="D45EB336"/>
    <w:lvl w:ilvl="0" w:tplc="A372EA22">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7380807">
    <w:abstractNumId w:val="0"/>
  </w:num>
  <w:num w:numId="2" w16cid:durableId="155147568">
    <w:abstractNumId w:val="4"/>
  </w:num>
  <w:num w:numId="3" w16cid:durableId="479883929">
    <w:abstractNumId w:val="2"/>
  </w:num>
  <w:num w:numId="4" w16cid:durableId="2061316808">
    <w:abstractNumId w:val="1"/>
  </w:num>
  <w:num w:numId="5" w16cid:durableId="1445005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2708582">
    <w:abstractNumId w:val="3"/>
  </w:num>
  <w:num w:numId="7" w16cid:durableId="221448537">
    <w:abstractNumId w:val="3"/>
  </w:num>
  <w:num w:numId="8" w16cid:durableId="207927998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F23"/>
    <w:rsid w:val="000C4449"/>
    <w:rsid w:val="000E4C4F"/>
    <w:rsid w:val="002366A8"/>
    <w:rsid w:val="00236BFB"/>
    <w:rsid w:val="00237007"/>
    <w:rsid w:val="002A7E30"/>
    <w:rsid w:val="00336AA2"/>
    <w:rsid w:val="00345ACD"/>
    <w:rsid w:val="003709E2"/>
    <w:rsid w:val="004D4FF6"/>
    <w:rsid w:val="005C4AE7"/>
    <w:rsid w:val="005D1914"/>
    <w:rsid w:val="006569D6"/>
    <w:rsid w:val="00664C46"/>
    <w:rsid w:val="006816BB"/>
    <w:rsid w:val="006F7B30"/>
    <w:rsid w:val="007B6EAB"/>
    <w:rsid w:val="00823BD5"/>
    <w:rsid w:val="008F38D1"/>
    <w:rsid w:val="009A733D"/>
    <w:rsid w:val="00A555B4"/>
    <w:rsid w:val="00AD6F23"/>
    <w:rsid w:val="00B66B3B"/>
    <w:rsid w:val="00BB54DE"/>
    <w:rsid w:val="00BF1C18"/>
    <w:rsid w:val="00C40786"/>
    <w:rsid w:val="00D6781F"/>
    <w:rsid w:val="00D91300"/>
    <w:rsid w:val="00DA07D8"/>
    <w:rsid w:val="00F11907"/>
    <w:rsid w:val="00F11C1F"/>
    <w:rsid w:val="00F95103"/>
    <w:rsid w:val="00FD2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77A0165"/>
  <w15:chartTrackingRefBased/>
  <w15:docId w15:val="{C32C7E97-D157-4B40-9C29-80F13DCA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ascii="Arial" w:hAnsi="Arial"/>
      <w:sz w:val="22"/>
      <w:lang w:val="de-DE" w:eastAsia="de-DE"/>
    </w:rPr>
  </w:style>
  <w:style w:type="paragraph" w:styleId="berschrift1">
    <w:name w:val="heading 1"/>
    <w:basedOn w:val="Standard"/>
    <w:next w:val="Standard"/>
    <w:autoRedefine/>
    <w:qFormat/>
    <w:pPr>
      <w:keepNext/>
      <w:numPr>
        <w:numId w:val="6"/>
      </w:numPr>
      <w:spacing w:before="120" w:after="120"/>
      <w:ind w:right="-2"/>
      <w:outlineLvl w:val="0"/>
    </w:pPr>
    <w:rPr>
      <w:rFonts w:cs="Arial"/>
      <w:b/>
      <w:bCs/>
      <w:kern w:val="28"/>
      <w:sz w:val="28"/>
      <w:szCs w:val="28"/>
    </w:rPr>
  </w:style>
  <w:style w:type="paragraph" w:styleId="berschrift2">
    <w:name w:val="heading 2"/>
    <w:basedOn w:val="Standard"/>
    <w:next w:val="Standard"/>
    <w:link w:val="berschrift2Zchn"/>
    <w:autoRedefine/>
    <w:qFormat/>
    <w:pPr>
      <w:keepNext/>
      <w:numPr>
        <w:ilvl w:val="1"/>
        <w:numId w:val="6"/>
      </w:numPr>
      <w:spacing w:before="60" w:after="60"/>
      <w:outlineLvl w:val="1"/>
    </w:pPr>
    <w:rPr>
      <w:rFonts w:cs="Arial"/>
      <w:b/>
      <w:bCs/>
      <w:sz w:val="24"/>
      <w:szCs w:val="24"/>
    </w:rPr>
  </w:style>
  <w:style w:type="paragraph" w:styleId="berschrift3">
    <w:name w:val="heading 3"/>
    <w:basedOn w:val="Standard"/>
    <w:next w:val="Pro-Text-Einge"/>
    <w:qFormat/>
    <w:pPr>
      <w:keepNext/>
      <w:numPr>
        <w:ilvl w:val="2"/>
        <w:numId w:val="6"/>
      </w:numPr>
      <w:spacing w:before="120"/>
      <w:outlineLvl w:val="2"/>
    </w:pPr>
    <w:rPr>
      <w:rFonts w:cs="Arial"/>
      <w:b/>
      <w:iCs/>
      <w:sz w:val="24"/>
      <w:szCs w:val="24"/>
    </w:rPr>
  </w:style>
  <w:style w:type="paragraph" w:styleId="berschrift4">
    <w:name w:val="heading 4"/>
    <w:basedOn w:val="berschrift3"/>
    <w:next w:val="Standard"/>
    <w:autoRedefine/>
    <w:qFormat/>
    <w:pPr>
      <w:numPr>
        <w:ilvl w:val="3"/>
      </w:numPr>
      <w:outlineLvl w:val="3"/>
    </w:pPr>
    <w:rPr>
      <w:bCs/>
      <w:iCs w:val="0"/>
      <w:sz w:val="22"/>
      <w:szCs w:val="20"/>
    </w:rPr>
  </w:style>
  <w:style w:type="paragraph" w:styleId="berschrift5">
    <w:name w:val="heading 5"/>
    <w:basedOn w:val="Standard"/>
    <w:next w:val="Standard"/>
    <w:link w:val="berschrift5Zchn"/>
    <w:semiHidden/>
    <w:unhideWhenUsed/>
    <w:qFormat/>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customStyle="1" w:styleId="Tabellengitternetz">
    <w:name w:val="Tabellengitternetz"/>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customStyle="1" w:styleId="Pro-1-Sp1">
    <w:name w:val="Pro-1-Sp1"/>
    <w:basedOn w:val="Standard"/>
    <w:rPr>
      <w:rFonts w:ascii="Arial (W1)" w:hAnsi="Arial (W1)" w:cs="Arial"/>
      <w:b/>
      <w:szCs w:val="24"/>
    </w:rPr>
  </w:style>
  <w:style w:type="paragraph" w:customStyle="1" w:styleId="Pro-AblaufIcon">
    <w:name w:val="Pro-Ablauf_Icon"/>
    <w:basedOn w:val="Standard"/>
    <w:pPr>
      <w:jc w:val="center"/>
    </w:pPr>
    <w:rPr>
      <w:rFonts w:ascii="Arial (W1)" w:hAnsi="Arial (W1)" w:cs="Arial"/>
      <w:b/>
      <w:bCs/>
      <w:sz w:val="16"/>
      <w:szCs w:val="16"/>
    </w:rPr>
  </w:style>
  <w:style w:type="paragraph" w:customStyle="1" w:styleId="Pro-Aufz-Pkt">
    <w:name w:val="Pro-Aufz-Pkt"/>
    <w:basedOn w:val="Standard"/>
    <w:autoRedefine/>
    <w:pPr>
      <w:ind w:left="43"/>
    </w:pPr>
    <w:rPr>
      <w:rFonts w:ascii="Arial (W1)" w:hAnsi="Arial (W1)" w:cs="Arial"/>
      <w:szCs w:val="22"/>
    </w:rPr>
  </w:style>
  <w:style w:type="paragraph" w:customStyle="1" w:styleId="Pro-Text">
    <w:name w:val="Pro-Text"/>
    <w:basedOn w:val="Standard"/>
    <w:autoRedefine/>
    <w:pPr>
      <w:jc w:val="both"/>
    </w:pPr>
    <w:rPr>
      <w:rFonts w:ascii="Arial (W1)" w:hAnsi="Arial (W1)" w:cs="Arial"/>
      <w:szCs w:val="24"/>
    </w:rPr>
  </w:style>
  <w:style w:type="paragraph" w:customStyle="1" w:styleId="Pro-Text-Einge">
    <w:name w:val="Pro-Text-Einge"/>
    <w:basedOn w:val="Standard"/>
    <w:link w:val="Pro-Text-EingeZchn"/>
    <w:autoRedefine/>
    <w:rPr>
      <w:rFonts w:ascii="Arial (W1)" w:hAnsi="Arial (W1)"/>
      <w:b/>
      <w:sz w:val="24"/>
      <w:szCs w:val="22"/>
      <w:lang w:val="x-none" w:eastAsia="x-none"/>
    </w:rPr>
  </w:style>
  <w:style w:type="paragraph" w:customStyle="1" w:styleId="Pro-ber-Tab">
    <w:name w:val="Pro-Über-Tab"/>
    <w:basedOn w:val="Standard"/>
    <w:pPr>
      <w:jc w:val="center"/>
    </w:pPr>
    <w:rPr>
      <w:rFonts w:ascii="Arial (W1)" w:hAnsi="Arial (W1)" w:cs="Arial"/>
      <w:b/>
      <w:szCs w:val="24"/>
    </w:rPr>
  </w:style>
  <w:style w:type="paragraph" w:styleId="Verzeichnis1">
    <w:name w:val="toc 1"/>
    <w:aliases w:val="Pro-IV-1"/>
    <w:basedOn w:val="Standard"/>
    <w:next w:val="Standard"/>
    <w:autoRedefine/>
    <w:uiPriority w:val="39"/>
    <w:pPr>
      <w:tabs>
        <w:tab w:val="left" w:pos="851"/>
        <w:tab w:val="right" w:leader="dot" w:pos="10080"/>
      </w:tabs>
      <w:spacing w:line="360" w:lineRule="auto"/>
      <w:ind w:left="851" w:hanging="851"/>
    </w:pPr>
    <w:rPr>
      <w:rFonts w:ascii="Arial (W1)" w:hAnsi="Arial (W1)" w:cs="Arial"/>
      <w:b/>
      <w:szCs w:val="24"/>
    </w:rPr>
  </w:style>
  <w:style w:type="paragraph" w:styleId="Verzeichnis2">
    <w:name w:val="toc 2"/>
    <w:aliases w:val="Pro-IV-2"/>
    <w:basedOn w:val="Standard"/>
    <w:next w:val="Standard"/>
    <w:autoRedefine/>
    <w:uiPriority w:val="39"/>
    <w:pPr>
      <w:tabs>
        <w:tab w:val="right" w:leader="dot" w:pos="10080"/>
      </w:tabs>
      <w:spacing w:line="360" w:lineRule="auto"/>
      <w:ind w:left="851" w:hanging="567"/>
    </w:pPr>
    <w:rPr>
      <w:rFonts w:ascii="Arial (W1)" w:hAnsi="Arial (W1)" w:cs="Arial"/>
      <w:noProof/>
      <w:szCs w:val="24"/>
    </w:rPr>
  </w:style>
  <w:style w:type="paragraph" w:styleId="Verzeichnis3">
    <w:name w:val="toc 3"/>
    <w:aliases w:val="Pro-IV-3"/>
    <w:basedOn w:val="Standard"/>
    <w:next w:val="Standard"/>
    <w:autoRedefine/>
    <w:uiPriority w:val="39"/>
    <w:pPr>
      <w:tabs>
        <w:tab w:val="left" w:pos="1680"/>
        <w:tab w:val="right" w:leader="dot" w:pos="10080"/>
      </w:tabs>
      <w:spacing w:line="360" w:lineRule="auto"/>
      <w:ind w:left="964" w:hanging="113"/>
    </w:pPr>
    <w:rPr>
      <w:rFonts w:ascii="Arial (W1)" w:hAnsi="Arial (W1)" w:cs="Arial"/>
      <w:szCs w:val="24"/>
    </w:rPr>
  </w:style>
  <w:style w:type="paragraph" w:styleId="Verzeichnis4">
    <w:name w:val="toc 4"/>
    <w:aliases w:val="Pro-IV-4"/>
    <w:basedOn w:val="Standard"/>
    <w:next w:val="Standard"/>
    <w:autoRedefine/>
    <w:uiPriority w:val="39"/>
    <w:pPr>
      <w:tabs>
        <w:tab w:val="right" w:leader="dot" w:pos="10080"/>
      </w:tabs>
      <w:spacing w:line="360" w:lineRule="auto"/>
      <w:ind w:left="851"/>
    </w:pPr>
    <w:rPr>
      <w:rFonts w:ascii="Arial (W1)" w:hAnsi="Arial (W1)" w:cs="Arial"/>
      <w:noProof/>
      <w:szCs w:val="24"/>
    </w:rPr>
  </w:style>
  <w:style w:type="character" w:styleId="Hyperlink">
    <w:name w:val="Hyperlink"/>
    <w:uiPriority w:val="99"/>
    <w:rPr>
      <w:color w:val="0000FF"/>
      <w:u w:val="single"/>
    </w:rPr>
  </w:style>
  <w:style w:type="paragraph" w:customStyle="1" w:styleId="Pro-Abst-Zeich-Tab">
    <w:name w:val="Pro-Abst-Zeich-Tab"/>
    <w:basedOn w:val="Standard"/>
    <w:pPr>
      <w:jc w:val="center"/>
    </w:pPr>
    <w:rPr>
      <w:rFonts w:cs="Arial"/>
      <w:sz w:val="24"/>
      <w:szCs w:val="24"/>
    </w:rPr>
  </w:style>
  <w:style w:type="character" w:customStyle="1" w:styleId="Pro-Text-EingeZchn">
    <w:name w:val="Pro-Text-Einge Zchn"/>
    <w:link w:val="Pro-Text-Einge"/>
    <w:rPr>
      <w:rFonts w:ascii="Arial (W1)" w:hAnsi="Arial (W1)"/>
      <w:b/>
      <w:sz w:val="24"/>
      <w:szCs w:val="22"/>
      <w:lang w:val="x-none" w:eastAsia="x-none"/>
    </w:rPr>
  </w:style>
  <w:style w:type="character" w:styleId="Fett">
    <w:name w:val="Strong"/>
    <w:rPr>
      <w:rFonts w:ascii="Arial" w:hAnsi="Arial"/>
      <w:b/>
      <w:bCs/>
      <w:sz w:val="22"/>
    </w:rPr>
  </w:style>
  <w:style w:type="paragraph" w:styleId="Listenabsatz">
    <w:name w:val="List Paragraph"/>
    <w:basedOn w:val="Standard"/>
    <w:uiPriority w:val="34"/>
    <w:pPr>
      <w:ind w:left="708"/>
    </w:pPr>
  </w:style>
  <w:style w:type="paragraph" w:styleId="Dokumentstruktur">
    <w:name w:val="Document Map"/>
    <w:basedOn w:val="Standard"/>
    <w:link w:val="DokumentstrukturZchn"/>
    <w:rPr>
      <w:rFonts w:ascii="Tahoma" w:hAnsi="Tahoma"/>
      <w:sz w:val="16"/>
      <w:szCs w:val="16"/>
      <w:lang w:val="x-none" w:eastAsia="x-none"/>
    </w:rPr>
  </w:style>
  <w:style w:type="character" w:customStyle="1" w:styleId="DokumentstrukturZchn">
    <w:name w:val="Dokumentstruktur Zchn"/>
    <w:link w:val="Dokumentstruktur"/>
    <w:rPr>
      <w:rFonts w:ascii="Tahoma" w:hAnsi="Tahoma" w:cs="Tahoma"/>
      <w:sz w:val="16"/>
      <w:szCs w:val="16"/>
    </w:rPr>
  </w:style>
  <w:style w:type="character" w:customStyle="1" w:styleId="KopfzeileZchn">
    <w:name w:val="Kopfzeile Zchn"/>
    <w:basedOn w:val="Absatz-Standardschriftart"/>
    <w:link w:val="Kopfzeile"/>
  </w:style>
  <w:style w:type="character" w:customStyle="1" w:styleId="berschrift2Zchn">
    <w:name w:val="Überschrift 2 Zchn"/>
    <w:link w:val="berschrift2"/>
    <w:rPr>
      <w:rFonts w:ascii="Arial" w:hAnsi="Arial" w:cs="Arial"/>
      <w:b/>
      <w:bCs/>
      <w:sz w:val="24"/>
      <w:szCs w:val="24"/>
      <w:lang w:val="de-DE" w:eastAsia="de-DE"/>
    </w:rPr>
  </w:style>
  <w:style w:type="numbering" w:customStyle="1" w:styleId="Formatvorlage1">
    <w:name w:val="Formatvorlage1"/>
    <w:uiPriority w:val="99"/>
    <w:pPr>
      <w:numPr>
        <w:numId w:val="2"/>
      </w:numPr>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rPr>
      <w:i/>
      <w:iCs/>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E74B5" w:themeColor="accent1" w:themeShade="BF"/>
      <w:sz w:val="22"/>
      <w:lang w:val="de-DE" w:eastAsia="de-DE"/>
    </w:rPr>
  </w:style>
  <w:style w:type="character" w:customStyle="1" w:styleId="berschrift6Zchn">
    <w:name w:val="Überschrift 6 Zchn"/>
    <w:basedOn w:val="Absatz-Standardschriftart"/>
    <w:link w:val="berschrift6"/>
    <w:semiHidden/>
    <w:rPr>
      <w:rFonts w:asciiTheme="majorHAnsi" w:eastAsiaTheme="majorEastAsia" w:hAnsiTheme="majorHAnsi" w:cstheme="majorBidi"/>
      <w:color w:val="1F4D78" w:themeColor="accent1" w:themeShade="7F"/>
      <w:sz w:val="22"/>
      <w:lang w:val="de-DE" w:eastAsia="de-DE"/>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1F4D78" w:themeColor="accent1" w:themeShade="7F"/>
      <w:sz w:val="22"/>
      <w:lang w:val="de-DE" w:eastAsia="de-DE"/>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272727" w:themeColor="text1" w:themeTint="D8"/>
      <w:sz w:val="21"/>
      <w:szCs w:val="21"/>
      <w:lang w:val="de-DE" w:eastAsia="de-DE"/>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272727" w:themeColor="text1" w:themeTint="D8"/>
      <w:sz w:val="21"/>
      <w:szCs w:val="21"/>
      <w:lang w:val="de-DE" w:eastAsia="de-DE"/>
    </w:rPr>
  </w:style>
  <w:style w:type="paragraph" w:styleId="StandardWeb">
    <w:name w:val="Normal (Web)"/>
    <w:basedOn w:val="Standard"/>
    <w:uiPriority w:val="99"/>
    <w:unhideWhenUsed/>
    <w:pPr>
      <w:spacing w:before="100" w:beforeAutospacing="1" w:after="100" w:afterAutospacing="1"/>
    </w:pPr>
    <w:rPr>
      <w:rFonts w:ascii="Times New Roman" w:eastAsiaTheme="minorEastAsia" w:hAnsi="Times New Roman"/>
      <w:sz w:val="24"/>
      <w:szCs w:val="24"/>
    </w:rPr>
  </w:style>
  <w:style w:type="paragraph" w:customStyle="1" w:styleId="H1">
    <w:name w:val="H1"/>
    <w:basedOn w:val="Standard"/>
    <w:link w:val="H1Zchn"/>
    <w:qFormat/>
    <w:pPr>
      <w:kinsoku w:val="0"/>
      <w:overflowPunct w:val="0"/>
      <w:spacing w:line="240" w:lineRule="auto"/>
      <w:ind w:left="20"/>
    </w:pPr>
    <w:rPr>
      <w:b/>
      <w:bCs/>
      <w:color w:val="E40428"/>
      <w:sz w:val="40"/>
      <w:szCs w:val="40"/>
    </w:rPr>
  </w:style>
  <w:style w:type="character" w:customStyle="1" w:styleId="H1Zchn">
    <w:name w:val="H1 Zchn"/>
    <w:basedOn w:val="Absatz-Standardschriftart"/>
    <w:link w:val="H1"/>
    <w:rPr>
      <w:rFonts w:ascii="Arial" w:hAnsi="Arial"/>
      <w:b/>
      <w:bCs/>
      <w:color w:val="E40428"/>
      <w:sz w:val="40"/>
      <w:szCs w:val="40"/>
      <w:lang w:val="de-DE" w:eastAsia="de-DE"/>
    </w:rPr>
  </w:style>
  <w:style w:type="paragraph" w:customStyle="1" w:styleId="H2">
    <w:name w:val="H2"/>
    <w:basedOn w:val="berschrift1"/>
    <w:link w:val="H2Zchn"/>
    <w:qFormat/>
    <w:pPr>
      <w:keepNext w:val="0"/>
      <w:numPr>
        <w:numId w:val="0"/>
      </w:numPr>
      <w:kinsoku w:val="0"/>
      <w:overflowPunct w:val="0"/>
      <w:spacing w:before="0" w:after="0" w:line="240" w:lineRule="auto"/>
      <w:ind w:left="20" w:right="0"/>
    </w:pPr>
    <w:rPr>
      <w:rFonts w:cs="Times New Roman"/>
      <w:b w:val="0"/>
      <w:bCs w:val="0"/>
      <w:color w:val="231F20"/>
      <w:kern w:val="0"/>
    </w:rPr>
  </w:style>
  <w:style w:type="character" w:customStyle="1" w:styleId="H2Zchn">
    <w:name w:val="H2 Zchn"/>
    <w:basedOn w:val="Absatz-Standardschriftart"/>
    <w:link w:val="H2"/>
    <w:rPr>
      <w:rFonts w:ascii="Arial" w:hAnsi="Arial"/>
      <w:color w:val="231F20"/>
      <w:sz w:val="28"/>
      <w:szCs w:val="28"/>
      <w:lang w:val="de-DE" w:eastAsia="de-DE"/>
    </w:rPr>
  </w:style>
  <w:style w:type="paragraph" w:customStyle="1" w:styleId="EinfAbs">
    <w:name w:val="[Einf. Abs.]"/>
    <w:basedOn w:val="Standard"/>
    <w:uiPriority w:val="99"/>
    <w:pPr>
      <w:autoSpaceDE w:val="0"/>
      <w:autoSpaceDN w:val="0"/>
      <w:adjustRightInd w:val="0"/>
      <w:spacing w:line="288" w:lineRule="auto"/>
      <w:textAlignment w:val="center"/>
    </w:pPr>
    <w:rPr>
      <w:rFonts w:ascii="MinionPro-Regular" w:hAnsi="MinionPro-Regular" w:cs="MinionPro-Regular"/>
      <w:color w:val="000000"/>
      <w:sz w:val="24"/>
      <w:szCs w:val="24"/>
      <w:lang w:eastAsia="en-GB"/>
    </w:rPr>
  </w:style>
  <w:style w:type="character" w:styleId="NichtaufgelsteErwhnung">
    <w:name w:val="Unresolved Mention"/>
    <w:basedOn w:val="Absatz-Standardschriftart"/>
    <w:uiPriority w:val="99"/>
    <w:semiHidden/>
    <w:unhideWhenUsed/>
    <w:rsid w:val="00237007"/>
    <w:rPr>
      <w:color w:val="605E5C"/>
      <w:shd w:val="clear" w:color="auto" w:fill="E1DFDD"/>
    </w:rPr>
  </w:style>
  <w:style w:type="character" w:styleId="BesuchterLink">
    <w:name w:val="FollowedHyperlink"/>
    <w:basedOn w:val="Absatz-Standardschriftart"/>
    <w:rsid w:val="002370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12929">
      <w:bodyDiv w:val="1"/>
      <w:marLeft w:val="0"/>
      <w:marRight w:val="0"/>
      <w:marTop w:val="0"/>
      <w:marBottom w:val="0"/>
      <w:divBdr>
        <w:top w:val="none" w:sz="0" w:space="0" w:color="auto"/>
        <w:left w:val="none" w:sz="0" w:space="0" w:color="auto"/>
        <w:bottom w:val="none" w:sz="0" w:space="0" w:color="auto"/>
        <w:right w:val="none" w:sz="0" w:space="0" w:color="auto"/>
      </w:divBdr>
    </w:div>
    <w:div w:id="131217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s://lin.link/T6FQ2Z" TargetMode="External"/><Relationship Id="rId13" Type="http://schemas.openxmlformats.org/officeDocument/2006/relationships/hyperlink" Target="http://www.Lindner-Group.com" TargetMode="External"/><Relationship Id="rId18" Type="http://schemas.openxmlformats.org/officeDocument/2006/relationships/hyperlink" Target="https://www.youtube.com/user/LindnerGrou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pinterest.de/lindnergroup" TargetMode="External"/><Relationship Id="rId2" Type="http://schemas.openxmlformats.org/officeDocument/2006/relationships/numbering" Target="numbering.xml"/><Relationship Id="rId16" Type="http://schemas.openxmlformats.org/officeDocument/2006/relationships/hyperlink" Target="https://www.facebook.com/LindnerGroup.Karrier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nstagram.com/lindner_group"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inkedin.com/company/lindner-group"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F3663-2A9B-4280-AAE8-AF4D7419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428</Words>
  <Characters>3987</Characters>
  <Application>Microsoft Office Word</Application>
  <DocSecurity>0</DocSecurity>
  <Lines>33</Lines>
  <Paragraphs>8</Paragraphs>
  <ScaleCrop>false</ScaleCrop>
  <HeadingPairs>
    <vt:vector size="2" baseType="variant">
      <vt:variant>
        <vt:lpstr>Titel</vt:lpstr>
      </vt:variant>
      <vt:variant>
        <vt:i4>1</vt:i4>
      </vt:variant>
    </vt:vector>
  </HeadingPairs>
  <TitlesOfParts>
    <vt:vector size="1" baseType="lpstr">
      <vt:lpstr/>
    </vt:vector>
  </TitlesOfParts>
  <Company>Lindner AG</Company>
  <LinksUpToDate>false</LinksUpToDate>
  <CharactersWithSpaces>4407</CharactersWithSpaces>
  <SharedDoc>false</SharedDoc>
  <HLinks>
    <vt:vector size="72" baseType="variant">
      <vt:variant>
        <vt:i4>1376317</vt:i4>
      </vt:variant>
      <vt:variant>
        <vt:i4>68</vt:i4>
      </vt:variant>
      <vt:variant>
        <vt:i4>0</vt:i4>
      </vt:variant>
      <vt:variant>
        <vt:i4>5</vt:i4>
      </vt:variant>
      <vt:variant>
        <vt:lpwstr/>
      </vt:variant>
      <vt:variant>
        <vt:lpwstr>_Toc381775884</vt:lpwstr>
      </vt:variant>
      <vt:variant>
        <vt:i4>1376317</vt:i4>
      </vt:variant>
      <vt:variant>
        <vt:i4>62</vt:i4>
      </vt:variant>
      <vt:variant>
        <vt:i4>0</vt:i4>
      </vt:variant>
      <vt:variant>
        <vt:i4>5</vt:i4>
      </vt:variant>
      <vt:variant>
        <vt:lpwstr/>
      </vt:variant>
      <vt:variant>
        <vt:lpwstr>_Toc381775883</vt:lpwstr>
      </vt:variant>
      <vt:variant>
        <vt:i4>1376317</vt:i4>
      </vt:variant>
      <vt:variant>
        <vt:i4>56</vt:i4>
      </vt:variant>
      <vt:variant>
        <vt:i4>0</vt:i4>
      </vt:variant>
      <vt:variant>
        <vt:i4>5</vt:i4>
      </vt:variant>
      <vt:variant>
        <vt:lpwstr/>
      </vt:variant>
      <vt:variant>
        <vt:lpwstr>_Toc381775882</vt:lpwstr>
      </vt:variant>
      <vt:variant>
        <vt:i4>1376317</vt:i4>
      </vt:variant>
      <vt:variant>
        <vt:i4>50</vt:i4>
      </vt:variant>
      <vt:variant>
        <vt:i4>0</vt:i4>
      </vt:variant>
      <vt:variant>
        <vt:i4>5</vt:i4>
      </vt:variant>
      <vt:variant>
        <vt:lpwstr/>
      </vt:variant>
      <vt:variant>
        <vt:lpwstr>_Toc381775881</vt:lpwstr>
      </vt:variant>
      <vt:variant>
        <vt:i4>1376317</vt:i4>
      </vt:variant>
      <vt:variant>
        <vt:i4>44</vt:i4>
      </vt:variant>
      <vt:variant>
        <vt:i4>0</vt:i4>
      </vt:variant>
      <vt:variant>
        <vt:i4>5</vt:i4>
      </vt:variant>
      <vt:variant>
        <vt:lpwstr/>
      </vt:variant>
      <vt:variant>
        <vt:lpwstr>_Toc381775880</vt:lpwstr>
      </vt:variant>
      <vt:variant>
        <vt:i4>1703997</vt:i4>
      </vt:variant>
      <vt:variant>
        <vt:i4>38</vt:i4>
      </vt:variant>
      <vt:variant>
        <vt:i4>0</vt:i4>
      </vt:variant>
      <vt:variant>
        <vt:i4>5</vt:i4>
      </vt:variant>
      <vt:variant>
        <vt:lpwstr/>
      </vt:variant>
      <vt:variant>
        <vt:lpwstr>_Toc381775879</vt:lpwstr>
      </vt:variant>
      <vt:variant>
        <vt:i4>1703997</vt:i4>
      </vt:variant>
      <vt:variant>
        <vt:i4>32</vt:i4>
      </vt:variant>
      <vt:variant>
        <vt:i4>0</vt:i4>
      </vt:variant>
      <vt:variant>
        <vt:i4>5</vt:i4>
      </vt:variant>
      <vt:variant>
        <vt:lpwstr/>
      </vt:variant>
      <vt:variant>
        <vt:lpwstr>_Toc381775878</vt:lpwstr>
      </vt:variant>
      <vt:variant>
        <vt:i4>1703997</vt:i4>
      </vt:variant>
      <vt:variant>
        <vt:i4>26</vt:i4>
      </vt:variant>
      <vt:variant>
        <vt:i4>0</vt:i4>
      </vt:variant>
      <vt:variant>
        <vt:i4>5</vt:i4>
      </vt:variant>
      <vt:variant>
        <vt:lpwstr/>
      </vt:variant>
      <vt:variant>
        <vt:lpwstr>_Toc381775877</vt:lpwstr>
      </vt:variant>
      <vt:variant>
        <vt:i4>1703997</vt:i4>
      </vt:variant>
      <vt:variant>
        <vt:i4>20</vt:i4>
      </vt:variant>
      <vt:variant>
        <vt:i4>0</vt:i4>
      </vt:variant>
      <vt:variant>
        <vt:i4>5</vt:i4>
      </vt:variant>
      <vt:variant>
        <vt:lpwstr/>
      </vt:variant>
      <vt:variant>
        <vt:lpwstr>_Toc381775876</vt:lpwstr>
      </vt:variant>
      <vt:variant>
        <vt:i4>1703997</vt:i4>
      </vt:variant>
      <vt:variant>
        <vt:i4>14</vt:i4>
      </vt:variant>
      <vt:variant>
        <vt:i4>0</vt:i4>
      </vt:variant>
      <vt:variant>
        <vt:i4>5</vt:i4>
      </vt:variant>
      <vt:variant>
        <vt:lpwstr/>
      </vt:variant>
      <vt:variant>
        <vt:lpwstr>_Toc381775875</vt:lpwstr>
      </vt:variant>
      <vt:variant>
        <vt:i4>1703997</vt:i4>
      </vt:variant>
      <vt:variant>
        <vt:i4>8</vt:i4>
      </vt:variant>
      <vt:variant>
        <vt:i4>0</vt:i4>
      </vt:variant>
      <vt:variant>
        <vt:i4>5</vt:i4>
      </vt:variant>
      <vt:variant>
        <vt:lpwstr/>
      </vt:variant>
      <vt:variant>
        <vt:lpwstr>_Toc381775874</vt:lpwstr>
      </vt:variant>
      <vt:variant>
        <vt:i4>1703997</vt:i4>
      </vt:variant>
      <vt:variant>
        <vt:i4>2</vt:i4>
      </vt:variant>
      <vt:variant>
        <vt:i4>0</vt:i4>
      </vt:variant>
      <vt:variant>
        <vt:i4>5</vt:i4>
      </vt:variant>
      <vt:variant>
        <vt:lpwstr/>
      </vt:variant>
      <vt:variant>
        <vt:lpwstr>_Toc381775873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Kos</dc:creator>
  <cp:keywords/>
  <cp:lastModifiedBy>Christina Rieger</cp:lastModifiedBy>
  <cp:revision>3</cp:revision>
  <cp:lastPrinted>2026-07-22T07:33:00Z</cp:lastPrinted>
  <dcterms:created xsi:type="dcterms:W3CDTF">2026-07-20T09:38:00Z</dcterms:created>
  <dcterms:modified xsi:type="dcterms:W3CDTF">2026-07-22T07:54:00Z</dcterms:modified>
</cp:coreProperties>
</file>