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7E71" w14:textId="7A901FE5" w:rsidR="00B273F0" w:rsidRPr="0017373F" w:rsidRDefault="00000000" w:rsidP="0017373F">
      <w:pPr>
        <w:pStyle w:val="berschrift1"/>
        <w:jc w:val="center"/>
        <w:rPr>
          <w:rFonts w:ascii="Helvetica Neue" w:hAnsi="Helvetica Neue" w:cs="Calibri"/>
          <w:b/>
          <w:bCs/>
          <w:color w:val="000000" w:themeColor="text1"/>
          <w:sz w:val="20"/>
          <w:szCs w:val="20"/>
          <w:u w:val="single"/>
        </w:rPr>
      </w:pPr>
      <w:bookmarkStart w:id="0" w:name="pressemitteilung"/>
      <w:proofErr w:type="spellStart"/>
      <w:r w:rsidRPr="0017373F">
        <w:rPr>
          <w:rFonts w:ascii="Helvetica Neue" w:hAnsi="Helvetica Neue" w:cs="Calibri"/>
          <w:b/>
          <w:bCs/>
          <w:color w:val="000000" w:themeColor="text1"/>
          <w:sz w:val="20"/>
          <w:szCs w:val="20"/>
          <w:u w:val="single"/>
        </w:rPr>
        <w:t>Pressemitteilung</w:t>
      </w:r>
      <w:proofErr w:type="spellEnd"/>
      <w:r w:rsidR="0017373F" w:rsidRPr="0017373F">
        <w:rPr>
          <w:rFonts w:ascii="Helvetica Neue" w:hAnsi="Helvetica Neue" w:cs="Calibri"/>
          <w:b/>
          <w:bCs/>
          <w:color w:val="000000" w:themeColor="text1"/>
          <w:sz w:val="20"/>
          <w:szCs w:val="20"/>
          <w:u w:val="single"/>
        </w:rPr>
        <w:t xml:space="preserve"> // MILC</w:t>
      </w:r>
      <w:bookmarkStart w:id="1" w:name="digitale-ordnung-für-reale-wertschöpfung"/>
    </w:p>
    <w:p w14:paraId="7E78EA79" w14:textId="61C9EA7D" w:rsidR="004F1928" w:rsidRPr="004F1928" w:rsidRDefault="004F1928" w:rsidP="004F1928">
      <w:pPr>
        <w:pStyle w:val="Textkrper"/>
        <w:jc w:val="center"/>
        <w:rPr>
          <w:u w:val="single"/>
        </w:rPr>
      </w:pPr>
      <w:bookmarkStart w:id="2" w:name="X962f813c0c5a1200a84b450328c56bce6823e9d"/>
      <w:r w:rsidRPr="004F1928">
        <w:rPr>
          <w:rFonts w:ascii="Helvetica Neue" w:hAnsi="Helvetica Neue"/>
          <w:i/>
          <w:iCs/>
          <w:color w:val="000000"/>
          <w:sz w:val="20"/>
          <w:szCs w:val="20"/>
          <w:u w:val="single"/>
        </w:rPr>
        <w:t xml:space="preserve">Digital Genesis Fund </w:t>
      </w:r>
      <w:proofErr w:type="spellStart"/>
      <w:r w:rsidRPr="004F1928">
        <w:rPr>
          <w:rFonts w:ascii="Helvetica Neue" w:hAnsi="Helvetica Neue"/>
          <w:i/>
          <w:iCs/>
          <w:color w:val="000000"/>
          <w:sz w:val="20"/>
          <w:szCs w:val="20"/>
          <w:u w:val="single"/>
        </w:rPr>
        <w:t>startet</w:t>
      </w:r>
      <w:proofErr w:type="spellEnd"/>
      <w:r w:rsidRPr="004F1928">
        <w:rPr>
          <w:rFonts w:ascii="Helvetica Neue" w:hAnsi="Helvetica Neue"/>
          <w:i/>
          <w:iCs/>
          <w:color w:val="000000"/>
          <w:sz w:val="20"/>
          <w:szCs w:val="20"/>
          <w:u w:val="single"/>
        </w:rPr>
        <w:t xml:space="preserve"> - MILC </w:t>
      </w:r>
      <w:proofErr w:type="spellStart"/>
      <w:r w:rsidRPr="004F1928">
        <w:rPr>
          <w:rFonts w:ascii="Helvetica Neue" w:hAnsi="Helvetica Neue"/>
          <w:i/>
          <w:iCs/>
          <w:color w:val="000000"/>
          <w:sz w:val="20"/>
          <w:szCs w:val="20"/>
          <w:u w:val="single"/>
        </w:rPr>
        <w:t>liefert</w:t>
      </w:r>
      <w:proofErr w:type="spellEnd"/>
      <w:r w:rsidRPr="004F1928">
        <w:rPr>
          <w:rFonts w:ascii="Helvetica Neue" w:hAnsi="Helvetica Neue"/>
          <w:i/>
          <w:iCs/>
          <w:color w:val="000000"/>
          <w:sz w:val="20"/>
          <w:szCs w:val="20"/>
          <w:u w:val="single"/>
        </w:rPr>
        <w:t xml:space="preserve"> den </w:t>
      </w:r>
      <w:proofErr w:type="spellStart"/>
      <w:r w:rsidRPr="004F1928">
        <w:rPr>
          <w:rFonts w:ascii="Helvetica Neue" w:hAnsi="Helvetica Neue"/>
          <w:i/>
          <w:iCs/>
          <w:color w:val="000000"/>
          <w:sz w:val="20"/>
          <w:szCs w:val="20"/>
          <w:u w:val="single"/>
        </w:rPr>
        <w:t>ersten</w:t>
      </w:r>
      <w:proofErr w:type="spellEnd"/>
      <w:r w:rsidRPr="004F1928">
        <w:rPr>
          <w:rFonts w:ascii="Helvetica Neue" w:hAnsi="Helvetica Neue"/>
          <w:i/>
          <w:iCs/>
          <w:color w:val="000000"/>
          <w:sz w:val="20"/>
          <w:szCs w:val="20"/>
          <w:u w:val="single"/>
        </w:rPr>
        <w:t xml:space="preserve"> </w:t>
      </w:r>
      <w:proofErr w:type="spellStart"/>
      <w:r w:rsidRPr="004F1928">
        <w:rPr>
          <w:rFonts w:ascii="Helvetica Neue" w:hAnsi="Helvetica Neue"/>
          <w:i/>
          <w:iCs/>
          <w:color w:val="000000"/>
          <w:sz w:val="20"/>
          <w:szCs w:val="20"/>
          <w:u w:val="single"/>
        </w:rPr>
        <w:t>Praxisfall</w:t>
      </w:r>
      <w:proofErr w:type="spellEnd"/>
      <w:r w:rsidRPr="004F1928">
        <w:rPr>
          <w:rFonts w:ascii="Helvetica Neue" w:hAnsi="Helvetica Neue"/>
          <w:i/>
          <w:iCs/>
          <w:color w:val="000000"/>
          <w:sz w:val="20"/>
          <w:szCs w:val="20"/>
          <w:u w:val="single"/>
        </w:rPr>
        <w:t xml:space="preserve"> für </w:t>
      </w:r>
      <w:proofErr w:type="spellStart"/>
      <w:r w:rsidRPr="004F1928">
        <w:rPr>
          <w:rFonts w:ascii="Helvetica Neue" w:hAnsi="Helvetica Neue"/>
          <w:i/>
          <w:iCs/>
          <w:color w:val="000000"/>
          <w:sz w:val="20"/>
          <w:szCs w:val="20"/>
          <w:u w:val="single"/>
        </w:rPr>
        <w:t>tokenisierte</w:t>
      </w:r>
      <w:proofErr w:type="spellEnd"/>
      <w:r w:rsidRPr="004F1928">
        <w:rPr>
          <w:rFonts w:ascii="Helvetica Neue" w:hAnsi="Helvetica Neue"/>
          <w:i/>
          <w:iCs/>
          <w:color w:val="000000"/>
          <w:sz w:val="20"/>
          <w:szCs w:val="20"/>
          <w:u w:val="single"/>
        </w:rPr>
        <w:t xml:space="preserve"> </w:t>
      </w:r>
      <w:proofErr w:type="spellStart"/>
      <w:r w:rsidRPr="004F1928">
        <w:rPr>
          <w:rFonts w:ascii="Helvetica Neue" w:hAnsi="Helvetica Neue"/>
          <w:i/>
          <w:iCs/>
          <w:color w:val="000000"/>
          <w:sz w:val="20"/>
          <w:szCs w:val="20"/>
          <w:u w:val="single"/>
        </w:rPr>
        <w:t>Infrastruktur</w:t>
      </w:r>
      <w:proofErr w:type="spellEnd"/>
    </w:p>
    <w:p w14:paraId="66DCEC9F" w14:textId="06030CAC" w:rsidR="00B273F0" w:rsidRPr="0017373F" w:rsidRDefault="00000000">
      <w:pPr>
        <w:pStyle w:val="FirstParagraph"/>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 xml:space="preserve">Luxemburg, </w:t>
      </w:r>
      <w:r w:rsidR="00075D57">
        <w:rPr>
          <w:rFonts w:ascii="Helvetica Neue" w:hAnsi="Helvetica Neue" w:cs="Calibri"/>
          <w:b/>
          <w:bCs/>
          <w:color w:val="000000" w:themeColor="text1"/>
          <w:sz w:val="20"/>
          <w:szCs w:val="20"/>
        </w:rPr>
        <w:t>03</w:t>
      </w:r>
      <w:r w:rsidRPr="0017373F">
        <w:rPr>
          <w:rFonts w:ascii="Helvetica Neue" w:hAnsi="Helvetica Neue" w:cs="Calibri"/>
          <w:b/>
          <w:bCs/>
          <w:color w:val="000000" w:themeColor="text1"/>
          <w:sz w:val="20"/>
          <w:szCs w:val="20"/>
        </w:rPr>
        <w:t>.0</w:t>
      </w:r>
      <w:r w:rsidR="00075D57">
        <w:rPr>
          <w:rFonts w:ascii="Helvetica Neue" w:hAnsi="Helvetica Neue" w:cs="Calibri"/>
          <w:b/>
          <w:bCs/>
          <w:color w:val="000000" w:themeColor="text1"/>
          <w:sz w:val="20"/>
          <w:szCs w:val="20"/>
        </w:rPr>
        <w:t>2</w:t>
      </w:r>
      <w:r w:rsidRPr="0017373F">
        <w:rPr>
          <w:rFonts w:ascii="Helvetica Neue" w:hAnsi="Helvetica Neue" w:cs="Calibri"/>
          <w:b/>
          <w:bCs/>
          <w:color w:val="000000" w:themeColor="text1"/>
          <w:sz w:val="20"/>
          <w:szCs w:val="20"/>
        </w:rPr>
        <w:t>.2026</w:t>
      </w:r>
      <w:r w:rsidRPr="0017373F">
        <w:rPr>
          <w:rFonts w:ascii="Helvetica Neue" w:hAnsi="Helvetica Neue" w:cs="Calibri"/>
          <w:color w:val="000000" w:themeColor="text1"/>
          <w:sz w:val="20"/>
          <w:szCs w:val="20"/>
        </w:rPr>
        <w:t xml:space="preserve"> – Der </w:t>
      </w:r>
      <w:r w:rsidRPr="0017373F">
        <w:rPr>
          <w:rFonts w:ascii="Helvetica Neue" w:hAnsi="Helvetica Neue" w:cs="Calibri"/>
          <w:b/>
          <w:bCs/>
          <w:color w:val="000000" w:themeColor="text1"/>
          <w:sz w:val="20"/>
          <w:szCs w:val="20"/>
        </w:rPr>
        <w:t>Digital Genesis Fund (DGF)</w:t>
      </w:r>
      <w:r w:rsidRPr="0017373F">
        <w:rPr>
          <w:rFonts w:ascii="Helvetica Neue" w:hAnsi="Helvetica Neue" w:cs="Calibri"/>
          <w:color w:val="000000" w:themeColor="text1"/>
          <w:sz w:val="20"/>
          <w:szCs w:val="20"/>
        </w:rPr>
        <w:t xml:space="preserve"> startet als neue europäische Investmentplattform mit einem klaren Anspruch: Er investiert in </w:t>
      </w:r>
      <w:r w:rsidRPr="0017373F">
        <w:rPr>
          <w:rFonts w:ascii="Helvetica Neue" w:hAnsi="Helvetica Neue" w:cs="Calibri"/>
          <w:b/>
          <w:bCs/>
          <w:color w:val="000000" w:themeColor="text1"/>
          <w:sz w:val="20"/>
          <w:szCs w:val="20"/>
        </w:rPr>
        <w:t>digitale Infrastruktur</w:t>
      </w:r>
      <w:r w:rsidRPr="0017373F">
        <w:rPr>
          <w:rFonts w:ascii="Helvetica Neue" w:hAnsi="Helvetica Neue" w:cs="Calibri"/>
          <w:color w:val="000000" w:themeColor="text1"/>
          <w:sz w:val="20"/>
          <w:szCs w:val="20"/>
        </w:rPr>
        <w:t xml:space="preserve">, die </w:t>
      </w:r>
      <w:r w:rsidRPr="0017373F">
        <w:rPr>
          <w:rFonts w:ascii="Helvetica Neue" w:hAnsi="Helvetica Neue" w:cs="Calibri"/>
          <w:b/>
          <w:bCs/>
          <w:color w:val="000000" w:themeColor="text1"/>
          <w:sz w:val="20"/>
          <w:szCs w:val="20"/>
        </w:rPr>
        <w:t>Ordnung in reale Wertschöpfung</w:t>
      </w:r>
      <w:r w:rsidRPr="0017373F">
        <w:rPr>
          <w:rFonts w:ascii="Helvetica Neue" w:hAnsi="Helvetica Neue" w:cs="Calibri"/>
          <w:color w:val="000000" w:themeColor="text1"/>
          <w:sz w:val="20"/>
          <w:szCs w:val="20"/>
        </w:rPr>
        <w:t xml:space="preserve"> bringt. Überall dort, wo Eigentum, Nutzung und Erlöse heute getrennt, unübersichtlich oder schwer überprüfbar organisiert sind, schafft der Fonds verlässliche Strukturen.</w:t>
      </w:r>
    </w:p>
    <w:p w14:paraId="446E83FA" w14:textId="77777777" w:rsidR="00B273F0" w:rsidRPr="0017373F" w:rsidRDefault="00000000">
      <w:pPr>
        <w:pStyle w:val="Textkrper"/>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Der Digital Genesis Fund folgt einem sektorübergreifenden Prinzip. Nicht einzelne Branchen stehen im Fokus, sondern eine grundlegende Frage, die sich in nahezu allen Bereichen stellt:</w:t>
      </w:r>
    </w:p>
    <w:p w14:paraId="5EC9DD18" w14:textId="77777777" w:rsidR="00B273F0" w:rsidRPr="0017373F" w:rsidRDefault="00000000">
      <w:pPr>
        <w:pStyle w:val="Textkrper"/>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Wem gehört etwas, wer darf es nutzen und wie entstehen daraus Erlöse?</w:t>
      </w:r>
    </w:p>
    <w:p w14:paraId="0133C24E" w14:textId="77777777" w:rsidR="00B273F0" w:rsidRPr="0017373F" w:rsidRDefault="00000000">
      <w:pPr>
        <w:pStyle w:val="Textkrper"/>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Ob Medienrechte, Daten- und Energieinfrastruktur, Mobilität oder andere reale Vermögenswerte – überall entscheidet diese Frage darüber, ob Wertschöpfung transparent, investierbar und langfristig tragfähig ist. Der Fonds investiert in digitale Systeme, die genau diese Zusammenhänge eindeutig klären und verlässlich umsetzen.</w:t>
      </w:r>
    </w:p>
    <w:p w14:paraId="785D9D4F" w14:textId="27B365B1" w:rsidR="00B273F0" w:rsidRPr="0017373F" w:rsidRDefault="00000000" w:rsidP="0017373F">
      <w:pPr>
        <w:pStyle w:val="Blocktext"/>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„Wer Kapital langfristig in digitale Märkte bringen will, braucht nachvollziehbare Regeln. Unser Ansatz ist, </w:t>
      </w:r>
      <w:proofErr w:type="spellStart"/>
      <w:r w:rsidRPr="0017373F">
        <w:rPr>
          <w:rFonts w:ascii="Helvetica Neue" w:hAnsi="Helvetica Neue" w:cs="Calibri"/>
          <w:color w:val="000000" w:themeColor="text1"/>
          <w:sz w:val="20"/>
          <w:szCs w:val="20"/>
        </w:rPr>
        <w:t>solche</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Regeln</w:t>
      </w:r>
      <w:proofErr w:type="spellEnd"/>
      <w:r w:rsidRPr="0017373F">
        <w:rPr>
          <w:rFonts w:ascii="Helvetica Neue" w:hAnsi="Helvetica Neue" w:cs="Calibri"/>
          <w:color w:val="000000" w:themeColor="text1"/>
          <w:sz w:val="20"/>
          <w:szCs w:val="20"/>
        </w:rPr>
        <w:t xml:space="preserve"> in </w:t>
      </w:r>
      <w:proofErr w:type="spellStart"/>
      <w:r w:rsidRPr="0017373F">
        <w:rPr>
          <w:rFonts w:ascii="Helvetica Neue" w:hAnsi="Helvetica Neue" w:cs="Calibri"/>
          <w:color w:val="000000" w:themeColor="text1"/>
          <w:sz w:val="20"/>
          <w:szCs w:val="20"/>
        </w:rPr>
        <w:t>Infrastruktur</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zu</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übersetzen</w:t>
      </w:r>
      <w:proofErr w:type="spellEnd"/>
      <w:r w:rsidR="0017373F">
        <w:rPr>
          <w:rFonts w:ascii="Helvetica Neue" w:hAnsi="Helvetica Neue" w:cs="Calibri"/>
          <w:color w:val="000000" w:themeColor="text1"/>
          <w:sz w:val="20"/>
          <w:szCs w:val="20"/>
        </w:rPr>
        <w:t>. D</w:t>
      </w:r>
      <w:r w:rsidRPr="0017373F">
        <w:rPr>
          <w:rFonts w:ascii="Helvetica Neue" w:hAnsi="Helvetica Neue" w:cs="Calibri"/>
          <w:color w:val="000000" w:themeColor="text1"/>
          <w:sz w:val="20"/>
          <w:szCs w:val="20"/>
        </w:rPr>
        <w:t xml:space="preserve">amit </w:t>
      </w:r>
      <w:proofErr w:type="spellStart"/>
      <w:r w:rsidRPr="0017373F">
        <w:rPr>
          <w:rFonts w:ascii="Helvetica Neue" w:hAnsi="Helvetica Neue" w:cs="Calibri"/>
          <w:color w:val="000000" w:themeColor="text1"/>
          <w:sz w:val="20"/>
          <w:szCs w:val="20"/>
        </w:rPr>
        <w:t>reale</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Wertschöpfung</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prüfbar</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übertragbar</w:t>
      </w:r>
      <w:proofErr w:type="spellEnd"/>
      <w:r w:rsidRPr="0017373F">
        <w:rPr>
          <w:rFonts w:ascii="Helvetica Neue" w:hAnsi="Helvetica Neue" w:cs="Calibri"/>
          <w:color w:val="000000" w:themeColor="text1"/>
          <w:sz w:val="20"/>
          <w:szCs w:val="20"/>
        </w:rPr>
        <w:t xml:space="preserve"> und investierbar </w:t>
      </w:r>
      <w:proofErr w:type="gramStart"/>
      <w:r w:rsidRPr="0017373F">
        <w:rPr>
          <w:rFonts w:ascii="Helvetica Neue" w:hAnsi="Helvetica Neue" w:cs="Calibri"/>
          <w:color w:val="000000" w:themeColor="text1"/>
          <w:sz w:val="20"/>
          <w:szCs w:val="20"/>
        </w:rPr>
        <w:t>wird.“</w:t>
      </w:r>
      <w:proofErr w:type="gramEnd"/>
      <w:r w:rsidRPr="0017373F">
        <w:rPr>
          <w:rFonts w:ascii="Helvetica Neue" w:hAnsi="Helvetica Neue" w:cs="Calibri"/>
          <w:color w:val="000000" w:themeColor="text1"/>
          <w:sz w:val="20"/>
          <w:szCs w:val="20"/>
        </w:rPr>
        <w:t xml:space="preserve"> – Hendrik Hey</w:t>
      </w:r>
    </w:p>
    <w:p w14:paraId="3A68DB1B" w14:textId="77777777" w:rsidR="00B273F0" w:rsidRPr="0017373F" w:rsidRDefault="00000000">
      <w:pPr>
        <w:pStyle w:val="berschrift2"/>
        <w:rPr>
          <w:rFonts w:ascii="Helvetica Neue" w:hAnsi="Helvetica Neue" w:cs="Calibri"/>
          <w:b/>
          <w:bCs/>
          <w:color w:val="000000" w:themeColor="text1"/>
          <w:sz w:val="20"/>
          <w:szCs w:val="20"/>
        </w:rPr>
      </w:pPr>
      <w:bookmarkStart w:id="3" w:name="Xd7c8cd66f255c336ab80b70ccb6f978574e2024"/>
      <w:bookmarkEnd w:id="1"/>
      <w:bookmarkEnd w:id="2"/>
      <w:r w:rsidRPr="0017373F">
        <w:rPr>
          <w:rFonts w:ascii="Helvetica Neue" w:hAnsi="Helvetica Neue" w:cs="Calibri"/>
          <w:b/>
          <w:bCs/>
          <w:color w:val="000000" w:themeColor="text1"/>
          <w:sz w:val="20"/>
          <w:szCs w:val="20"/>
        </w:rPr>
        <w:t>Was hinter Web3, Tokenisierung und automatisierten Verträgen steckt</w:t>
      </w:r>
    </w:p>
    <w:p w14:paraId="63AA7AF1" w14:textId="159FF521" w:rsidR="00B273F0" w:rsidRPr="0017373F" w:rsidRDefault="00000000">
      <w:pPr>
        <w:pStyle w:val="FirstParagraph"/>
        <w:rPr>
          <w:rFonts w:ascii="Helvetica Neue" w:hAnsi="Helvetica Neue" w:cs="Calibri"/>
          <w:color w:val="000000" w:themeColor="text1"/>
          <w:sz w:val="20"/>
          <w:szCs w:val="20"/>
        </w:rPr>
      </w:pPr>
      <w:proofErr w:type="spellStart"/>
      <w:r w:rsidRPr="0017373F">
        <w:rPr>
          <w:rFonts w:ascii="Helvetica Neue" w:hAnsi="Helvetica Neue" w:cs="Calibri"/>
          <w:color w:val="000000" w:themeColor="text1"/>
          <w:sz w:val="20"/>
          <w:szCs w:val="20"/>
        </w:rPr>
        <w:t>Begriffe</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wie</w:t>
      </w:r>
      <w:proofErr w:type="spellEnd"/>
      <w:r w:rsidRPr="0017373F">
        <w:rPr>
          <w:rFonts w:ascii="Helvetica Neue" w:hAnsi="Helvetica Neue" w:cs="Calibri"/>
          <w:color w:val="000000" w:themeColor="text1"/>
          <w:sz w:val="20"/>
          <w:szCs w:val="20"/>
        </w:rPr>
        <w:t xml:space="preserve"> </w:t>
      </w:r>
      <w:r w:rsidRPr="0017373F">
        <w:rPr>
          <w:rFonts w:ascii="Helvetica Neue" w:hAnsi="Helvetica Neue" w:cs="Calibri"/>
          <w:b/>
          <w:bCs/>
          <w:color w:val="000000" w:themeColor="text1"/>
          <w:sz w:val="20"/>
          <w:szCs w:val="20"/>
        </w:rPr>
        <w:t>Web3</w:t>
      </w:r>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oder</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b/>
          <w:bCs/>
          <w:color w:val="000000" w:themeColor="text1"/>
          <w:sz w:val="20"/>
          <w:szCs w:val="20"/>
        </w:rPr>
        <w:t>Tokenisierung</w:t>
      </w:r>
      <w:proofErr w:type="spellEnd"/>
      <w:r w:rsidRPr="0017373F">
        <w:rPr>
          <w:rFonts w:ascii="Helvetica Neue" w:hAnsi="Helvetica Neue" w:cs="Calibri"/>
          <w:color w:val="000000" w:themeColor="text1"/>
          <w:sz w:val="20"/>
          <w:szCs w:val="20"/>
        </w:rPr>
        <w:t xml:space="preserve"> </w:t>
      </w:r>
      <w:proofErr w:type="spellStart"/>
      <w:r w:rsidR="0017373F">
        <w:rPr>
          <w:rFonts w:ascii="Helvetica Neue" w:hAnsi="Helvetica Neue" w:cs="Calibri"/>
          <w:color w:val="000000" w:themeColor="text1"/>
          <w:sz w:val="20"/>
          <w:szCs w:val="20"/>
        </w:rPr>
        <w:t>sind</w:t>
      </w:r>
      <w:proofErr w:type="spellEnd"/>
      <w:r w:rsidR="0017373F">
        <w:rPr>
          <w:rFonts w:ascii="Helvetica Neue" w:hAnsi="Helvetica Neue" w:cs="Calibri"/>
          <w:color w:val="000000" w:themeColor="text1"/>
          <w:sz w:val="20"/>
          <w:szCs w:val="20"/>
        </w:rPr>
        <w:t xml:space="preserve"> für </w:t>
      </w:r>
      <w:proofErr w:type="spellStart"/>
      <w:r w:rsidR="0017373F">
        <w:rPr>
          <w:rFonts w:ascii="Helvetica Neue" w:hAnsi="Helvetica Neue" w:cs="Calibri"/>
          <w:color w:val="000000" w:themeColor="text1"/>
          <w:sz w:val="20"/>
          <w:szCs w:val="20"/>
        </w:rPr>
        <w:t>viele</w:t>
      </w:r>
      <w:proofErr w:type="spellEnd"/>
      <w:r w:rsid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noch</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abstrakt</w:t>
      </w:r>
      <w:proofErr w:type="spellEnd"/>
      <w:r w:rsidRPr="0017373F">
        <w:rPr>
          <w:rFonts w:ascii="Helvetica Neue" w:hAnsi="Helvetica Neue" w:cs="Calibri"/>
          <w:color w:val="000000" w:themeColor="text1"/>
          <w:sz w:val="20"/>
          <w:szCs w:val="20"/>
        </w:rPr>
        <w:t xml:space="preserve">. Im Kern geht es um eine technische Grundlage, mit der sich Eigentum und Nutzungsrechte </w:t>
      </w:r>
      <w:r w:rsidRPr="0017373F">
        <w:rPr>
          <w:rFonts w:ascii="Helvetica Neue" w:hAnsi="Helvetica Neue" w:cs="Calibri"/>
          <w:b/>
          <w:bCs/>
          <w:color w:val="000000" w:themeColor="text1"/>
          <w:sz w:val="20"/>
          <w:szCs w:val="20"/>
        </w:rPr>
        <w:t xml:space="preserve">digital </w:t>
      </w:r>
      <w:proofErr w:type="spellStart"/>
      <w:r w:rsidRPr="0017373F">
        <w:rPr>
          <w:rFonts w:ascii="Helvetica Neue" w:hAnsi="Helvetica Neue" w:cs="Calibri"/>
          <w:b/>
          <w:bCs/>
          <w:color w:val="000000" w:themeColor="text1"/>
          <w:sz w:val="20"/>
          <w:szCs w:val="20"/>
        </w:rPr>
        <w:t>abbilden</w:t>
      </w:r>
      <w:proofErr w:type="spellEnd"/>
      <w:r w:rsidRPr="0017373F">
        <w:rPr>
          <w:rFonts w:ascii="Helvetica Neue" w:hAnsi="Helvetica Neue" w:cs="Calibri"/>
          <w:color w:val="000000" w:themeColor="text1"/>
          <w:sz w:val="20"/>
          <w:szCs w:val="20"/>
        </w:rPr>
        <w:t xml:space="preserve"> und </w:t>
      </w:r>
      <w:proofErr w:type="spellStart"/>
      <w:r w:rsidRPr="0017373F">
        <w:rPr>
          <w:rFonts w:ascii="Helvetica Neue" w:hAnsi="Helvetica Neue" w:cs="Calibri"/>
          <w:b/>
          <w:bCs/>
          <w:color w:val="000000" w:themeColor="text1"/>
          <w:sz w:val="20"/>
          <w:szCs w:val="20"/>
        </w:rPr>
        <w:t>fälschungssicher</w:t>
      </w:r>
      <w:proofErr w:type="spellEnd"/>
      <w:r w:rsidRPr="0017373F">
        <w:rPr>
          <w:rFonts w:ascii="Helvetica Neue" w:hAnsi="Helvetica Neue" w:cs="Calibri"/>
          <w:b/>
          <w:bCs/>
          <w:color w:val="000000" w:themeColor="text1"/>
          <w:sz w:val="20"/>
          <w:szCs w:val="20"/>
        </w:rPr>
        <w:t xml:space="preserve"> </w:t>
      </w:r>
      <w:proofErr w:type="spellStart"/>
      <w:r w:rsidRPr="0017373F">
        <w:rPr>
          <w:rFonts w:ascii="Helvetica Neue" w:hAnsi="Helvetica Neue" w:cs="Calibri"/>
          <w:b/>
          <w:bCs/>
          <w:color w:val="000000" w:themeColor="text1"/>
          <w:sz w:val="20"/>
          <w:szCs w:val="20"/>
        </w:rPr>
        <w:t>dokumentieren</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lassen</w:t>
      </w:r>
      <w:proofErr w:type="spellEnd"/>
      <w:r w:rsidR="0017373F">
        <w:rPr>
          <w:rFonts w:ascii="Helvetica Neue" w:hAnsi="Helvetica Neue" w:cs="Calibri"/>
          <w:color w:val="000000" w:themeColor="text1"/>
          <w:sz w:val="20"/>
          <w:szCs w:val="20"/>
        </w:rPr>
        <w:t>.</w:t>
      </w:r>
      <w:r w:rsidRPr="0017373F">
        <w:rPr>
          <w:rFonts w:ascii="Helvetica Neue" w:hAnsi="Helvetica Neue" w:cs="Calibri"/>
          <w:color w:val="000000" w:themeColor="text1"/>
          <w:sz w:val="20"/>
          <w:szCs w:val="20"/>
        </w:rPr>
        <w:t xml:space="preserve"> </w:t>
      </w:r>
      <w:r w:rsidR="0017373F">
        <w:rPr>
          <w:rFonts w:ascii="Helvetica Neue" w:hAnsi="Helvetica Neue" w:cs="Calibri"/>
          <w:color w:val="000000" w:themeColor="text1"/>
          <w:sz w:val="20"/>
          <w:szCs w:val="20"/>
        </w:rPr>
        <w:t>U</w:t>
      </w:r>
      <w:r w:rsidRPr="0017373F">
        <w:rPr>
          <w:rFonts w:ascii="Helvetica Neue" w:hAnsi="Helvetica Neue" w:cs="Calibri"/>
          <w:color w:val="000000" w:themeColor="text1"/>
          <w:sz w:val="20"/>
          <w:szCs w:val="20"/>
        </w:rPr>
        <w:t xml:space="preserve">nter </w:t>
      </w:r>
      <w:proofErr w:type="spellStart"/>
      <w:r w:rsidRPr="0017373F">
        <w:rPr>
          <w:rFonts w:ascii="Helvetica Neue" w:hAnsi="Helvetica Neue" w:cs="Calibri"/>
          <w:color w:val="000000" w:themeColor="text1"/>
          <w:sz w:val="20"/>
          <w:szCs w:val="20"/>
        </w:rPr>
        <w:t>einem</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europäischen</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Rechtsrahmen</w:t>
      </w:r>
      <w:proofErr w:type="spellEnd"/>
      <w:r w:rsidRPr="0017373F">
        <w:rPr>
          <w:rFonts w:ascii="Helvetica Neue" w:hAnsi="Helvetica Neue" w:cs="Calibri"/>
          <w:color w:val="000000" w:themeColor="text1"/>
          <w:sz w:val="20"/>
          <w:szCs w:val="20"/>
        </w:rPr>
        <w:t>.</w:t>
      </w:r>
    </w:p>
    <w:p w14:paraId="0035CEE8" w14:textId="27FA820B" w:rsidR="00B273F0" w:rsidRPr="0017373F" w:rsidRDefault="00000000" w:rsidP="0017373F">
      <w:pPr>
        <w:pStyle w:val="FirstParagraph"/>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Der Digital Genesis Fund richtet sich auf Infrastruktur, die solche Mechanismen in reale Märkte übersetzt – mit dem Ziel, Prozesse nachvollziehbarer zu machen und neue, rechtlich </w:t>
      </w:r>
      <w:proofErr w:type="spellStart"/>
      <w:r w:rsidRPr="0017373F">
        <w:rPr>
          <w:rFonts w:ascii="Helvetica Neue" w:hAnsi="Helvetica Neue" w:cs="Calibri"/>
          <w:color w:val="000000" w:themeColor="text1"/>
          <w:sz w:val="20"/>
          <w:szCs w:val="20"/>
        </w:rPr>
        <w:t>belastbare</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Investitions</w:t>
      </w:r>
      <w:proofErr w:type="spellEnd"/>
      <w:r w:rsidRPr="0017373F">
        <w:rPr>
          <w:rFonts w:ascii="Helvetica Neue" w:hAnsi="Helvetica Neue" w:cs="Calibri"/>
          <w:color w:val="000000" w:themeColor="text1"/>
          <w:sz w:val="20"/>
          <w:szCs w:val="20"/>
        </w:rPr>
        <w:t xml:space="preserve">- und </w:t>
      </w:r>
      <w:proofErr w:type="spellStart"/>
      <w:r w:rsidRPr="0017373F">
        <w:rPr>
          <w:rFonts w:ascii="Helvetica Neue" w:hAnsi="Helvetica Neue" w:cs="Calibri"/>
          <w:color w:val="000000" w:themeColor="text1"/>
          <w:sz w:val="20"/>
          <w:szCs w:val="20"/>
        </w:rPr>
        <w:t>Beteiligungsmodelle</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zu</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ermöglichen</w:t>
      </w:r>
      <w:proofErr w:type="spellEnd"/>
      <w:r w:rsidRPr="0017373F">
        <w:rPr>
          <w:rFonts w:ascii="Helvetica Neue" w:hAnsi="Helvetica Neue" w:cs="Calibri"/>
          <w:color w:val="000000" w:themeColor="text1"/>
          <w:sz w:val="20"/>
          <w:szCs w:val="20"/>
        </w:rPr>
        <w:t>.</w:t>
      </w:r>
    </w:p>
    <w:p w14:paraId="2B4F394E" w14:textId="77777777" w:rsidR="00B273F0" w:rsidRPr="0017373F" w:rsidRDefault="00000000">
      <w:pPr>
        <w:pStyle w:val="berschrift2"/>
        <w:rPr>
          <w:rFonts w:ascii="Helvetica Neue" w:hAnsi="Helvetica Neue" w:cs="Calibri"/>
          <w:b/>
          <w:bCs/>
          <w:color w:val="000000" w:themeColor="text1"/>
          <w:sz w:val="20"/>
          <w:szCs w:val="20"/>
        </w:rPr>
      </w:pPr>
      <w:bookmarkStart w:id="4" w:name="fondsstruktur-und-europäischer-rahmen"/>
      <w:bookmarkEnd w:id="3"/>
      <w:r w:rsidRPr="0017373F">
        <w:rPr>
          <w:rFonts w:ascii="Helvetica Neue" w:hAnsi="Helvetica Neue" w:cs="Calibri"/>
          <w:b/>
          <w:bCs/>
          <w:color w:val="000000" w:themeColor="text1"/>
          <w:sz w:val="20"/>
          <w:szCs w:val="20"/>
        </w:rPr>
        <w:t>Fondsstruktur und europäischer Rahmen</w:t>
      </w:r>
    </w:p>
    <w:p w14:paraId="19562075" w14:textId="77777777" w:rsidR="00B273F0" w:rsidRPr="0017373F" w:rsidRDefault="00000000">
      <w:pPr>
        <w:pStyle w:val="FirstParagraph"/>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Der Digital Genesis Fund ist als </w:t>
      </w:r>
      <w:r w:rsidRPr="0017373F">
        <w:rPr>
          <w:rFonts w:ascii="Helvetica Neue" w:hAnsi="Helvetica Neue" w:cs="Calibri"/>
          <w:b/>
          <w:bCs/>
          <w:color w:val="000000" w:themeColor="text1"/>
          <w:sz w:val="20"/>
          <w:szCs w:val="20"/>
        </w:rPr>
        <w:t>Luxemburger SICAV-RAIF</w:t>
      </w:r>
      <w:r w:rsidRPr="0017373F">
        <w:rPr>
          <w:rFonts w:ascii="Helvetica Neue" w:hAnsi="Helvetica Neue" w:cs="Calibri"/>
          <w:color w:val="000000" w:themeColor="text1"/>
          <w:sz w:val="20"/>
          <w:szCs w:val="20"/>
        </w:rPr>
        <w:t xml:space="preserve"> aufgelegt. Er investiert langfristig und arbeitet nach klaren europäischen Regeln für Transparenz und Kontrolle. Damit soll ein stabiles Umfeld entstehen, das auch internationalen Partnern verlässliche Rahmenbedingungen bietet.</w:t>
      </w:r>
    </w:p>
    <w:p w14:paraId="6EB71B4B" w14:textId="77777777" w:rsidR="0017373F" w:rsidRDefault="00000000" w:rsidP="0017373F">
      <w:pPr>
        <w:pStyle w:val="Textkrper"/>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Das institutionelle Setup umfasst: </w:t>
      </w:r>
    </w:p>
    <w:p w14:paraId="4C0F7C26" w14:textId="170B5687" w:rsidR="0017373F" w:rsidRDefault="00000000" w:rsidP="0017373F">
      <w:pPr>
        <w:pStyle w:val="Textkrper"/>
        <w:numPr>
          <w:ilvl w:val="0"/>
          <w:numId w:val="6"/>
        </w:numPr>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6M</w:t>
      </w:r>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als</w:t>
      </w:r>
      <w:proofErr w:type="spellEnd"/>
      <w:r w:rsidRPr="0017373F">
        <w:rPr>
          <w:rFonts w:ascii="Helvetica Neue" w:hAnsi="Helvetica Neue" w:cs="Calibri"/>
          <w:color w:val="000000" w:themeColor="text1"/>
          <w:sz w:val="20"/>
          <w:szCs w:val="20"/>
        </w:rPr>
        <w:t xml:space="preserve"> AIFM und Fund Advisor </w:t>
      </w:r>
    </w:p>
    <w:p w14:paraId="5A24AA00" w14:textId="688C8174" w:rsidR="0017373F" w:rsidRDefault="00000000" w:rsidP="0017373F">
      <w:pPr>
        <w:pStyle w:val="Textkrper"/>
        <w:numPr>
          <w:ilvl w:val="0"/>
          <w:numId w:val="6"/>
        </w:numPr>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Securities S.A.</w:t>
      </w:r>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als</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Verwahrstelle</w:t>
      </w:r>
      <w:proofErr w:type="spellEnd"/>
      <w:r w:rsidRPr="0017373F">
        <w:rPr>
          <w:rFonts w:ascii="Helvetica Neue" w:hAnsi="Helvetica Neue" w:cs="Calibri"/>
          <w:color w:val="000000" w:themeColor="text1"/>
          <w:sz w:val="20"/>
          <w:szCs w:val="20"/>
        </w:rPr>
        <w:t xml:space="preserve"> (Depositary) </w:t>
      </w:r>
    </w:p>
    <w:p w14:paraId="09196D96" w14:textId="714F23B1" w:rsidR="0017373F" w:rsidRDefault="00000000" w:rsidP="0017373F">
      <w:pPr>
        <w:pStyle w:val="Textkrper"/>
        <w:numPr>
          <w:ilvl w:val="0"/>
          <w:numId w:val="6"/>
        </w:numPr>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EY</w:t>
      </w:r>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als</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Wirtschaftsprüfer</w:t>
      </w:r>
      <w:proofErr w:type="spellEnd"/>
      <w:r w:rsidRPr="0017373F">
        <w:rPr>
          <w:rFonts w:ascii="Helvetica Neue" w:hAnsi="Helvetica Neue" w:cs="Calibri"/>
          <w:color w:val="000000" w:themeColor="text1"/>
          <w:sz w:val="20"/>
          <w:szCs w:val="20"/>
        </w:rPr>
        <w:t xml:space="preserve"> </w:t>
      </w:r>
    </w:p>
    <w:p w14:paraId="5025B034" w14:textId="0419345E" w:rsidR="00B273F0" w:rsidRPr="0017373F" w:rsidRDefault="00000000" w:rsidP="0017373F">
      <w:pPr>
        <w:pStyle w:val="Textkrper"/>
        <w:numPr>
          <w:ilvl w:val="0"/>
          <w:numId w:val="6"/>
        </w:numPr>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DLA Piper</w:t>
      </w:r>
      <w:r w:rsidRPr="0017373F">
        <w:rPr>
          <w:rFonts w:ascii="Helvetica Neue" w:hAnsi="Helvetica Neue" w:cs="Calibri"/>
          <w:color w:val="000000" w:themeColor="text1"/>
          <w:sz w:val="20"/>
          <w:szCs w:val="20"/>
        </w:rPr>
        <w:t xml:space="preserve"> für </w:t>
      </w:r>
      <w:proofErr w:type="spellStart"/>
      <w:r w:rsidRPr="0017373F">
        <w:rPr>
          <w:rFonts w:ascii="Helvetica Neue" w:hAnsi="Helvetica Neue" w:cs="Calibri"/>
          <w:color w:val="000000" w:themeColor="text1"/>
          <w:sz w:val="20"/>
          <w:szCs w:val="20"/>
        </w:rPr>
        <w:t>rechtliche</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Strukturierung</w:t>
      </w:r>
      <w:proofErr w:type="spellEnd"/>
      <w:r w:rsidRPr="0017373F">
        <w:rPr>
          <w:rFonts w:ascii="Helvetica Neue" w:hAnsi="Helvetica Neue" w:cs="Calibri"/>
          <w:color w:val="000000" w:themeColor="text1"/>
          <w:sz w:val="20"/>
          <w:szCs w:val="20"/>
        </w:rPr>
        <w:t xml:space="preserve"> und </w:t>
      </w:r>
      <w:proofErr w:type="spellStart"/>
      <w:r w:rsidRPr="0017373F">
        <w:rPr>
          <w:rFonts w:ascii="Helvetica Neue" w:hAnsi="Helvetica Neue" w:cs="Calibri"/>
          <w:color w:val="000000" w:themeColor="text1"/>
          <w:sz w:val="20"/>
          <w:szCs w:val="20"/>
        </w:rPr>
        <w:t>Beratung</w:t>
      </w:r>
      <w:proofErr w:type="spellEnd"/>
    </w:p>
    <w:p w14:paraId="50E5975A" w14:textId="77777777" w:rsidR="00B273F0" w:rsidRPr="0017373F" w:rsidRDefault="00000000">
      <w:pPr>
        <w:pStyle w:val="berschrift2"/>
        <w:rPr>
          <w:rFonts w:ascii="Helvetica Neue" w:hAnsi="Helvetica Neue" w:cs="Calibri"/>
          <w:b/>
          <w:bCs/>
          <w:color w:val="000000" w:themeColor="text1"/>
          <w:sz w:val="20"/>
          <w:szCs w:val="20"/>
        </w:rPr>
      </w:pPr>
      <w:bookmarkStart w:id="5" w:name="X266715f9a8b3b963ad5c756a9f694c569dd0dba"/>
      <w:bookmarkEnd w:id="4"/>
      <w:r w:rsidRPr="0017373F">
        <w:rPr>
          <w:rFonts w:ascii="Helvetica Neue" w:hAnsi="Helvetica Neue" w:cs="Calibri"/>
          <w:b/>
          <w:bCs/>
          <w:color w:val="000000" w:themeColor="text1"/>
          <w:sz w:val="20"/>
          <w:szCs w:val="20"/>
        </w:rPr>
        <w:t>Erstes Teilvermögen: MILC – Medien als Anwendungsfall einer neuen Infrastruktur</w:t>
      </w:r>
    </w:p>
    <w:p w14:paraId="12EC3715" w14:textId="7125CDD9" w:rsidR="00B273F0" w:rsidRPr="0017373F" w:rsidRDefault="00000000">
      <w:pPr>
        <w:pStyle w:val="FirstParagraph"/>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Zum Marktstart aktiviert der Digital Genesis Fund sein erstes Teilvermögen mit </w:t>
      </w:r>
      <w:r w:rsidRPr="0017373F">
        <w:rPr>
          <w:rFonts w:ascii="Helvetica Neue" w:hAnsi="Helvetica Neue" w:cs="Calibri"/>
          <w:b/>
          <w:bCs/>
          <w:color w:val="000000" w:themeColor="text1"/>
          <w:sz w:val="20"/>
          <w:szCs w:val="20"/>
        </w:rPr>
        <w:t>MILC (Media Industry Licensing Content)</w:t>
      </w:r>
      <w:r w:rsidRPr="0017373F">
        <w:rPr>
          <w:rFonts w:ascii="Helvetica Neue" w:hAnsi="Helvetica Neue" w:cs="Calibri"/>
          <w:color w:val="000000" w:themeColor="text1"/>
          <w:sz w:val="20"/>
          <w:szCs w:val="20"/>
        </w:rPr>
        <w:t xml:space="preserve">. MILC </w:t>
      </w:r>
      <w:proofErr w:type="spellStart"/>
      <w:r w:rsidRPr="0017373F">
        <w:rPr>
          <w:rFonts w:ascii="Helvetica Neue" w:hAnsi="Helvetica Neue" w:cs="Calibri"/>
          <w:color w:val="000000" w:themeColor="text1"/>
          <w:sz w:val="20"/>
          <w:szCs w:val="20"/>
        </w:rPr>
        <w:t>ist</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eine</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bereits</w:t>
      </w:r>
      <w:proofErr w:type="spellEnd"/>
      <w:r w:rsidRPr="0017373F">
        <w:rPr>
          <w:rFonts w:ascii="Helvetica Neue" w:hAnsi="Helvetica Neue" w:cs="Calibri"/>
          <w:color w:val="000000" w:themeColor="text1"/>
          <w:sz w:val="20"/>
          <w:szCs w:val="20"/>
        </w:rPr>
        <w:t xml:space="preserve"> operative </w:t>
      </w:r>
      <w:proofErr w:type="spellStart"/>
      <w:r w:rsidRPr="0017373F">
        <w:rPr>
          <w:rFonts w:ascii="Helvetica Neue" w:hAnsi="Helvetica Neue" w:cs="Calibri"/>
          <w:color w:val="000000" w:themeColor="text1"/>
          <w:sz w:val="20"/>
          <w:szCs w:val="20"/>
        </w:rPr>
        <w:t>Medieninfrastruktur</w:t>
      </w:r>
      <w:proofErr w:type="spellEnd"/>
      <w:r w:rsidRPr="0017373F">
        <w:rPr>
          <w:rFonts w:ascii="Helvetica Neue" w:hAnsi="Helvetica Neue" w:cs="Calibri"/>
          <w:color w:val="000000" w:themeColor="text1"/>
          <w:sz w:val="20"/>
          <w:szCs w:val="20"/>
        </w:rPr>
        <w:t xml:space="preserve"> </w:t>
      </w:r>
      <w:r w:rsidR="0017373F">
        <w:rPr>
          <w:rFonts w:ascii="Helvetica Neue" w:hAnsi="Helvetica Neue" w:cs="Calibri"/>
          <w:color w:val="000000" w:themeColor="text1"/>
          <w:sz w:val="20"/>
          <w:szCs w:val="20"/>
        </w:rPr>
        <w:t xml:space="preserve">und </w:t>
      </w:r>
      <w:proofErr w:type="spellStart"/>
      <w:r w:rsidRPr="0017373F">
        <w:rPr>
          <w:rFonts w:ascii="Helvetica Neue" w:hAnsi="Helvetica Neue" w:cs="Calibri"/>
          <w:color w:val="000000" w:themeColor="text1"/>
          <w:sz w:val="20"/>
          <w:szCs w:val="20"/>
        </w:rPr>
        <w:t>zugleich</w:t>
      </w:r>
      <w:proofErr w:type="spellEnd"/>
      <w:r w:rsidRPr="0017373F">
        <w:rPr>
          <w:rFonts w:ascii="Helvetica Neue" w:hAnsi="Helvetica Neue" w:cs="Calibri"/>
          <w:color w:val="000000" w:themeColor="text1"/>
          <w:sz w:val="20"/>
          <w:szCs w:val="20"/>
        </w:rPr>
        <w:t xml:space="preserve"> der </w:t>
      </w:r>
      <w:proofErr w:type="spellStart"/>
      <w:r w:rsidRPr="0017373F">
        <w:rPr>
          <w:rFonts w:ascii="Helvetica Neue" w:hAnsi="Helvetica Neue" w:cs="Calibri"/>
          <w:color w:val="000000" w:themeColor="text1"/>
          <w:sz w:val="20"/>
          <w:szCs w:val="20"/>
        </w:rPr>
        <w:t>erste</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praktische</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Anwendungsfall</w:t>
      </w:r>
      <w:proofErr w:type="spellEnd"/>
      <w:r w:rsidRPr="0017373F">
        <w:rPr>
          <w:rFonts w:ascii="Helvetica Neue" w:hAnsi="Helvetica Neue" w:cs="Calibri"/>
          <w:color w:val="000000" w:themeColor="text1"/>
          <w:sz w:val="20"/>
          <w:szCs w:val="20"/>
        </w:rPr>
        <w:t xml:space="preserve"> der </w:t>
      </w:r>
      <w:proofErr w:type="spellStart"/>
      <w:r w:rsidRPr="0017373F">
        <w:rPr>
          <w:rFonts w:ascii="Helvetica Neue" w:hAnsi="Helvetica Neue" w:cs="Calibri"/>
          <w:color w:val="000000" w:themeColor="text1"/>
          <w:sz w:val="20"/>
          <w:szCs w:val="20"/>
        </w:rPr>
        <w:t>Fondslogik</w:t>
      </w:r>
      <w:proofErr w:type="spellEnd"/>
      <w:r w:rsidRPr="0017373F">
        <w:rPr>
          <w:rFonts w:ascii="Helvetica Neue" w:hAnsi="Helvetica Neue" w:cs="Calibri"/>
          <w:color w:val="000000" w:themeColor="text1"/>
          <w:sz w:val="20"/>
          <w:szCs w:val="20"/>
        </w:rPr>
        <w:t>.</w:t>
      </w:r>
    </w:p>
    <w:p w14:paraId="0B09DCE0" w14:textId="77777777" w:rsidR="00B273F0" w:rsidRPr="0017373F" w:rsidRDefault="00000000">
      <w:pPr>
        <w:pStyle w:val="Textkrper"/>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Gerade in der Medienwirtschaft zeigt sich das Strukturproblem besonders deutlich: Inhalte lassen sich weltweit verbreiten, doch Rechteverwaltung, Erlösverteilung und Beteiligung liegen häufig bei wenigen </w:t>
      </w:r>
      <w:r w:rsidRPr="0017373F">
        <w:rPr>
          <w:rFonts w:ascii="Helvetica Neue" w:hAnsi="Helvetica Neue" w:cs="Calibri"/>
          <w:color w:val="000000" w:themeColor="text1"/>
          <w:sz w:val="20"/>
          <w:szCs w:val="20"/>
        </w:rPr>
        <w:lastRenderedPageBreak/>
        <w:t>Plattformen. Für Kreative, Produzenten und Rechteinhaber bedeutet das Abhängigkeit, fehlende Planungssicherheit und begrenzten Einfluss auf die wirtschaftliche Nutzung ihrer Arbeit.</w:t>
      </w:r>
    </w:p>
    <w:p w14:paraId="146B325A" w14:textId="77777777" w:rsidR="00B273F0" w:rsidRPr="0017373F" w:rsidRDefault="00000000">
      <w:pPr>
        <w:pStyle w:val="Textkrper"/>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MILC setzt genau hier an. Die Plattform bildet Medien- und Content-Rechte digital ab und ermöglicht </w:t>
      </w:r>
      <w:r w:rsidRPr="0017373F">
        <w:rPr>
          <w:rFonts w:ascii="Helvetica Neue" w:hAnsi="Helvetica Neue" w:cs="Calibri"/>
          <w:b/>
          <w:bCs/>
          <w:color w:val="000000" w:themeColor="text1"/>
          <w:sz w:val="20"/>
          <w:szCs w:val="20"/>
        </w:rPr>
        <w:t>automatisierte Lizenzierung, Abrechnung und Erlösverteilung</w:t>
      </w:r>
      <w:r w:rsidRPr="0017373F">
        <w:rPr>
          <w:rFonts w:ascii="Helvetica Neue" w:hAnsi="Helvetica Neue" w:cs="Calibri"/>
          <w:color w:val="000000" w:themeColor="text1"/>
          <w:sz w:val="20"/>
          <w:szCs w:val="20"/>
        </w:rPr>
        <w:t xml:space="preserve"> entlang klar definierter Regeln. Medieninhalte werden damit nicht nur als Reichweitenprodukt behandelt, sondern als wirtschaftliche Vermögenswerte, bei denen eindeutig festgelegt ist:</w:t>
      </w:r>
    </w:p>
    <w:p w14:paraId="6F776A47" w14:textId="77777777" w:rsidR="00B273F0" w:rsidRPr="0017373F" w:rsidRDefault="00000000">
      <w:pPr>
        <w:pStyle w:val="Compact"/>
        <w:numPr>
          <w:ilvl w:val="0"/>
          <w:numId w:val="3"/>
        </w:numPr>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wem</w:t>
      </w:r>
      <w:r w:rsidRPr="0017373F">
        <w:rPr>
          <w:rFonts w:ascii="Helvetica Neue" w:hAnsi="Helvetica Neue" w:cs="Calibri"/>
          <w:color w:val="000000" w:themeColor="text1"/>
          <w:sz w:val="20"/>
          <w:szCs w:val="20"/>
        </w:rPr>
        <w:t xml:space="preserve"> die Rechte gehören,</w:t>
      </w:r>
    </w:p>
    <w:p w14:paraId="53351FDA" w14:textId="77777777" w:rsidR="00B273F0" w:rsidRPr="0017373F" w:rsidRDefault="00000000">
      <w:pPr>
        <w:pStyle w:val="Compact"/>
        <w:numPr>
          <w:ilvl w:val="0"/>
          <w:numId w:val="3"/>
        </w:numPr>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wie</w:t>
      </w:r>
      <w:r w:rsidRPr="0017373F">
        <w:rPr>
          <w:rFonts w:ascii="Helvetica Neue" w:hAnsi="Helvetica Neue" w:cs="Calibri"/>
          <w:color w:val="000000" w:themeColor="text1"/>
          <w:sz w:val="20"/>
          <w:szCs w:val="20"/>
        </w:rPr>
        <w:t xml:space="preserve"> Inhalte genutzt werden dürfen,</w:t>
      </w:r>
    </w:p>
    <w:p w14:paraId="3813C3FD" w14:textId="77777777" w:rsidR="00B273F0" w:rsidRPr="0017373F" w:rsidRDefault="00000000">
      <w:pPr>
        <w:pStyle w:val="Compact"/>
        <w:numPr>
          <w:ilvl w:val="0"/>
          <w:numId w:val="3"/>
        </w:numPr>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wie</w:t>
      </w:r>
      <w:r w:rsidRPr="0017373F">
        <w:rPr>
          <w:rFonts w:ascii="Helvetica Neue" w:hAnsi="Helvetica Neue" w:cs="Calibri"/>
          <w:color w:val="000000" w:themeColor="text1"/>
          <w:sz w:val="20"/>
          <w:szCs w:val="20"/>
        </w:rPr>
        <w:t xml:space="preserve"> Erlöse verteilt werden.</w:t>
      </w:r>
    </w:p>
    <w:p w14:paraId="695299EC" w14:textId="77777777" w:rsidR="00B273F0" w:rsidRPr="0017373F" w:rsidRDefault="00000000">
      <w:pPr>
        <w:pStyle w:val="Blocktext"/>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„Wenn Distribution global ist, müssen Rechte und Erlöse ebenfalls global und überprüfbar organisiert sein. MILC schafft dafür eine Infrastruktur, die Eigentum, Nutzung und Erträge in klare Bahnen </w:t>
      </w:r>
      <w:proofErr w:type="gramStart"/>
      <w:r w:rsidRPr="0017373F">
        <w:rPr>
          <w:rFonts w:ascii="Helvetica Neue" w:hAnsi="Helvetica Neue" w:cs="Calibri"/>
          <w:color w:val="000000" w:themeColor="text1"/>
          <w:sz w:val="20"/>
          <w:szCs w:val="20"/>
        </w:rPr>
        <w:t>bringt.“</w:t>
      </w:r>
      <w:proofErr w:type="gramEnd"/>
      <w:r w:rsidRPr="0017373F">
        <w:rPr>
          <w:rFonts w:ascii="Helvetica Neue" w:hAnsi="Helvetica Neue" w:cs="Calibri"/>
          <w:color w:val="000000" w:themeColor="text1"/>
          <w:sz w:val="20"/>
          <w:szCs w:val="20"/>
        </w:rPr>
        <w:t xml:space="preserve"> – Hendrik Hey</w:t>
      </w:r>
    </w:p>
    <w:p w14:paraId="20E7EAD9" w14:textId="77777777" w:rsidR="00B273F0" w:rsidRPr="0017373F" w:rsidRDefault="00000000">
      <w:pPr>
        <w:pStyle w:val="FirstParagraph"/>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Nach Unternehmensangaben wurde MILC bislang mit rund </w:t>
      </w:r>
      <w:r w:rsidRPr="0017373F">
        <w:rPr>
          <w:rFonts w:ascii="Helvetica Neue" w:hAnsi="Helvetica Neue" w:cs="Calibri"/>
          <w:b/>
          <w:bCs/>
          <w:color w:val="000000" w:themeColor="text1"/>
          <w:sz w:val="20"/>
          <w:szCs w:val="20"/>
        </w:rPr>
        <w:t>20 Millionen Euro</w:t>
      </w:r>
      <w:r w:rsidRPr="0017373F">
        <w:rPr>
          <w:rFonts w:ascii="Helvetica Neue" w:hAnsi="Helvetica Neue" w:cs="Calibri"/>
          <w:color w:val="000000" w:themeColor="text1"/>
          <w:sz w:val="20"/>
          <w:szCs w:val="20"/>
        </w:rPr>
        <w:t xml:space="preserve"> vorfinanziert. Zudem verfügt die Plattform über eine eingebrachte Content-Bibliothek mit einem bilanzierten Wert von rund </w:t>
      </w:r>
      <w:r w:rsidRPr="0017373F">
        <w:rPr>
          <w:rFonts w:ascii="Helvetica Neue" w:hAnsi="Helvetica Neue" w:cs="Calibri"/>
          <w:b/>
          <w:bCs/>
          <w:color w:val="000000" w:themeColor="text1"/>
          <w:sz w:val="20"/>
          <w:szCs w:val="20"/>
        </w:rPr>
        <w:t>35 Millionen Euro</w:t>
      </w:r>
      <w:r w:rsidRPr="0017373F">
        <w:rPr>
          <w:rFonts w:ascii="Helvetica Neue" w:hAnsi="Helvetica Neue" w:cs="Calibri"/>
          <w:color w:val="000000" w:themeColor="text1"/>
          <w:sz w:val="20"/>
          <w:szCs w:val="20"/>
        </w:rPr>
        <w:t xml:space="preserve"> sowie über weitere umfangreiche Rechte der Marke </w:t>
      </w:r>
      <w:r w:rsidRPr="0017373F">
        <w:rPr>
          <w:rFonts w:ascii="Helvetica Neue" w:hAnsi="Helvetica Neue" w:cs="Calibri"/>
          <w:b/>
          <w:bCs/>
          <w:color w:val="000000" w:themeColor="text1"/>
          <w:sz w:val="20"/>
          <w:szCs w:val="20"/>
        </w:rPr>
        <w:t>Welt der Wunder</w:t>
      </w:r>
      <w:r w:rsidRPr="0017373F">
        <w:rPr>
          <w:rFonts w:ascii="Helvetica Neue" w:hAnsi="Helvetica Neue" w:cs="Calibri"/>
          <w:color w:val="000000" w:themeColor="text1"/>
          <w:sz w:val="20"/>
          <w:szCs w:val="20"/>
        </w:rPr>
        <w:t>. Diese Basis soll den internationalen Ausbau der Infrastruktur beschleunigen.</w:t>
      </w:r>
    </w:p>
    <w:p w14:paraId="55A8CF1E" w14:textId="5B19097E" w:rsidR="00B273F0" w:rsidRPr="0017373F" w:rsidRDefault="00000000" w:rsidP="0017373F">
      <w:pPr>
        <w:pStyle w:val="Textkrper"/>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MILC wurde von Medienunternehmer </w:t>
      </w:r>
      <w:r w:rsidRPr="0017373F">
        <w:rPr>
          <w:rFonts w:ascii="Helvetica Neue" w:hAnsi="Helvetica Neue" w:cs="Calibri"/>
          <w:b/>
          <w:bCs/>
          <w:color w:val="000000" w:themeColor="text1"/>
          <w:sz w:val="20"/>
          <w:szCs w:val="20"/>
        </w:rPr>
        <w:t>Hendrik Hey</w:t>
      </w:r>
      <w:r w:rsidRPr="0017373F">
        <w:rPr>
          <w:rFonts w:ascii="Helvetica Neue" w:hAnsi="Helvetica Neue" w:cs="Calibri"/>
          <w:color w:val="000000" w:themeColor="text1"/>
          <w:sz w:val="20"/>
          <w:szCs w:val="20"/>
        </w:rPr>
        <w:t xml:space="preserve"> (Welt der Wunder) initiiert und aufgebaut. Er </w:t>
      </w:r>
      <w:proofErr w:type="spellStart"/>
      <w:r w:rsidR="00BE7E5A">
        <w:rPr>
          <w:rFonts w:ascii="Helvetica Neue" w:hAnsi="Helvetica Neue" w:cs="Calibri"/>
          <w:color w:val="000000" w:themeColor="text1"/>
          <w:sz w:val="20"/>
          <w:szCs w:val="20"/>
        </w:rPr>
        <w:t>is</w:t>
      </w:r>
      <w:r w:rsidRPr="0017373F">
        <w:rPr>
          <w:rFonts w:ascii="Helvetica Neue" w:hAnsi="Helvetica Neue" w:cs="Calibri"/>
          <w:color w:val="000000" w:themeColor="text1"/>
          <w:sz w:val="20"/>
          <w:szCs w:val="20"/>
        </w:rPr>
        <w:t>t</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auch</w:t>
      </w:r>
      <w:proofErr w:type="spellEnd"/>
      <w:r w:rsidRPr="0017373F">
        <w:rPr>
          <w:rFonts w:ascii="Helvetica Neue" w:hAnsi="Helvetica Neue" w:cs="Calibri"/>
          <w:color w:val="000000" w:themeColor="text1"/>
          <w:sz w:val="20"/>
          <w:szCs w:val="20"/>
        </w:rPr>
        <w:t xml:space="preserve"> für die Gründung des Digital Genesis Fund </w:t>
      </w:r>
      <w:proofErr w:type="spellStart"/>
      <w:r w:rsidRPr="0017373F">
        <w:rPr>
          <w:rFonts w:ascii="Helvetica Neue" w:hAnsi="Helvetica Neue" w:cs="Calibri"/>
          <w:color w:val="000000" w:themeColor="text1"/>
          <w:sz w:val="20"/>
          <w:szCs w:val="20"/>
        </w:rPr>
        <w:t>verantwortlich</w:t>
      </w:r>
      <w:proofErr w:type="spellEnd"/>
      <w:r w:rsidRPr="0017373F">
        <w:rPr>
          <w:rFonts w:ascii="Helvetica Neue" w:hAnsi="Helvetica Neue" w:cs="Calibri"/>
          <w:color w:val="000000" w:themeColor="text1"/>
          <w:sz w:val="20"/>
          <w:szCs w:val="20"/>
        </w:rPr>
        <w:t>.</w:t>
      </w:r>
    </w:p>
    <w:p w14:paraId="65180134" w14:textId="77777777" w:rsidR="00B273F0" w:rsidRPr="0017373F" w:rsidRDefault="00000000">
      <w:pPr>
        <w:pStyle w:val="berschrift2"/>
        <w:rPr>
          <w:rFonts w:ascii="Helvetica Neue" w:hAnsi="Helvetica Neue" w:cs="Calibri"/>
          <w:color w:val="000000" w:themeColor="text1"/>
          <w:sz w:val="20"/>
          <w:szCs w:val="20"/>
        </w:rPr>
      </w:pPr>
      <w:bookmarkStart w:id="6" w:name="über-milc"/>
      <w:bookmarkEnd w:id="5"/>
      <w:proofErr w:type="spellStart"/>
      <w:r w:rsidRPr="0017373F">
        <w:rPr>
          <w:rFonts w:ascii="Helvetica Neue" w:hAnsi="Helvetica Neue" w:cs="Calibri"/>
          <w:color w:val="000000" w:themeColor="text1"/>
          <w:sz w:val="20"/>
          <w:szCs w:val="20"/>
        </w:rPr>
        <w:t>Über</w:t>
      </w:r>
      <w:proofErr w:type="spellEnd"/>
      <w:r w:rsidRPr="0017373F">
        <w:rPr>
          <w:rFonts w:ascii="Helvetica Neue" w:hAnsi="Helvetica Neue" w:cs="Calibri"/>
          <w:color w:val="000000" w:themeColor="text1"/>
          <w:sz w:val="20"/>
          <w:szCs w:val="20"/>
        </w:rPr>
        <w:t xml:space="preserve"> MILC</w:t>
      </w:r>
    </w:p>
    <w:p w14:paraId="5B8A5E1A" w14:textId="386642E5" w:rsidR="00B273F0" w:rsidRPr="0017373F" w:rsidRDefault="00000000" w:rsidP="0017373F">
      <w:pPr>
        <w:pStyle w:val="FirstParagraph"/>
        <w:rPr>
          <w:rFonts w:ascii="Helvetica Neue" w:hAnsi="Helvetica Neue" w:cs="Calibri"/>
          <w:color w:val="000000" w:themeColor="text1"/>
          <w:sz w:val="20"/>
          <w:szCs w:val="20"/>
        </w:rPr>
      </w:pPr>
      <w:r w:rsidRPr="0017373F">
        <w:rPr>
          <w:rFonts w:ascii="Helvetica Neue" w:hAnsi="Helvetica Neue" w:cs="Calibri"/>
          <w:b/>
          <w:bCs/>
          <w:color w:val="000000" w:themeColor="text1"/>
          <w:sz w:val="20"/>
          <w:szCs w:val="20"/>
        </w:rPr>
        <w:t>MILC (Media Industry Licensing Content)</w:t>
      </w:r>
      <w:r w:rsidRPr="0017373F">
        <w:rPr>
          <w:rFonts w:ascii="Helvetica Neue" w:hAnsi="Helvetica Neue" w:cs="Calibri"/>
          <w:color w:val="000000" w:themeColor="text1"/>
          <w:sz w:val="20"/>
          <w:szCs w:val="20"/>
        </w:rPr>
        <w:t xml:space="preserve"> ist eine Plattform für die digitale Abbildung, Lizenzierung und wirtschaftliche Nutzung von Medien- und Content-Rechten. MILC entwickelt zusätzlich eine operative Metaverse-Umgebung und adressiert neben Medienanwendungen auch industrielle Use Cases. Ergänzend bietet MILC Web3-Beratung für Unternehmen an, die Transformationsprozesse in Richtung dezentraler Technologien prüfen oder umsetzen. MILC ist eine Schwesterfirma von </w:t>
      </w:r>
      <w:r w:rsidRPr="0017373F">
        <w:rPr>
          <w:rFonts w:ascii="Helvetica Neue" w:hAnsi="Helvetica Neue" w:cs="Calibri"/>
          <w:b/>
          <w:bCs/>
          <w:color w:val="000000" w:themeColor="text1"/>
          <w:sz w:val="20"/>
          <w:szCs w:val="20"/>
        </w:rPr>
        <w:t>Welt der Wunder</w:t>
      </w:r>
      <w:r w:rsidRPr="0017373F">
        <w:rPr>
          <w:rFonts w:ascii="Helvetica Neue" w:hAnsi="Helvetica Neue" w:cs="Calibri"/>
          <w:color w:val="000000" w:themeColor="text1"/>
          <w:sz w:val="20"/>
          <w:szCs w:val="20"/>
        </w:rPr>
        <w:t xml:space="preserve">, der von Hendrik Hey </w:t>
      </w:r>
      <w:proofErr w:type="spellStart"/>
      <w:r w:rsidRPr="0017373F">
        <w:rPr>
          <w:rFonts w:ascii="Helvetica Neue" w:hAnsi="Helvetica Neue" w:cs="Calibri"/>
          <w:color w:val="000000" w:themeColor="text1"/>
          <w:sz w:val="20"/>
          <w:szCs w:val="20"/>
        </w:rPr>
        <w:t>gegründeten</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Medienmarke</w:t>
      </w:r>
      <w:proofErr w:type="spellEnd"/>
      <w:r w:rsidRPr="0017373F">
        <w:rPr>
          <w:rFonts w:ascii="Helvetica Neue" w:hAnsi="Helvetica Neue" w:cs="Calibri"/>
          <w:color w:val="000000" w:themeColor="text1"/>
          <w:sz w:val="20"/>
          <w:szCs w:val="20"/>
        </w:rPr>
        <w:t>.</w:t>
      </w:r>
    </w:p>
    <w:p w14:paraId="6648F0AC" w14:textId="77777777" w:rsidR="00B273F0" w:rsidRPr="00BE7E5A" w:rsidRDefault="00000000">
      <w:pPr>
        <w:pStyle w:val="berschrift2"/>
        <w:rPr>
          <w:rFonts w:ascii="Helvetica Neue" w:hAnsi="Helvetica Neue" w:cs="Calibri"/>
          <w:b/>
          <w:bCs/>
          <w:color w:val="000000" w:themeColor="text1"/>
          <w:sz w:val="20"/>
          <w:szCs w:val="20"/>
        </w:rPr>
      </w:pPr>
      <w:bookmarkStart w:id="7" w:name="rechtlicher-hinweis-disclaimer"/>
      <w:bookmarkEnd w:id="6"/>
      <w:r w:rsidRPr="00BE7E5A">
        <w:rPr>
          <w:rFonts w:ascii="Helvetica Neue" w:hAnsi="Helvetica Neue" w:cs="Calibri"/>
          <w:b/>
          <w:bCs/>
          <w:color w:val="000000" w:themeColor="text1"/>
          <w:sz w:val="20"/>
          <w:szCs w:val="20"/>
        </w:rPr>
        <w:t>Rechtlicher Hinweis / Disclaimer</w:t>
      </w:r>
    </w:p>
    <w:p w14:paraId="6E9D5792" w14:textId="54672272" w:rsidR="00B273F0" w:rsidRPr="0017373F" w:rsidRDefault="00000000" w:rsidP="0017373F">
      <w:pPr>
        <w:pStyle w:val="FirstParagraph"/>
        <w:rPr>
          <w:rFonts w:ascii="Helvetica Neue" w:hAnsi="Helvetica Neue" w:cs="Calibri"/>
          <w:color w:val="000000" w:themeColor="text1"/>
          <w:sz w:val="20"/>
          <w:szCs w:val="20"/>
        </w:rPr>
      </w:pPr>
      <w:r w:rsidRPr="0017373F">
        <w:rPr>
          <w:rFonts w:ascii="Helvetica Neue" w:hAnsi="Helvetica Neue" w:cs="Calibri"/>
          <w:color w:val="000000" w:themeColor="text1"/>
          <w:sz w:val="20"/>
          <w:szCs w:val="20"/>
        </w:rPr>
        <w:t xml:space="preserve">Diese Mitteilung dient ausschließlich Informations- und Kontextzwecken und stellt weder ein Angebot noch eine Aufforderung zur Abgabe eines Angebots, eine Werbung oder Empfehlung zum Erwerb oder zur Veräußerung von Finanzinstrumenten dar. Sie stellt keine Anlageberatung und keine Rechts- oder Steuerberatung dar. Maßgeblich sind ausschließlich die jeweiligen </w:t>
      </w:r>
      <w:proofErr w:type="spellStart"/>
      <w:r w:rsidRPr="0017373F">
        <w:rPr>
          <w:rFonts w:ascii="Helvetica Neue" w:hAnsi="Helvetica Neue" w:cs="Calibri"/>
          <w:color w:val="000000" w:themeColor="text1"/>
          <w:sz w:val="20"/>
          <w:szCs w:val="20"/>
        </w:rPr>
        <w:t>offiziellen</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Unterlagen</w:t>
      </w:r>
      <w:proofErr w:type="spellEnd"/>
      <w:r w:rsidRPr="0017373F">
        <w:rPr>
          <w:rFonts w:ascii="Helvetica Neue" w:hAnsi="Helvetica Neue" w:cs="Calibri"/>
          <w:color w:val="000000" w:themeColor="text1"/>
          <w:sz w:val="20"/>
          <w:szCs w:val="20"/>
        </w:rPr>
        <w:t xml:space="preserve"> und </w:t>
      </w:r>
      <w:proofErr w:type="spellStart"/>
      <w:r w:rsidRPr="0017373F">
        <w:rPr>
          <w:rFonts w:ascii="Helvetica Neue" w:hAnsi="Helvetica Neue" w:cs="Calibri"/>
          <w:color w:val="000000" w:themeColor="text1"/>
          <w:sz w:val="20"/>
          <w:szCs w:val="20"/>
        </w:rPr>
        <w:t>Informationen</w:t>
      </w:r>
      <w:proofErr w:type="spellEnd"/>
      <w:r w:rsidRPr="0017373F">
        <w:rPr>
          <w:rFonts w:ascii="Helvetica Neue" w:hAnsi="Helvetica Neue" w:cs="Calibri"/>
          <w:color w:val="000000" w:themeColor="text1"/>
          <w:sz w:val="20"/>
          <w:szCs w:val="20"/>
        </w:rPr>
        <w:t xml:space="preserve"> der </w:t>
      </w:r>
      <w:proofErr w:type="spellStart"/>
      <w:r w:rsidRPr="0017373F">
        <w:rPr>
          <w:rFonts w:ascii="Helvetica Neue" w:hAnsi="Helvetica Neue" w:cs="Calibri"/>
          <w:color w:val="000000" w:themeColor="text1"/>
          <w:sz w:val="20"/>
          <w:szCs w:val="20"/>
        </w:rPr>
        <w:t>verantwortlichen</w:t>
      </w:r>
      <w:proofErr w:type="spellEnd"/>
      <w:r w:rsidRPr="0017373F">
        <w:rPr>
          <w:rFonts w:ascii="Helvetica Neue" w:hAnsi="Helvetica Neue" w:cs="Calibri"/>
          <w:color w:val="000000" w:themeColor="text1"/>
          <w:sz w:val="20"/>
          <w:szCs w:val="20"/>
        </w:rPr>
        <w:t xml:space="preserve"> </w:t>
      </w:r>
      <w:proofErr w:type="spellStart"/>
      <w:r w:rsidRPr="0017373F">
        <w:rPr>
          <w:rFonts w:ascii="Helvetica Neue" w:hAnsi="Helvetica Neue" w:cs="Calibri"/>
          <w:color w:val="000000" w:themeColor="text1"/>
          <w:sz w:val="20"/>
          <w:szCs w:val="20"/>
        </w:rPr>
        <w:t>Stellen</w:t>
      </w:r>
      <w:proofErr w:type="spellEnd"/>
      <w:r w:rsidRPr="0017373F">
        <w:rPr>
          <w:rFonts w:ascii="Helvetica Neue" w:hAnsi="Helvetica Neue" w:cs="Calibri"/>
          <w:color w:val="000000" w:themeColor="text1"/>
          <w:sz w:val="20"/>
          <w:szCs w:val="20"/>
        </w:rPr>
        <w:t>.</w:t>
      </w:r>
    </w:p>
    <w:p w14:paraId="25355CD9" w14:textId="5A830BD2" w:rsidR="00BE7E5A" w:rsidRPr="00BE7E5A" w:rsidRDefault="00000000" w:rsidP="00BE7E5A">
      <w:pPr>
        <w:pStyle w:val="berschrift2"/>
        <w:rPr>
          <w:rFonts w:ascii="Helvetica Neue" w:hAnsi="Helvetica Neue" w:cs="Calibri"/>
          <w:b/>
          <w:bCs/>
          <w:color w:val="000000" w:themeColor="text1"/>
          <w:sz w:val="20"/>
          <w:szCs w:val="20"/>
        </w:rPr>
      </w:pPr>
      <w:bookmarkStart w:id="8" w:name="pressekontakt-platzhalter"/>
      <w:bookmarkEnd w:id="7"/>
      <w:proofErr w:type="spellStart"/>
      <w:r w:rsidRPr="00BE7E5A">
        <w:rPr>
          <w:rFonts w:ascii="Helvetica Neue" w:hAnsi="Helvetica Neue" w:cs="Calibri"/>
          <w:b/>
          <w:bCs/>
          <w:color w:val="000000" w:themeColor="text1"/>
          <w:sz w:val="20"/>
          <w:szCs w:val="20"/>
        </w:rPr>
        <w:t>Pressekontakt</w:t>
      </w:r>
      <w:proofErr w:type="spellEnd"/>
      <w:r w:rsidR="00BE7E5A" w:rsidRPr="00BE7E5A">
        <w:rPr>
          <w:rFonts w:ascii="Helvetica Neue" w:hAnsi="Helvetica Neue" w:cs="Calibri"/>
          <w:b/>
          <w:bCs/>
          <w:color w:val="000000" w:themeColor="text1"/>
          <w:sz w:val="20"/>
          <w:szCs w:val="20"/>
        </w:rPr>
        <w:t>:</w:t>
      </w:r>
    </w:p>
    <w:p w14:paraId="180E9A7A" w14:textId="48ED5C98" w:rsidR="00BE7E5A" w:rsidRPr="00BE7E5A" w:rsidRDefault="00BE7E5A" w:rsidP="00BE7E5A">
      <w:pPr>
        <w:pStyle w:val="Textkrper"/>
        <w:rPr>
          <w:rFonts w:ascii="Helvetica Neue" w:hAnsi="Helvetica Neue"/>
          <w:sz w:val="20"/>
          <w:szCs w:val="20"/>
        </w:rPr>
      </w:pPr>
      <w:r w:rsidRPr="00BE7E5A">
        <w:rPr>
          <w:rFonts w:ascii="Helvetica Neue" w:hAnsi="Helvetica Neue"/>
          <w:sz w:val="20"/>
          <w:szCs w:val="20"/>
        </w:rPr>
        <w:t xml:space="preserve">Daniela della </w:t>
      </w:r>
      <w:proofErr w:type="spellStart"/>
      <w:r w:rsidRPr="00BE7E5A">
        <w:rPr>
          <w:rFonts w:ascii="Helvetica Neue" w:hAnsi="Helvetica Neue"/>
          <w:sz w:val="20"/>
          <w:szCs w:val="20"/>
        </w:rPr>
        <w:t>Schiava</w:t>
      </w:r>
      <w:proofErr w:type="spellEnd"/>
    </w:p>
    <w:p w14:paraId="672F4797" w14:textId="0A05A859" w:rsidR="00BE7E5A" w:rsidRPr="00BE7E5A" w:rsidRDefault="00BE7E5A" w:rsidP="00BE7E5A">
      <w:pPr>
        <w:pStyle w:val="Textkrper"/>
        <w:rPr>
          <w:rFonts w:ascii="Helvetica Neue" w:hAnsi="Helvetica Neue"/>
          <w:sz w:val="20"/>
          <w:szCs w:val="20"/>
        </w:rPr>
      </w:pPr>
      <w:hyperlink r:id="rId5" w:history="1">
        <w:r w:rsidRPr="00BE7E5A">
          <w:rPr>
            <w:rStyle w:val="Hyperlink"/>
            <w:rFonts w:ascii="Helvetica Neue" w:hAnsi="Helvetica Neue"/>
            <w:sz w:val="20"/>
            <w:szCs w:val="20"/>
          </w:rPr>
          <w:t>daniela.dellaschiava@weltderwunder.de</w:t>
        </w:r>
      </w:hyperlink>
    </w:p>
    <w:p w14:paraId="3766D7E9" w14:textId="6D3C8A48" w:rsidR="00BE7E5A" w:rsidRPr="00BE7E5A" w:rsidRDefault="00BE7E5A" w:rsidP="00BE7E5A">
      <w:pPr>
        <w:pStyle w:val="Textkrper"/>
        <w:rPr>
          <w:rFonts w:ascii="Helvetica Neue" w:hAnsi="Helvetica Neue"/>
          <w:sz w:val="20"/>
          <w:szCs w:val="20"/>
        </w:rPr>
      </w:pPr>
      <w:hyperlink r:id="rId6" w:tooltip="tel:+49%2089%2045254%20-%20721" w:history="1">
        <w:r w:rsidRPr="00BE7E5A">
          <w:rPr>
            <w:rStyle w:val="Hyperlink"/>
            <w:rFonts w:ascii="Helvetica Neue" w:hAnsi="Helvetica Neue" w:cs="Arial"/>
            <w:color w:val="3C3C3B"/>
            <w:sz w:val="20"/>
            <w:szCs w:val="20"/>
          </w:rPr>
          <w:t>+49 89 45254 - 721</w:t>
        </w:r>
      </w:hyperlink>
    </w:p>
    <w:p w14:paraId="3F9B63EA" w14:textId="77777777" w:rsidR="00BE7E5A" w:rsidRDefault="00BE7E5A" w:rsidP="00BE7E5A">
      <w:pPr>
        <w:pStyle w:val="Textkrper"/>
      </w:pPr>
    </w:p>
    <w:p w14:paraId="47E6AFF8" w14:textId="77777777" w:rsidR="00BE7E5A" w:rsidRPr="00BE7E5A" w:rsidRDefault="00BE7E5A" w:rsidP="00BE7E5A">
      <w:pPr>
        <w:pStyle w:val="Textkrper"/>
      </w:pPr>
    </w:p>
    <w:bookmarkEnd w:id="0"/>
    <w:bookmarkEnd w:id="8"/>
    <w:p w14:paraId="0B37BE63" w14:textId="6A8DFFA3" w:rsidR="00B273F0" w:rsidRPr="0017373F" w:rsidRDefault="00B273F0">
      <w:pPr>
        <w:pStyle w:val="FirstParagraph"/>
        <w:rPr>
          <w:rFonts w:ascii="Helvetica Neue" w:hAnsi="Helvetica Neue" w:cs="Calibri"/>
          <w:color w:val="000000" w:themeColor="text1"/>
          <w:sz w:val="20"/>
          <w:szCs w:val="20"/>
        </w:rPr>
      </w:pPr>
    </w:p>
    <w:sectPr w:rsidR="00B273F0" w:rsidRPr="0017373F">
      <w:footnotePr>
        <w:numRestart w:val="eachSect"/>
      </w:footnotePr>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F1A6E3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9A2786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4706664F"/>
    <w:multiLevelType w:val="hybridMultilevel"/>
    <w:tmpl w:val="52F03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EE3445"/>
    <w:multiLevelType w:val="hybridMultilevel"/>
    <w:tmpl w:val="B290E63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AB2581A"/>
    <w:multiLevelType w:val="hybridMultilevel"/>
    <w:tmpl w:val="6AAA6846"/>
    <w:lvl w:ilvl="0" w:tplc="F1701E08">
      <w:numFmt w:val="bullet"/>
      <w:lvlText w:val="-"/>
      <w:lvlJc w:val="left"/>
      <w:pPr>
        <w:ind w:left="720" w:hanging="360"/>
      </w:pPr>
      <w:rPr>
        <w:rFonts w:ascii="Helvetica Neue" w:eastAsiaTheme="minorHAnsi" w:hAnsi="Helvetica Neue"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4225461">
    <w:abstractNumId w:val="0"/>
  </w:num>
  <w:num w:numId="2" w16cid:durableId="1516072500">
    <w:abstractNumId w:val="1"/>
  </w:num>
  <w:num w:numId="3" w16cid:durableId="1111434693">
    <w:abstractNumId w:val="1"/>
  </w:num>
  <w:num w:numId="4" w16cid:durableId="1895966470">
    <w:abstractNumId w:val="2"/>
  </w:num>
  <w:num w:numId="5" w16cid:durableId="705712910">
    <w:abstractNumId w:val="4"/>
  </w:num>
  <w:num w:numId="6" w16cid:durableId="2008172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F0"/>
    <w:rsid w:val="00075D57"/>
    <w:rsid w:val="0017373F"/>
    <w:rsid w:val="002D2D2E"/>
    <w:rsid w:val="00425944"/>
    <w:rsid w:val="004F1928"/>
    <w:rsid w:val="0093616A"/>
    <w:rsid w:val="009664DE"/>
    <w:rsid w:val="00B273F0"/>
    <w:rsid w:val="00BE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85B2"/>
  <w15:docId w15:val="{AC56D9C5-D9D8-5241-91B1-D0FD17BE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link w:val="berschrift1Zch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Textkrper"/>
    <w:link w:val="berschrift2Zchn"/>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Textkrper"/>
    <w:link w:val="berschrift3Zch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Textkrper"/>
    <w:link w:val="berschrift4Zch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Textkrper"/>
    <w:link w:val="berschrift5Zch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Textkrper"/>
    <w:link w:val="berschrift6Zch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Textkrper"/>
    <w:link w:val="berschrift7Zch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Textkrper"/>
    <w:link w:val="berschrift8Zch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Textkrper"/>
    <w:link w:val="berschrift9Zch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0FD9"/>
    <w:rPr>
      <w:rFonts w:asciiTheme="majorHAnsi" w:eastAsiaTheme="majorEastAsia" w:hAnsiTheme="majorHAnsi" w:cstheme="majorBidi"/>
      <w:spacing w:val="-10"/>
      <w:kern w:val="28"/>
      <w:sz w:val="56"/>
      <w:szCs w:val="56"/>
    </w:rPr>
  </w:style>
  <w:style w:type="paragraph" w:styleId="Untertitel">
    <w:name w:val="Subtitle"/>
    <w:basedOn w:val="Titel"/>
    <w:next w:val="Textkrper"/>
    <w:link w:val="UntertitelZchn"/>
    <w:uiPriority w:val="11"/>
    <w:qFormat/>
    <w:rsid w:val="00A10FD9"/>
    <w:pPr>
      <w:numPr>
        <w:ilvl w:val="1"/>
      </w:numPr>
    </w:pPr>
    <w:rPr>
      <w:spacing w:val="15"/>
      <w:sz w:val="28"/>
      <w:szCs w:val="28"/>
    </w:rPr>
  </w:style>
  <w:style w:type="character" w:customStyle="1" w:styleId="UntertitelZchn">
    <w:name w:val="Untertitel Zchn"/>
    <w:basedOn w:val="Absatz-Standardschriftart"/>
    <w:link w:val="Unt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Title">
    <w:name w:val="Abstract Title"/>
    <w:basedOn w:val="Standard"/>
    <w:next w:val="Abstract"/>
    <w:qFormat/>
    <w:pPr>
      <w:keepNext/>
      <w:keepLines/>
      <w:spacing w:before="300" w:after="0"/>
      <w:jc w:val="center"/>
    </w:pPr>
    <w:rPr>
      <w:b/>
      <w:sz w:val="20"/>
      <w:szCs w:val="20"/>
    </w:rPr>
  </w:style>
  <w:style w:type="paragraph" w:customStyle="1" w:styleId="Abstract">
    <w:name w:val="Abstract"/>
    <w:basedOn w:val="Standard"/>
    <w:next w:val="Textkrper"/>
    <w:qFormat/>
    <w:pPr>
      <w:keepNext/>
      <w:keepLines/>
      <w:spacing w:before="100" w:after="300"/>
    </w:pPr>
    <w:rPr>
      <w:sz w:val="20"/>
      <w:szCs w:val="20"/>
    </w:rPr>
  </w:style>
  <w:style w:type="paragraph" w:styleId="Literaturverzeichnis">
    <w:name w:val="Bibliography"/>
    <w:basedOn w:val="Standard"/>
    <w:qFormat/>
  </w:style>
  <w:style w:type="character" w:customStyle="1" w:styleId="berschrift1Zchn">
    <w:name w:val="Überschrift 1 Zchn"/>
    <w:basedOn w:val="Absatz-Standardschriftart"/>
    <w:link w:val="berschrift1"/>
    <w:uiPriority w:val="9"/>
    <w:rsid w:val="00A10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10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0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0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0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0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0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0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0FD9"/>
    <w:rPr>
      <w:rFonts w:eastAsiaTheme="majorEastAsia" w:cstheme="majorBidi"/>
      <w:color w:val="272727" w:themeColor="text1" w:themeTint="D8"/>
    </w:rPr>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paragraph" w:customStyle="1" w:styleId="FootnoteBlockText">
    <w:name w:val="Footnote Block Text"/>
    <w:basedOn w:val="Funotentext"/>
    <w:next w:val="Funoten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156082" w:themeColor="accent1"/>
    </w:rPr>
  </w:style>
  <w:style w:type="paragraph" w:styleId="Inhaltsverzeichnisberschrift">
    <w:name w:val="TOC Heading"/>
    <w:basedOn w:val="berschrift1"/>
    <w:next w:val="Textkrper"/>
    <w:uiPriority w:val="39"/>
    <w:unhideWhenUsed/>
    <w:qFormat/>
    <w:pPr>
      <w:spacing w:before="240" w:line="259" w:lineRule="auto"/>
      <w:outlineLvl w:val="9"/>
    </w:p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NichtaufgelsteErwhnung">
    <w:name w:val="Unresolved Mention"/>
    <w:basedOn w:val="Absatz-Standardschriftart"/>
    <w:uiPriority w:val="99"/>
    <w:semiHidden/>
    <w:unhideWhenUsed/>
    <w:rsid w:val="00BE7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9%2089%2045254%20-%20721" TargetMode="External"/><Relationship Id="rId5" Type="http://schemas.openxmlformats.org/officeDocument/2006/relationships/hyperlink" Target="mailto:daniela.dellaschiava@weltderwund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Zemmrich | BETTERTRUST</dc:creator>
  <cp:keywords/>
  <cp:lastModifiedBy>Aaron Zemmrich | BETTERTRUST</cp:lastModifiedBy>
  <cp:revision>2</cp:revision>
  <dcterms:created xsi:type="dcterms:W3CDTF">2026-02-02T09:55:00Z</dcterms:created>
  <dcterms:modified xsi:type="dcterms:W3CDTF">2026-02-02T09:55:00Z</dcterms:modified>
</cp:coreProperties>
</file>