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A44C" w14:textId="396EA503" w:rsidR="00E67CD9" w:rsidRDefault="009B5B86">
      <w:r>
        <w:rPr>
          <w:noProof/>
          <w:lang w:eastAsia="de-DE"/>
        </w:rPr>
        <w:drawing>
          <wp:anchor distT="0" distB="0" distL="114300" distR="114300" simplePos="0" relativeHeight="251658240" behindDoc="1" locked="0" layoutInCell="1" allowOverlap="1" wp14:anchorId="3CC0EE60" wp14:editId="54597955">
            <wp:simplePos x="0" y="0"/>
            <wp:positionH relativeFrom="margin">
              <wp:align>right</wp:align>
            </wp:positionH>
            <wp:positionV relativeFrom="paragraph">
              <wp:posOffset>8255</wp:posOffset>
            </wp:positionV>
            <wp:extent cx="1952625" cy="342265"/>
            <wp:effectExtent l="0" t="0" r="9525" b="635"/>
            <wp:wrapTight wrapText="bothSides">
              <wp:wrapPolygon edited="0">
                <wp:start x="5690" y="0"/>
                <wp:lineTo x="0" y="1202"/>
                <wp:lineTo x="0" y="19236"/>
                <wp:lineTo x="5690" y="20438"/>
                <wp:lineTo x="6743" y="20438"/>
                <wp:lineTo x="21495" y="19236"/>
                <wp:lineTo x="21495" y="1202"/>
                <wp:lineTo x="6743" y="0"/>
                <wp:lineTo x="569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73D97" w14:textId="77777777" w:rsidR="00D75D49" w:rsidRDefault="00D75D49" w:rsidP="00D75D49">
      <w:pPr>
        <w:spacing w:line="264" w:lineRule="auto"/>
        <w:rPr>
          <w:rFonts w:ascii="Plain Thin" w:hAnsi="Plain Thin"/>
          <w:sz w:val="24"/>
          <w:szCs w:val="24"/>
        </w:rPr>
      </w:pPr>
    </w:p>
    <w:p w14:paraId="302BFFFE" w14:textId="747E9F6E" w:rsidR="00D75D49" w:rsidRPr="00D75D49" w:rsidRDefault="00D75D49" w:rsidP="00D75D49">
      <w:pPr>
        <w:spacing w:line="264" w:lineRule="auto"/>
        <w:rPr>
          <w:rFonts w:ascii="Plain Thin" w:hAnsi="Plain Thin"/>
          <w:sz w:val="24"/>
          <w:szCs w:val="24"/>
        </w:rPr>
      </w:pPr>
      <w:r>
        <w:rPr>
          <w:rFonts w:ascii="Plain Thin" w:hAnsi="Plain Thin"/>
          <w:sz w:val="24"/>
          <w:szCs w:val="24"/>
        </w:rPr>
        <w:t>PRESSEINFORMATION</w:t>
      </w:r>
    </w:p>
    <w:p w14:paraId="1AED2F1E" w14:textId="32BF0B80" w:rsidR="00D75D49" w:rsidRPr="00D75D49" w:rsidRDefault="00055310" w:rsidP="00D75D49">
      <w:pPr>
        <w:spacing w:line="264" w:lineRule="auto"/>
        <w:rPr>
          <w:sz w:val="32"/>
          <w:szCs w:val="32"/>
        </w:rPr>
      </w:pPr>
      <w:r>
        <w:rPr>
          <w:rFonts w:ascii="Plain Light" w:hAnsi="Plain Light"/>
          <w:b/>
          <w:bCs/>
          <w:sz w:val="40"/>
          <w:szCs w:val="40"/>
        </w:rPr>
        <w:t>Geimpft, genesen, geschlossen?</w:t>
      </w:r>
      <w:r w:rsidR="00485B5A">
        <w:rPr>
          <w:rFonts w:ascii="Plain Light" w:hAnsi="Plain Light"/>
          <w:b/>
          <w:bCs/>
          <w:sz w:val="40"/>
          <w:szCs w:val="40"/>
        </w:rPr>
        <w:t xml:space="preserve"> ETL ADHOGA-</w:t>
      </w:r>
      <w:r w:rsidR="00565BBB">
        <w:rPr>
          <w:rFonts w:ascii="Plain Light" w:hAnsi="Plain Light"/>
          <w:b/>
          <w:bCs/>
          <w:sz w:val="40"/>
          <w:szCs w:val="40"/>
        </w:rPr>
        <w:t xml:space="preserve">Infografik </w:t>
      </w:r>
      <w:r w:rsidR="00522D10">
        <w:rPr>
          <w:rFonts w:ascii="Plain Light" w:hAnsi="Plain Light"/>
          <w:b/>
          <w:bCs/>
          <w:sz w:val="40"/>
          <w:szCs w:val="40"/>
        </w:rPr>
        <w:t xml:space="preserve">informiert über Corona-Regeln </w:t>
      </w:r>
      <w:r w:rsidR="000B782D">
        <w:rPr>
          <w:rFonts w:ascii="Plain Light" w:hAnsi="Plain Light"/>
          <w:b/>
          <w:bCs/>
          <w:sz w:val="40"/>
          <w:szCs w:val="40"/>
        </w:rPr>
        <w:t>für</w:t>
      </w:r>
      <w:r w:rsidR="00522D10">
        <w:rPr>
          <w:rFonts w:ascii="Plain Light" w:hAnsi="Plain Light"/>
          <w:b/>
          <w:bCs/>
          <w:sz w:val="40"/>
          <w:szCs w:val="40"/>
        </w:rPr>
        <w:t xml:space="preserve"> Gastronomie</w:t>
      </w:r>
      <w:r w:rsidR="000B782D">
        <w:rPr>
          <w:rFonts w:ascii="Plain Light" w:hAnsi="Plain Light"/>
          <w:b/>
          <w:bCs/>
          <w:sz w:val="40"/>
          <w:szCs w:val="40"/>
        </w:rPr>
        <w:t xml:space="preserve"> in einzelnen Bundesländern</w:t>
      </w:r>
    </w:p>
    <w:p w14:paraId="2C79CBF5" w14:textId="18E398EF" w:rsidR="007359D5" w:rsidRPr="00E67CD9" w:rsidRDefault="00BF17D5" w:rsidP="00E67CD9">
      <w:pPr>
        <w:spacing w:after="240"/>
        <w:rPr>
          <w:rFonts w:ascii="Plain Thin" w:hAnsi="Plain Thin"/>
          <w:b/>
          <w:bCs/>
          <w:i/>
          <w:iCs/>
        </w:rPr>
      </w:pPr>
      <w:r>
        <w:rPr>
          <w:rFonts w:ascii="Plain Thin" w:hAnsi="Plain Thin"/>
          <w:b/>
          <w:bCs/>
          <w:i/>
          <w:iCs/>
        </w:rPr>
        <w:t>Berlin/Essen. 17</w:t>
      </w:r>
      <w:r w:rsidR="00485B5A">
        <w:rPr>
          <w:rFonts w:ascii="Plain Thin" w:hAnsi="Plain Thin"/>
          <w:b/>
          <w:bCs/>
          <w:i/>
          <w:iCs/>
        </w:rPr>
        <w:t>.09</w:t>
      </w:r>
      <w:r w:rsidR="00703FB2">
        <w:rPr>
          <w:rFonts w:ascii="Plain Thin" w:hAnsi="Plain Thin"/>
          <w:b/>
          <w:bCs/>
          <w:i/>
          <w:iCs/>
        </w:rPr>
        <w:t>.</w:t>
      </w:r>
      <w:r w:rsidR="00522D10">
        <w:rPr>
          <w:rFonts w:ascii="Plain Thin" w:hAnsi="Plain Thin"/>
          <w:b/>
          <w:bCs/>
          <w:i/>
          <w:iCs/>
        </w:rPr>
        <w:t>2021. Hamburg hat es vorgemacht, nun ziehen Berlin, Sachsen und andere nach: Immer mehr Bundesländer führen das sogenannte 2G-Optionsmodell ein, wonach Gastronomiebetreibern, Clubs und anderen Veranstaltern die Möglichkeit gege</w:t>
      </w:r>
      <w:r w:rsidR="000B782D">
        <w:rPr>
          <w:rFonts w:ascii="Plain Thin" w:hAnsi="Plain Thin"/>
          <w:b/>
          <w:bCs/>
          <w:i/>
          <w:iCs/>
        </w:rPr>
        <w:t xml:space="preserve">ben wird, nur noch gegen Corona </w:t>
      </w:r>
      <w:r w:rsidR="00522D10">
        <w:rPr>
          <w:rFonts w:ascii="Plain Thin" w:hAnsi="Plain Thin"/>
          <w:b/>
          <w:bCs/>
          <w:i/>
          <w:iCs/>
        </w:rPr>
        <w:t xml:space="preserve">geimpften oder vom Virus genesenen Personen Eintritt in ihre Lokalitäten zu gewähren. </w:t>
      </w:r>
      <w:r w:rsidR="000B782D">
        <w:rPr>
          <w:rFonts w:ascii="Plain Thin" w:hAnsi="Plain Thin"/>
          <w:b/>
          <w:bCs/>
          <w:i/>
          <w:iCs/>
        </w:rPr>
        <w:t xml:space="preserve">Eine Vielzahl von Bundesländern setzt dagegen weiterhin auf 3G. </w:t>
      </w:r>
      <w:r w:rsidR="00522D10">
        <w:rPr>
          <w:rFonts w:ascii="Plain Thin" w:hAnsi="Plain Thin"/>
          <w:b/>
          <w:bCs/>
          <w:i/>
          <w:iCs/>
        </w:rPr>
        <w:t>Die exklusive und regelmäßig aktualisierte Infografik von ETL ADHOGA gibt einen Überblick zum Stand der Corona-Verordnungen in den einzelnen Bundesländern.</w:t>
      </w:r>
    </w:p>
    <w:p w14:paraId="233CA814" w14:textId="20A2C37B" w:rsidR="001A4DD2" w:rsidRDefault="001A4DD2" w:rsidP="00960240">
      <w:pPr>
        <w:spacing w:line="240" w:lineRule="auto"/>
        <w:rPr>
          <w:rFonts w:ascii="Plain Thin" w:hAnsi="Plain Thin" w:cs="Times New Roman"/>
        </w:rPr>
      </w:pPr>
    </w:p>
    <w:p w14:paraId="369563A8" w14:textId="2CAC2530" w:rsidR="0055593A" w:rsidRPr="0055593A" w:rsidRDefault="0055593A" w:rsidP="0055593A">
      <w:pPr>
        <w:spacing w:line="240" w:lineRule="auto"/>
        <w:rPr>
          <w:rFonts w:ascii="Plain Thin" w:hAnsi="Plain Thin" w:cs="Times New Roman"/>
        </w:rPr>
      </w:pPr>
      <w:r>
        <w:rPr>
          <w:rFonts w:ascii="Plain Thin" w:hAnsi="Plain Thin" w:cs="Times New Roman"/>
        </w:rPr>
        <w:t>Immer mehr Bundesländer folgen dem „Hamburger Weg“</w:t>
      </w:r>
      <w:r w:rsidRPr="0055593A">
        <w:rPr>
          <w:rFonts w:ascii="Plain Thin" w:hAnsi="Plain Thin" w:cs="Times New Roman"/>
        </w:rPr>
        <w:t xml:space="preserve">. In, Sachsen-Anhalt, Hessen und Berlin ist der Übergang vom 3G-Prinzip zum </w:t>
      </w:r>
      <w:r>
        <w:rPr>
          <w:rFonts w:ascii="Plain Thin" w:hAnsi="Plain Thin" w:cs="Times New Roman"/>
        </w:rPr>
        <w:t xml:space="preserve">sogenannten </w:t>
      </w:r>
      <w:r w:rsidRPr="0055593A">
        <w:rPr>
          <w:rFonts w:ascii="Plain Thin" w:hAnsi="Plain Thin" w:cs="Times New Roman"/>
        </w:rPr>
        <w:t>2G-Optionsmodell bereits beschlossen</w:t>
      </w:r>
      <w:r>
        <w:rPr>
          <w:rFonts w:ascii="Plain Thin" w:hAnsi="Plain Thin" w:cs="Times New Roman"/>
        </w:rPr>
        <w:t xml:space="preserve"> worden</w:t>
      </w:r>
      <w:r w:rsidRPr="0055593A">
        <w:rPr>
          <w:rFonts w:ascii="Plain Thin" w:hAnsi="Plain Thin" w:cs="Times New Roman"/>
        </w:rPr>
        <w:t>. Sachsen und Niedersachsen haben gleichlautende Maßnahmen angekündigt. In Rheinland-Pfalz gilt seit letzter Woche ein 2G Plus-Modell, wodurch die Anzahl nicht geimpfter oder genesener – aber getesteter – Personen in Innenräumen begrenzt wird. Andere Bundesländer prüfen einen Wechsel von 3G auf 2G noch oder haben einen solchen Schritt für den Moment ausgeschlossen.</w:t>
      </w:r>
    </w:p>
    <w:p w14:paraId="1F3212A3" w14:textId="1C1CE96B" w:rsidR="0055593A" w:rsidRDefault="0055593A" w:rsidP="0055593A">
      <w:pPr>
        <w:spacing w:line="240" w:lineRule="auto"/>
        <w:rPr>
          <w:rFonts w:ascii="Plain Thin" w:hAnsi="Plain Thin" w:cs="Times New Roman"/>
        </w:rPr>
      </w:pPr>
      <w:r w:rsidRPr="0055593A">
        <w:rPr>
          <w:rFonts w:ascii="Plain Thin" w:hAnsi="Plain Thin" w:cs="Times New Roman"/>
        </w:rPr>
        <w:t>Um Gastronomen, Clubbesitzern, Veranstaltern und Gästen einen Überblick über die geltenden Maßnahmen in den einzelnen Bundesländern zu verschaffen, integriert ETL ADHOGA die jeweilige Beschlusslage in ihre exklusive und wöchentlich aktualisierte Infografik. Ob 2G, 2G Plus, 3G oder ein ganz anderes Modell – mit der frei verfügbaren Infografik von ETL ADHOGA bleibt der „Flickenteppich an Maßnahmen“ (ETL ADHOGA-Leiter Erich Nagl) übersichtlich.</w:t>
      </w:r>
    </w:p>
    <w:p w14:paraId="0ED41DFE" w14:textId="0CA5A79F" w:rsidR="001A4DD2" w:rsidRDefault="0055593A" w:rsidP="00960240">
      <w:pPr>
        <w:spacing w:line="240" w:lineRule="auto"/>
        <w:rPr>
          <w:rFonts w:ascii="Plain Thin" w:hAnsi="Plain Thin" w:cs="Times New Roman"/>
        </w:rPr>
      </w:pPr>
      <w:r>
        <w:rPr>
          <w:rFonts w:ascii="Plain Thin" w:hAnsi="Plain Thin" w:cs="Times New Roman"/>
        </w:rPr>
        <w:t>Bereits s</w:t>
      </w:r>
      <w:r w:rsidR="00A92EBF">
        <w:rPr>
          <w:rFonts w:ascii="Plain Thin" w:hAnsi="Plain Thin" w:cs="Times New Roman"/>
        </w:rPr>
        <w:t xml:space="preserve">eit dem 28. August </w:t>
      </w:r>
      <w:r>
        <w:rPr>
          <w:rFonts w:ascii="Plain Thin" w:hAnsi="Plain Thin" w:cs="Times New Roman"/>
        </w:rPr>
        <w:t xml:space="preserve">setzt die Hansestadt Hamburg das 2G-Optionsmodell. </w:t>
      </w:r>
      <w:r w:rsidR="00A92EBF">
        <w:rPr>
          <w:rFonts w:ascii="Plain Thin" w:hAnsi="Plain Thin" w:cs="Times New Roman"/>
        </w:rPr>
        <w:t xml:space="preserve">Demnach können Veranstalter und Gastronomen den Zugang zu ihren Räumlichkeiten lediglich Geimpften und Genesenen Personen gestatten. Dafür fallen Corona-Beschränkungen wie die Maskenpflicht, begrenzte Personenkontingente und eingeschränkte Öffnungszeiten weg. </w:t>
      </w:r>
      <w:r>
        <w:rPr>
          <w:rFonts w:ascii="Plain Thin" w:hAnsi="Plain Thin" w:cs="Times New Roman"/>
        </w:rPr>
        <w:t xml:space="preserve">Erleichterungen, die nun auch für </w:t>
      </w:r>
      <w:proofErr w:type="spellStart"/>
      <w:r>
        <w:rPr>
          <w:rFonts w:ascii="Plain Thin" w:hAnsi="Plain Thin" w:cs="Times New Roman"/>
        </w:rPr>
        <w:t>Gastro</w:t>
      </w:r>
      <w:proofErr w:type="spellEnd"/>
      <w:r>
        <w:rPr>
          <w:rFonts w:ascii="Plain Thin" w:hAnsi="Plain Thin" w:cs="Times New Roman"/>
        </w:rPr>
        <w:t>-Betriebe in weiteren Bundesländern in Kraft treten. V</w:t>
      </w:r>
      <w:r w:rsidR="00A92EBF">
        <w:rPr>
          <w:rFonts w:ascii="Plain Thin" w:hAnsi="Plain Thin" w:cs="Times New Roman"/>
        </w:rPr>
        <w:t>iele Restaurant-, Bar- und Clubbesitzer</w:t>
      </w:r>
      <w:r w:rsidR="00EC50CD">
        <w:rPr>
          <w:rFonts w:ascii="Plain Thin" w:hAnsi="Plain Thin" w:cs="Times New Roman"/>
        </w:rPr>
        <w:t xml:space="preserve"> hoffen</w:t>
      </w:r>
      <w:r>
        <w:rPr>
          <w:rFonts w:ascii="Plain Thin" w:hAnsi="Plain Thin" w:cs="Times New Roman"/>
        </w:rPr>
        <w:t xml:space="preserve"> zudem,</w:t>
      </w:r>
      <w:r w:rsidR="00A92EBF">
        <w:rPr>
          <w:rFonts w:ascii="Plain Thin" w:hAnsi="Plain Thin" w:cs="Times New Roman"/>
        </w:rPr>
        <w:t xml:space="preserve"> durch das 2G-Optionsmodell einen erneuten </w:t>
      </w:r>
      <w:proofErr w:type="spellStart"/>
      <w:r w:rsidR="00A92EBF">
        <w:rPr>
          <w:rFonts w:ascii="Plain Thin" w:hAnsi="Plain Thin" w:cs="Times New Roman"/>
        </w:rPr>
        <w:t>Lockdown</w:t>
      </w:r>
      <w:proofErr w:type="spellEnd"/>
      <w:r w:rsidR="00A92EBF">
        <w:rPr>
          <w:rFonts w:ascii="Plain Thin" w:hAnsi="Plain Thin" w:cs="Times New Roman"/>
        </w:rPr>
        <w:t xml:space="preserve"> für die gebeutelte Branche </w:t>
      </w:r>
      <w:r>
        <w:rPr>
          <w:rFonts w:ascii="Plain Thin" w:hAnsi="Plain Thin" w:cs="Times New Roman"/>
        </w:rPr>
        <w:t>vermeiden zu können.</w:t>
      </w:r>
    </w:p>
    <w:p w14:paraId="417A206F" w14:textId="4C8CBEC7" w:rsidR="002700E7" w:rsidRDefault="002700E7" w:rsidP="00960240">
      <w:pPr>
        <w:spacing w:line="240" w:lineRule="auto"/>
        <w:rPr>
          <w:rFonts w:ascii="Plain Thin" w:hAnsi="Plain Thin" w:cs="Times New Roman"/>
        </w:rPr>
      </w:pPr>
      <w:r>
        <w:rPr>
          <w:rFonts w:ascii="Plain Thin" w:hAnsi="Plain Thin" w:cs="Times New Roman"/>
        </w:rPr>
        <w:t>Die</w:t>
      </w:r>
      <w:r w:rsidR="00FB6090">
        <w:rPr>
          <w:rFonts w:ascii="Plain Thin" w:hAnsi="Plain Thin" w:cs="Times New Roman"/>
        </w:rPr>
        <w:t xml:space="preserve"> ETL ADHOGA</w:t>
      </w:r>
      <w:r w:rsidR="003B79F0">
        <w:rPr>
          <w:rFonts w:ascii="Plain Thin" w:hAnsi="Plain Thin" w:cs="Times New Roman"/>
        </w:rPr>
        <w:t xml:space="preserve"> </w:t>
      </w:r>
      <w:r>
        <w:rPr>
          <w:rFonts w:ascii="Plain Thin" w:hAnsi="Plain Thin" w:cs="Times New Roman"/>
        </w:rPr>
        <w:t>Infog</w:t>
      </w:r>
      <w:r w:rsidR="003B79F0">
        <w:rPr>
          <w:rFonts w:ascii="Plain Thin" w:hAnsi="Plain Thin" w:cs="Times New Roman"/>
        </w:rPr>
        <w:t xml:space="preserve">rafik steht hier </w:t>
      </w:r>
      <w:r w:rsidR="00240AE3">
        <w:rPr>
          <w:rFonts w:ascii="Plain Thin" w:hAnsi="Plain Thin" w:cs="Times New Roman"/>
        </w:rPr>
        <w:t xml:space="preserve">kostenlos </w:t>
      </w:r>
      <w:r w:rsidR="003B79F0">
        <w:rPr>
          <w:rFonts w:ascii="Plain Thin" w:hAnsi="Plain Thin" w:cs="Times New Roman"/>
        </w:rPr>
        <w:t xml:space="preserve">zur Verfügung: </w:t>
      </w:r>
    </w:p>
    <w:p w14:paraId="6FD2EB27" w14:textId="12027885" w:rsidR="002700E7" w:rsidRDefault="00BF341B" w:rsidP="00960240">
      <w:pPr>
        <w:spacing w:line="240" w:lineRule="auto"/>
        <w:rPr>
          <w:rFonts w:ascii="Plain Thin" w:hAnsi="Plain Thin" w:cs="Times New Roman"/>
        </w:rPr>
      </w:pPr>
      <w:hyperlink r:id="rId5" w:history="1">
        <w:r w:rsidR="00B15485" w:rsidRPr="00945BE5">
          <w:rPr>
            <w:rStyle w:val="Hyperlink"/>
            <w:rFonts w:ascii="Plain Thin" w:hAnsi="Plain Thin" w:cs="Times New Roman"/>
          </w:rPr>
          <w:t>https://www.etl-adhoga.de/aktuelles/flickenteppich-statt-planungssicherheit-etl-adhoga-mit-infografik-zu-3g-regelungen-im-gastgewerbe</w:t>
        </w:r>
      </w:hyperlink>
    </w:p>
    <w:p w14:paraId="30BF360B" w14:textId="77777777" w:rsidR="00B15485" w:rsidRDefault="00B15485" w:rsidP="00960240">
      <w:pPr>
        <w:spacing w:line="240" w:lineRule="auto"/>
        <w:rPr>
          <w:rFonts w:ascii="Plain Thin" w:hAnsi="Plain Thin" w:cs="Times New Roman"/>
        </w:rPr>
      </w:pPr>
    </w:p>
    <w:p w14:paraId="40BC2306" w14:textId="77777777" w:rsidR="002700E7" w:rsidRPr="002700E7" w:rsidRDefault="002700E7" w:rsidP="002700E7">
      <w:pPr>
        <w:spacing w:line="240" w:lineRule="auto"/>
        <w:rPr>
          <w:rFonts w:ascii="Plain" w:eastAsia="Calibri" w:hAnsi="Plain" w:cs="Times New Roman"/>
          <w:b/>
          <w:bCs/>
        </w:rPr>
      </w:pPr>
      <w:r w:rsidRPr="002700E7">
        <w:rPr>
          <w:rFonts w:ascii="Plain" w:eastAsia="Calibri" w:hAnsi="Plain" w:cs="Times New Roman"/>
          <w:b/>
          <w:bCs/>
        </w:rPr>
        <w:t>Über ETL ADHOGA</w:t>
      </w:r>
    </w:p>
    <w:p w14:paraId="1314023E" w14:textId="77777777" w:rsidR="00EC50CD" w:rsidRPr="00EC50CD" w:rsidRDefault="00EC50CD" w:rsidP="00EC50CD">
      <w:pPr>
        <w:spacing w:before="360" w:after="0" w:line="240" w:lineRule="auto"/>
        <w:contextualSpacing/>
        <w:jc w:val="both"/>
        <w:rPr>
          <w:rFonts w:ascii="Plain Thin" w:eastAsia="Calibri" w:hAnsi="Plain Thin" w:cs="Times New Roman"/>
          <w:sz w:val="16"/>
          <w:szCs w:val="16"/>
        </w:rPr>
      </w:pPr>
      <w:r w:rsidRPr="00EC50CD">
        <w:rPr>
          <w:rFonts w:ascii="Plain Thin" w:eastAsia="Calibri" w:hAnsi="Plain Thin" w:cs="Times New Roman"/>
          <w:sz w:val="16"/>
          <w:szCs w:val="16"/>
        </w:rPr>
        <w:t>Die ETL ADHOGA Steuerberatungsgesellschaft AG ist als Teil der ETL-Gruppe auf die Beratung von Gastronomen und Hoteliers rund um die Themen Steuern, Recht und Unternehmensführung spezialisiert.</w:t>
      </w:r>
    </w:p>
    <w:p w14:paraId="34B93FE3" w14:textId="726DF578" w:rsidR="002700E7" w:rsidRDefault="00EC50CD" w:rsidP="00EC50CD">
      <w:pPr>
        <w:spacing w:before="360" w:after="0" w:line="240" w:lineRule="auto"/>
        <w:contextualSpacing/>
        <w:jc w:val="both"/>
        <w:rPr>
          <w:rFonts w:ascii="Plain Thin" w:eastAsia="Calibri" w:hAnsi="Plain Thin" w:cs="Times New Roman"/>
          <w:sz w:val="16"/>
          <w:szCs w:val="16"/>
        </w:rPr>
      </w:pPr>
      <w:r w:rsidRPr="00EC50CD">
        <w:rPr>
          <w:rFonts w:ascii="Plain Thin" w:eastAsia="Calibri" w:hAnsi="Plain Thin" w:cs="Times New Roman"/>
          <w:sz w:val="16"/>
          <w:szCs w:val="16"/>
        </w:rPr>
        <w:t xml:space="preserve">Zu den Leistungen von </w:t>
      </w:r>
      <w:r w:rsidR="00BF341B">
        <w:rPr>
          <w:rFonts w:ascii="Plain Thin" w:eastAsia="Calibri" w:hAnsi="Plain Thin" w:cs="Times New Roman"/>
          <w:sz w:val="16"/>
          <w:szCs w:val="16"/>
        </w:rPr>
        <w:t xml:space="preserve">ETL </w:t>
      </w:r>
      <w:r w:rsidRPr="00EC50CD">
        <w:rPr>
          <w:rFonts w:ascii="Plain Thin" w:eastAsia="Calibri" w:hAnsi="Plain Thin" w:cs="Times New Roman"/>
          <w:sz w:val="16"/>
          <w:szCs w:val="16"/>
        </w:rPr>
        <w:t>ADHOGA im Bereich der Steuerberatung für Hot</w:t>
      </w:r>
      <w:r w:rsidR="00BF341B">
        <w:rPr>
          <w:rFonts w:ascii="Plain Thin" w:eastAsia="Calibri" w:hAnsi="Plain Thin" w:cs="Times New Roman"/>
          <w:sz w:val="16"/>
          <w:szCs w:val="16"/>
        </w:rPr>
        <w:t>els und Gaststätten zählen die k</w:t>
      </w:r>
      <w:r w:rsidRPr="00EC50CD">
        <w:rPr>
          <w:rFonts w:ascii="Plain Thin" w:eastAsia="Calibri" w:hAnsi="Plain Thin" w:cs="Times New Roman"/>
          <w:sz w:val="16"/>
          <w:szCs w:val="16"/>
        </w:rPr>
        <w:t>lassische Steuerberatung, Finanz- und Lohnbuchhaltung, Bilanzen und Steuererklärungen sowie betriebswirtschaftliche Beratung. Deutschlandweit verzeichnen die auf Hotellerie und Gas</w:t>
      </w:r>
      <w:bookmarkStart w:id="0" w:name="_GoBack"/>
      <w:bookmarkEnd w:id="0"/>
      <w:r w:rsidRPr="00EC50CD">
        <w:rPr>
          <w:rFonts w:ascii="Plain Thin" w:eastAsia="Calibri" w:hAnsi="Plain Thin" w:cs="Times New Roman"/>
          <w:sz w:val="16"/>
          <w:szCs w:val="16"/>
        </w:rPr>
        <w:t>tronomie spezialisierten Berater von ETL ADHOGA bereits über 1.000 Mandanten. Im Rahmen der gesamten ETL-Gruppe werden über 4.000 Hotellerie- und Gastronomiebetriebe betreut.</w:t>
      </w:r>
    </w:p>
    <w:p w14:paraId="57B67EFE" w14:textId="77777777" w:rsidR="00EC50CD" w:rsidRPr="002700E7" w:rsidRDefault="00EC50CD" w:rsidP="00EC50CD">
      <w:pPr>
        <w:spacing w:before="360" w:after="0" w:line="240" w:lineRule="auto"/>
        <w:contextualSpacing/>
        <w:jc w:val="both"/>
        <w:rPr>
          <w:rFonts w:ascii="Plain Thin" w:eastAsia="Calibri" w:hAnsi="Plain Thin" w:cs="Times New Roman"/>
          <w:sz w:val="16"/>
          <w:szCs w:val="16"/>
        </w:rPr>
      </w:pPr>
    </w:p>
    <w:p w14:paraId="41D4A9C7" w14:textId="77777777" w:rsidR="002700E7" w:rsidRPr="002700E7" w:rsidRDefault="002700E7" w:rsidP="002700E7">
      <w:pPr>
        <w:spacing w:before="360" w:after="0" w:line="240" w:lineRule="auto"/>
        <w:contextualSpacing/>
        <w:jc w:val="both"/>
        <w:rPr>
          <w:rFonts w:ascii="Plain Thin" w:eastAsia="Calibri" w:hAnsi="Plain Thin" w:cs="Times New Roman"/>
          <w:b/>
          <w:sz w:val="16"/>
          <w:szCs w:val="16"/>
        </w:rPr>
      </w:pPr>
      <w:r w:rsidRPr="002700E7">
        <w:rPr>
          <w:rFonts w:ascii="Plain Thin" w:eastAsia="Calibri" w:hAnsi="Plain Thin" w:cs="Times New Roman"/>
          <w:b/>
          <w:sz w:val="16"/>
          <w:szCs w:val="16"/>
        </w:rPr>
        <w:t>Pressekontakt</w:t>
      </w:r>
    </w:p>
    <w:p w14:paraId="1682079E" w14:textId="0D9BFDF3" w:rsidR="002700E7" w:rsidRPr="002700E7" w:rsidRDefault="002700E7" w:rsidP="002700E7">
      <w:pPr>
        <w:spacing w:after="0" w:line="240" w:lineRule="auto"/>
        <w:contextualSpacing/>
        <w:jc w:val="both"/>
        <w:rPr>
          <w:rFonts w:ascii="Plain Thin" w:eastAsia="Calibri" w:hAnsi="Plain Thin" w:cs="Calibri Light"/>
          <w:sz w:val="16"/>
          <w:szCs w:val="16"/>
        </w:rPr>
      </w:pPr>
      <w:r w:rsidRPr="002700E7">
        <w:rPr>
          <w:rFonts w:ascii="Plain Thin" w:eastAsia="Calibri" w:hAnsi="Plain Thin" w:cs="Calibri Light"/>
          <w:sz w:val="16"/>
          <w:szCs w:val="16"/>
        </w:rPr>
        <w:t>Danyal Alaybeyoglu, Tel.: 030 22 64 02 30, E-Mail: danyal.alaybeyoglu@etl.de, ETL, Mauerstra</w:t>
      </w:r>
      <w:r w:rsidR="00BF341B">
        <w:rPr>
          <w:rFonts w:ascii="Plain Thin" w:eastAsia="Calibri" w:hAnsi="Plain Thin" w:cs="Calibri Light"/>
          <w:sz w:val="16"/>
          <w:szCs w:val="16"/>
        </w:rPr>
        <w:t>ße 86-88, 10117 Berlin, www.etl-adhoga.</w:t>
      </w:r>
      <w:r w:rsidRPr="002700E7">
        <w:rPr>
          <w:rFonts w:ascii="Plain Thin" w:eastAsia="Calibri" w:hAnsi="Plain Thin" w:cs="Calibri Light"/>
          <w:sz w:val="16"/>
          <w:szCs w:val="16"/>
        </w:rPr>
        <w:t>de</w:t>
      </w:r>
    </w:p>
    <w:p w14:paraId="156B0773" w14:textId="77777777" w:rsidR="002700E7" w:rsidRPr="002700E7" w:rsidRDefault="002700E7" w:rsidP="002700E7">
      <w:pPr>
        <w:rPr>
          <w:rFonts w:ascii="Calibri" w:eastAsia="Calibri" w:hAnsi="Calibri" w:cs="Times New Roman"/>
        </w:rPr>
      </w:pPr>
    </w:p>
    <w:p w14:paraId="11741EDB" w14:textId="77777777" w:rsidR="002700E7" w:rsidRDefault="002700E7" w:rsidP="00960240">
      <w:pPr>
        <w:spacing w:line="240" w:lineRule="auto"/>
        <w:rPr>
          <w:rFonts w:ascii="Plain Thin" w:hAnsi="Plain Thin" w:cs="Times New Roman"/>
        </w:rPr>
      </w:pPr>
    </w:p>
    <w:p w14:paraId="12D2026E" w14:textId="77777777" w:rsidR="00960240" w:rsidRPr="00E67CD9" w:rsidRDefault="00960240">
      <w:pPr>
        <w:rPr>
          <w:rFonts w:ascii="Plain Thin" w:hAnsi="Plain Thin" w:cs="Times New Roman"/>
        </w:rPr>
      </w:pPr>
    </w:p>
    <w:sectPr w:rsidR="00960240" w:rsidRPr="00E67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in Thin">
    <w:panose1 w:val="020B0403020202020204"/>
    <w:charset w:val="00"/>
    <w:family w:val="swiss"/>
    <w:notTrueType/>
    <w:pitch w:val="variable"/>
    <w:sig w:usb0="8000002F" w:usb1="00002000" w:usb2="00000000" w:usb3="00000000" w:csb0="00000093" w:csb1="00000000"/>
  </w:font>
  <w:font w:name="Plain Light">
    <w:panose1 w:val="020B0403020202020204"/>
    <w:charset w:val="00"/>
    <w:family w:val="swiss"/>
    <w:notTrueType/>
    <w:pitch w:val="variable"/>
    <w:sig w:usb0="8000002F" w:usb1="00002000" w:usb2="00000000" w:usb3="00000000" w:csb0="00000093" w:csb1="00000000"/>
  </w:font>
  <w:font w:name="Plain">
    <w:altName w:val="Calibri"/>
    <w:panose1 w:val="020B0503020202020204"/>
    <w:charset w:val="00"/>
    <w:family w:val="swiss"/>
    <w:notTrueType/>
    <w:pitch w:val="variable"/>
    <w:sig w:usb0="8000002F" w:usb1="00002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EC"/>
    <w:rsid w:val="00055310"/>
    <w:rsid w:val="000B782D"/>
    <w:rsid w:val="001604E4"/>
    <w:rsid w:val="001A4DD2"/>
    <w:rsid w:val="00203F4E"/>
    <w:rsid w:val="0023391D"/>
    <w:rsid w:val="00240AE3"/>
    <w:rsid w:val="002700E7"/>
    <w:rsid w:val="0027184A"/>
    <w:rsid w:val="00322A1B"/>
    <w:rsid w:val="003614DD"/>
    <w:rsid w:val="0036393A"/>
    <w:rsid w:val="0038768C"/>
    <w:rsid w:val="00394492"/>
    <w:rsid w:val="00397EE2"/>
    <w:rsid w:val="003A753F"/>
    <w:rsid w:val="003B79F0"/>
    <w:rsid w:val="0042422E"/>
    <w:rsid w:val="0042455B"/>
    <w:rsid w:val="00485B5A"/>
    <w:rsid w:val="00490059"/>
    <w:rsid w:val="00522D10"/>
    <w:rsid w:val="00523D3B"/>
    <w:rsid w:val="0055593A"/>
    <w:rsid w:val="00565BBB"/>
    <w:rsid w:val="00602042"/>
    <w:rsid w:val="00703FB2"/>
    <w:rsid w:val="007359D5"/>
    <w:rsid w:val="007425E9"/>
    <w:rsid w:val="007D59B9"/>
    <w:rsid w:val="007F27BB"/>
    <w:rsid w:val="0080083C"/>
    <w:rsid w:val="008605EC"/>
    <w:rsid w:val="00883B61"/>
    <w:rsid w:val="008955FA"/>
    <w:rsid w:val="008C2A16"/>
    <w:rsid w:val="008D40FA"/>
    <w:rsid w:val="00912AEC"/>
    <w:rsid w:val="00960240"/>
    <w:rsid w:val="009B5B86"/>
    <w:rsid w:val="009D53FB"/>
    <w:rsid w:val="009F5D32"/>
    <w:rsid w:val="00A92EBF"/>
    <w:rsid w:val="00AD3F06"/>
    <w:rsid w:val="00B1429D"/>
    <w:rsid w:val="00B15485"/>
    <w:rsid w:val="00BF17D5"/>
    <w:rsid w:val="00BF341B"/>
    <w:rsid w:val="00BF7119"/>
    <w:rsid w:val="00C645E0"/>
    <w:rsid w:val="00C7476F"/>
    <w:rsid w:val="00D4135B"/>
    <w:rsid w:val="00D75D49"/>
    <w:rsid w:val="00DE7AD9"/>
    <w:rsid w:val="00DF6D9E"/>
    <w:rsid w:val="00E50E19"/>
    <w:rsid w:val="00E67CD9"/>
    <w:rsid w:val="00E802FF"/>
    <w:rsid w:val="00E812A1"/>
    <w:rsid w:val="00EC50CD"/>
    <w:rsid w:val="00F91306"/>
    <w:rsid w:val="00FA258F"/>
    <w:rsid w:val="00FB59B7"/>
    <w:rsid w:val="00FB6090"/>
    <w:rsid w:val="00FD484A"/>
    <w:rsid w:val="00FF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F68D"/>
  <w15:chartTrackingRefBased/>
  <w15:docId w15:val="{45B0AFD6-F79B-42E1-B2C8-F8348880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27BB"/>
    <w:rPr>
      <w:color w:val="0563C1" w:themeColor="hyperlink"/>
      <w:u w:val="single"/>
    </w:rPr>
  </w:style>
  <w:style w:type="character" w:customStyle="1" w:styleId="UnresolvedMention">
    <w:name w:val="Unresolved Mention"/>
    <w:basedOn w:val="Absatz-Standardschriftart"/>
    <w:uiPriority w:val="99"/>
    <w:semiHidden/>
    <w:unhideWhenUsed/>
    <w:rsid w:val="007F27BB"/>
    <w:rPr>
      <w:color w:val="605E5C"/>
      <w:shd w:val="clear" w:color="auto" w:fill="E1DFDD"/>
    </w:rPr>
  </w:style>
  <w:style w:type="character" w:styleId="Platzhaltertext">
    <w:name w:val="Placeholder Text"/>
    <w:basedOn w:val="Absatz-Standardschriftart"/>
    <w:uiPriority w:val="99"/>
    <w:semiHidden/>
    <w:rsid w:val="008605EC"/>
    <w:rPr>
      <w:color w:val="808080"/>
    </w:rPr>
  </w:style>
  <w:style w:type="paragraph" w:styleId="Sprechblasentext">
    <w:name w:val="Balloon Text"/>
    <w:basedOn w:val="Standard"/>
    <w:link w:val="SprechblasentextZchn"/>
    <w:uiPriority w:val="99"/>
    <w:semiHidden/>
    <w:unhideWhenUsed/>
    <w:rsid w:val="003B7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l-adhoga.de/aktuelles/flickenteppich-statt-planungssicherheit-etl-adhoga-mit-infografik-zu-3g-regelungen-im-gastgewerb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Windows-Benutzer</cp:lastModifiedBy>
  <cp:revision>11</cp:revision>
  <cp:lastPrinted>2021-08-20T06:51:00Z</cp:lastPrinted>
  <dcterms:created xsi:type="dcterms:W3CDTF">2021-08-20T07:06:00Z</dcterms:created>
  <dcterms:modified xsi:type="dcterms:W3CDTF">2021-09-17T06:40:00Z</dcterms:modified>
</cp:coreProperties>
</file>