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E728" w14:textId="65B22FB8" w:rsidR="00CA79D7" w:rsidRPr="006456EA" w:rsidRDefault="00161817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top-7-investment</w:t>
      </w:r>
      <w:r w:rsidR="000021F4">
        <w:rPr>
          <w:rFonts w:ascii="Source Sans Pro" w:hAnsi="Source Sans Pro" w:cs="Source Sans Pro"/>
          <w:caps/>
          <w:color w:val="0086A8"/>
          <w:sz w:val="22"/>
          <w:szCs w:val="22"/>
        </w:rPr>
        <w:t>märkte Q</w:t>
      </w:r>
      <w:r w:rsidR="00F40B12">
        <w:rPr>
          <w:rFonts w:ascii="Source Sans Pro" w:hAnsi="Source Sans Pro" w:cs="Source Sans Pro"/>
          <w:caps/>
          <w:color w:val="0086A8"/>
          <w:sz w:val="22"/>
          <w:szCs w:val="22"/>
        </w:rPr>
        <w:t>1</w:t>
      </w:r>
      <w:r w:rsidR="005D46DE">
        <w:rPr>
          <w:rFonts w:ascii="Source Sans Pro" w:hAnsi="Source Sans Pro" w:cs="Source Sans Pro"/>
          <w:caps/>
          <w:color w:val="0086A8"/>
          <w:sz w:val="22"/>
          <w:szCs w:val="22"/>
        </w:rPr>
        <w:t>-</w:t>
      </w:r>
      <w:r w:rsidR="00161095">
        <w:rPr>
          <w:rFonts w:ascii="Source Sans Pro" w:hAnsi="Source Sans Pro" w:cs="Source Sans Pro"/>
          <w:caps/>
          <w:color w:val="0086A8"/>
          <w:sz w:val="22"/>
          <w:szCs w:val="22"/>
        </w:rPr>
        <w:t>4</w:t>
      </w:r>
      <w:r w:rsidR="001550FE">
        <w:rPr>
          <w:rFonts w:ascii="Source Sans Pro" w:hAnsi="Source Sans Pro" w:cs="Source Sans Pro"/>
          <w:caps/>
          <w:color w:val="0086A8"/>
          <w:sz w:val="22"/>
          <w:szCs w:val="22"/>
        </w:rPr>
        <w:t>/202</w:t>
      </w:r>
      <w:r w:rsidR="007F12A3">
        <w:rPr>
          <w:rFonts w:ascii="Source Sans Pro" w:hAnsi="Source Sans Pro" w:cs="Source Sans Pro"/>
          <w:caps/>
          <w:color w:val="0086A8"/>
          <w:sz w:val="22"/>
          <w:szCs w:val="22"/>
        </w:rPr>
        <w:t>3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37E81814" w:rsidR="00CA79D7" w:rsidRDefault="00002078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 xml:space="preserve">Marktbelebung </w:t>
      </w:r>
      <w:r w:rsidR="00CF3456">
        <w:rPr>
          <w:rFonts w:ascii="Source Sans Pro" w:hAnsi="Source Sans Pro" w:cs="Source Sans Pro"/>
          <w:sz w:val="36"/>
          <w:szCs w:val="36"/>
        </w:rPr>
        <w:t>ver</w:t>
      </w:r>
      <w:r w:rsidR="009E00E8">
        <w:rPr>
          <w:rFonts w:ascii="Source Sans Pro" w:hAnsi="Source Sans Pro" w:cs="Source Sans Pro"/>
          <w:sz w:val="36"/>
          <w:szCs w:val="36"/>
        </w:rPr>
        <w:t>zögert</w:t>
      </w:r>
      <w:r w:rsidR="00CF3456">
        <w:rPr>
          <w:rFonts w:ascii="Source Sans Pro" w:hAnsi="Source Sans Pro" w:cs="Source Sans Pro"/>
          <w:sz w:val="36"/>
          <w:szCs w:val="36"/>
        </w:rPr>
        <w:t xml:space="preserve"> sich</w:t>
      </w:r>
    </w:p>
    <w:p w14:paraId="743073FD" w14:textId="5C5794E2" w:rsidR="003152C9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14EADD5C" w14:textId="26F79378" w:rsidR="004F09D7" w:rsidRDefault="00720309" w:rsidP="004F0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 w:rsidRPr="00966A04"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0C1328" wp14:editId="48E40A26">
            <wp:simplePos x="0" y="0"/>
            <wp:positionH relativeFrom="column">
              <wp:posOffset>50800</wp:posOffset>
            </wp:positionH>
            <wp:positionV relativeFrom="paragraph">
              <wp:posOffset>23495</wp:posOffset>
            </wp:positionV>
            <wp:extent cx="4509135" cy="2560320"/>
            <wp:effectExtent l="19050" t="19050" r="24765" b="1143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2560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673">
        <w:rPr>
          <w:rFonts w:ascii="Source Sans Pro" w:hAnsi="Source Sans Pro" w:cs="Source Sans Pro"/>
          <w:color w:val="0086A8"/>
          <w:sz w:val="22"/>
          <w:szCs w:val="22"/>
        </w:rPr>
        <w:br w:type="textWrapping" w:clear="all"/>
      </w:r>
    </w:p>
    <w:p w14:paraId="3ACD8EF4" w14:textId="72BC3D6F" w:rsidR="00E560D3" w:rsidRPr="009A5A0F" w:rsidRDefault="0017673F" w:rsidP="009B432F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t>0</w:t>
      </w:r>
      <w:r w:rsidR="00161095">
        <w:rPr>
          <w:rFonts w:ascii="Source Sans Pro" w:hAnsi="Source Sans Pro" w:cs="Source Sans Pro"/>
          <w:color w:val="0086A8"/>
          <w:sz w:val="22"/>
          <w:szCs w:val="22"/>
        </w:rPr>
        <w:t>3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161095">
        <w:rPr>
          <w:rFonts w:ascii="Source Sans Pro" w:hAnsi="Source Sans Pro" w:cs="Source Sans Pro"/>
          <w:color w:val="0087A8"/>
          <w:sz w:val="22"/>
          <w:szCs w:val="22"/>
        </w:rPr>
        <w:t>Januar 2024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2F01DF">
        <w:rPr>
          <w:rFonts w:ascii="Source Sans Pro" w:hAnsi="Source Sans Pro" w:cs="Source Sans Pro"/>
          <w:color w:val="auto"/>
          <w:sz w:val="22"/>
          <w:szCs w:val="22"/>
        </w:rPr>
        <w:t>Das</w:t>
      </w:r>
      <w:r w:rsidR="0018743E">
        <w:rPr>
          <w:rFonts w:ascii="Source Sans Pro" w:hAnsi="Source Sans Pro" w:cs="Source Sans Pro"/>
          <w:color w:val="auto"/>
          <w:sz w:val="22"/>
          <w:szCs w:val="22"/>
        </w:rPr>
        <w:t xml:space="preserve"> Jahresende</w:t>
      </w:r>
      <w:r w:rsidR="002F01DF">
        <w:rPr>
          <w:rFonts w:ascii="Source Sans Pro" w:hAnsi="Source Sans Pro" w:cs="Source Sans Pro"/>
          <w:color w:val="auto"/>
          <w:sz w:val="22"/>
          <w:szCs w:val="22"/>
        </w:rPr>
        <w:t xml:space="preserve"> brachte ein erwartungsgemäß verhaltenes Ergebnis auf den Top-7-Märkten für gewerbliche Immobilieninvestments.</w:t>
      </w:r>
      <w:r w:rsidR="0018743E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2F01DF">
        <w:rPr>
          <w:rFonts w:ascii="Source Sans Pro" w:hAnsi="Source Sans Pro" w:cs="Source Sans Pro"/>
          <w:color w:val="auto"/>
          <w:sz w:val="22"/>
          <w:szCs w:val="22"/>
        </w:rPr>
        <w:t xml:space="preserve">Mit </w:t>
      </w:r>
      <w:r w:rsidR="00052FDB">
        <w:rPr>
          <w:rFonts w:ascii="Source Sans Pro" w:hAnsi="Source Sans Pro" w:cs="Source Sans Pro"/>
          <w:color w:val="auto"/>
          <w:sz w:val="22"/>
          <w:szCs w:val="22"/>
        </w:rPr>
        <w:t>rund 7,8</w:t>
      </w:r>
      <w:r w:rsidR="002F01DF">
        <w:rPr>
          <w:rFonts w:ascii="Source Sans Pro" w:hAnsi="Source Sans Pro" w:cs="Source Sans Pro"/>
          <w:color w:val="auto"/>
          <w:sz w:val="22"/>
          <w:szCs w:val="22"/>
        </w:rPr>
        <w:t xml:space="preserve"> Mrd. € lag das </w:t>
      </w:r>
      <w:r w:rsidR="0018743E" w:rsidRPr="0018743E">
        <w:rPr>
          <w:rFonts w:ascii="Source Sans Pro" w:hAnsi="Source Sans Pro" w:cs="Source Sans Pro"/>
          <w:color w:val="auto"/>
          <w:sz w:val="22"/>
          <w:szCs w:val="22"/>
        </w:rPr>
        <w:t xml:space="preserve">Transaktionsvolumen (TAV) </w:t>
      </w:r>
      <w:r w:rsidR="009E00E8">
        <w:rPr>
          <w:rFonts w:ascii="Source Sans Pro" w:hAnsi="Source Sans Pro" w:cs="Source Sans Pro"/>
          <w:color w:val="auto"/>
          <w:sz w:val="22"/>
          <w:szCs w:val="22"/>
        </w:rPr>
        <w:t>etwa</w:t>
      </w:r>
      <w:r w:rsidR="002F01DF">
        <w:rPr>
          <w:rFonts w:ascii="Source Sans Pro" w:hAnsi="Source Sans Pro" w:cs="Source Sans Pro"/>
          <w:color w:val="auto"/>
          <w:sz w:val="22"/>
          <w:szCs w:val="22"/>
        </w:rPr>
        <w:t xml:space="preserve"> 69 % unter dem hohen, von Sondereffekten beeinflussten Ergebnis aus dem</w:t>
      </w:r>
      <w:r w:rsidR="0018743E">
        <w:rPr>
          <w:rFonts w:ascii="Source Sans Pro" w:hAnsi="Source Sans Pro" w:cs="Source Sans Pro"/>
          <w:color w:val="auto"/>
          <w:sz w:val="22"/>
          <w:szCs w:val="22"/>
        </w:rPr>
        <w:t xml:space="preserve"> Vorjahreszeitraum</w:t>
      </w:r>
      <w:r w:rsidR="005150A3">
        <w:rPr>
          <w:rFonts w:ascii="Source Sans Pro" w:hAnsi="Source Sans Pro" w:cs="Source Sans Pro"/>
          <w:color w:val="auto"/>
          <w:sz w:val="22"/>
          <w:szCs w:val="22"/>
        </w:rPr>
        <w:t xml:space="preserve"> (</w:t>
      </w:r>
      <w:r w:rsidR="00052FDB">
        <w:rPr>
          <w:rFonts w:ascii="Source Sans Pro" w:hAnsi="Source Sans Pro" w:cs="Source Sans Pro"/>
          <w:color w:val="auto"/>
          <w:sz w:val="22"/>
          <w:szCs w:val="22"/>
        </w:rPr>
        <w:t>25,5 Mrd.</w:t>
      </w:r>
      <w:r w:rsidR="005150A3">
        <w:rPr>
          <w:rFonts w:ascii="Source Sans Pro" w:hAnsi="Source Sans Pro" w:cs="Source Sans Pro"/>
          <w:color w:val="auto"/>
          <w:sz w:val="22"/>
          <w:szCs w:val="22"/>
        </w:rPr>
        <w:t xml:space="preserve"> €)</w:t>
      </w:r>
      <w:r w:rsidR="0018743E">
        <w:rPr>
          <w:rFonts w:ascii="Source Sans Pro" w:hAnsi="Source Sans Pro" w:cs="Source Sans Pro"/>
          <w:color w:val="auto"/>
          <w:sz w:val="22"/>
          <w:szCs w:val="22"/>
        </w:rPr>
        <w:t>.</w:t>
      </w:r>
      <w:r w:rsidR="009E00E8">
        <w:rPr>
          <w:rFonts w:ascii="Source Sans Pro" w:hAnsi="Source Sans Pro" w:cs="Source Sans Pro"/>
          <w:color w:val="auto"/>
          <w:sz w:val="22"/>
          <w:szCs w:val="22"/>
        </w:rPr>
        <w:t xml:space="preserve"> Im 4. Quartal </w:t>
      </w:r>
      <w:r w:rsidR="00A85255">
        <w:rPr>
          <w:rFonts w:ascii="Source Sans Pro" w:hAnsi="Source Sans Pro" w:cs="Source Sans Pro"/>
          <w:color w:val="auto"/>
          <w:sz w:val="22"/>
          <w:szCs w:val="22"/>
        </w:rPr>
        <w:t xml:space="preserve">2023 </w:t>
      </w:r>
      <w:r w:rsidR="009E00E8">
        <w:rPr>
          <w:rFonts w:ascii="Source Sans Pro" w:hAnsi="Source Sans Pro" w:cs="Source Sans Pro"/>
          <w:color w:val="auto"/>
          <w:sz w:val="22"/>
          <w:szCs w:val="22"/>
        </w:rPr>
        <w:t xml:space="preserve">wurden Immobilieninvestments in Höhe von </w:t>
      </w:r>
      <w:r w:rsidR="00A85255">
        <w:rPr>
          <w:rFonts w:ascii="Source Sans Pro" w:hAnsi="Source Sans Pro" w:cs="Source Sans Pro"/>
          <w:color w:val="auto"/>
          <w:sz w:val="22"/>
          <w:szCs w:val="22"/>
        </w:rPr>
        <w:t>knapp 2</w:t>
      </w:r>
      <w:r w:rsidR="009E00E8">
        <w:rPr>
          <w:rFonts w:ascii="Source Sans Pro" w:hAnsi="Source Sans Pro" w:cs="Source Sans Pro"/>
          <w:color w:val="auto"/>
          <w:sz w:val="22"/>
          <w:szCs w:val="22"/>
        </w:rPr>
        <w:t xml:space="preserve"> Mrd. € abgeschlossen. Verglichen mit dem 3. Quartal</w:t>
      </w:r>
      <w:r w:rsidR="00A85255">
        <w:rPr>
          <w:rFonts w:ascii="Source Sans Pro" w:hAnsi="Source Sans Pro" w:cs="Source Sans Pro"/>
          <w:color w:val="auto"/>
          <w:sz w:val="22"/>
          <w:szCs w:val="22"/>
        </w:rPr>
        <w:t xml:space="preserve"> (1,4 Mrd. €)</w:t>
      </w:r>
      <w:r w:rsidR="009E00E8">
        <w:rPr>
          <w:rFonts w:ascii="Source Sans Pro" w:hAnsi="Source Sans Pro" w:cs="Source Sans Pro"/>
          <w:color w:val="auto"/>
          <w:sz w:val="22"/>
          <w:szCs w:val="22"/>
        </w:rPr>
        <w:t xml:space="preserve"> lässt sich</w:t>
      </w:r>
      <w:r w:rsidR="00A85255">
        <w:rPr>
          <w:rFonts w:ascii="Source Sans Pro" w:hAnsi="Source Sans Pro" w:cs="Source Sans Pro"/>
          <w:color w:val="auto"/>
          <w:sz w:val="22"/>
          <w:szCs w:val="22"/>
        </w:rPr>
        <w:t xml:space="preserve"> ein leichtes Plus feststellen, dennoch blieb das Volumen sehr gering.</w:t>
      </w:r>
      <w:r w:rsidR="009A5A0F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0C370A">
        <w:rPr>
          <w:rFonts w:ascii="Source Sans Pro" w:hAnsi="Source Sans Pro" w:cs="Source Sans Pro"/>
          <w:color w:val="auto"/>
          <w:sz w:val="22"/>
          <w:szCs w:val="22"/>
        </w:rPr>
        <w:t xml:space="preserve">Dies </w:t>
      </w:r>
      <w:r w:rsidR="009A5A0F">
        <w:rPr>
          <w:rFonts w:ascii="Source Sans Pro" w:hAnsi="Source Sans Pro" w:cs="Source Sans Pro"/>
          <w:color w:val="auto"/>
          <w:sz w:val="22"/>
          <w:szCs w:val="22"/>
        </w:rPr>
        <w:t>ergaben</w:t>
      </w:r>
      <w:r w:rsidR="000C370A">
        <w:rPr>
          <w:rFonts w:ascii="Source Sans Pro" w:hAnsi="Source Sans Pro" w:cs="Source Sans Pro"/>
          <w:color w:val="auto"/>
          <w:sz w:val="22"/>
          <w:szCs w:val="22"/>
        </w:rPr>
        <w:t xml:space="preserve"> Analysen von German Property Partners (GPP)</w:t>
      </w:r>
      <w:r w:rsidR="009A5A0F">
        <w:rPr>
          <w:rFonts w:ascii="Source Sans Pro" w:hAnsi="Source Sans Pro" w:cs="Source Sans Pro"/>
          <w:color w:val="auto"/>
          <w:sz w:val="22"/>
          <w:szCs w:val="22"/>
        </w:rPr>
        <w:t xml:space="preserve">, dem </w:t>
      </w:r>
      <w:r w:rsidR="000C370A" w:rsidRPr="00EB1611">
        <w:rPr>
          <w:rFonts w:ascii="Source Sans Pro" w:hAnsi="Source Sans Pro" w:cs="Source Sans Pro"/>
          <w:sz w:val="22"/>
          <w:szCs w:val="22"/>
        </w:rPr>
        <w:t xml:space="preserve">Gewerbeimmobiliennetzwerk </w:t>
      </w:r>
      <w:r w:rsidR="009A5A0F">
        <w:rPr>
          <w:rFonts w:ascii="Source Sans Pro" w:hAnsi="Source Sans Pro" w:cs="Source Sans Pro"/>
          <w:sz w:val="22"/>
          <w:szCs w:val="22"/>
        </w:rPr>
        <w:t>von</w:t>
      </w:r>
      <w:r w:rsidR="000C370A" w:rsidRPr="00EB1611">
        <w:rPr>
          <w:rFonts w:ascii="Source Sans Pro" w:hAnsi="Source Sans Pro" w:cs="Source Sans Pro"/>
          <w:sz w:val="22"/>
          <w:szCs w:val="22"/>
        </w:rPr>
        <w:t xml:space="preserve"> </w:t>
      </w:r>
      <w:r w:rsidR="000C370A" w:rsidRPr="00EB1611">
        <w:rPr>
          <w:rFonts w:ascii="Source Sans Pro" w:hAnsi="Source Sans Pro" w:cs="Arial"/>
          <w:bCs/>
          <w:sz w:val="22"/>
          <w:szCs w:val="22"/>
        </w:rPr>
        <w:t xml:space="preserve">Grossmann &amp; Berger, </w:t>
      </w:r>
      <w:proofErr w:type="spellStart"/>
      <w:r w:rsidR="000C370A" w:rsidRPr="00EB1611">
        <w:rPr>
          <w:rFonts w:ascii="Source Sans Pro" w:hAnsi="Source Sans Pro" w:cs="Arial"/>
          <w:bCs/>
          <w:sz w:val="22"/>
          <w:szCs w:val="22"/>
        </w:rPr>
        <w:t>Anteon</w:t>
      </w:r>
      <w:proofErr w:type="spellEnd"/>
      <w:r w:rsidR="000C370A" w:rsidRPr="00EB1611">
        <w:rPr>
          <w:rFonts w:ascii="Source Sans Pro" w:hAnsi="Source Sans Pro" w:cs="Arial"/>
          <w:bCs/>
          <w:sz w:val="22"/>
          <w:szCs w:val="22"/>
        </w:rPr>
        <w:t xml:space="preserve"> Immobilien, GREIF &amp; CONTZEN Immobilien, </w:t>
      </w:r>
      <w:proofErr w:type="spellStart"/>
      <w:r w:rsidR="000C370A" w:rsidRPr="00EB1611">
        <w:rPr>
          <w:rFonts w:ascii="Source Sans Pro" w:hAnsi="Source Sans Pro" w:cs="Arial"/>
          <w:bCs/>
          <w:sz w:val="22"/>
          <w:szCs w:val="22"/>
        </w:rPr>
        <w:t>b</w:t>
      </w:r>
      <w:r w:rsidR="000C370A">
        <w:rPr>
          <w:rFonts w:ascii="Source Sans Pro" w:hAnsi="Source Sans Pro" w:cs="Arial"/>
          <w:bCs/>
          <w:sz w:val="22"/>
          <w:szCs w:val="22"/>
        </w:rPr>
        <w:t>lackolive</w:t>
      </w:r>
      <w:proofErr w:type="spellEnd"/>
      <w:r w:rsidR="000C370A">
        <w:rPr>
          <w:rFonts w:ascii="Source Sans Pro" w:hAnsi="Source Sans Pro" w:cs="Arial"/>
          <w:bCs/>
          <w:sz w:val="22"/>
          <w:szCs w:val="22"/>
        </w:rPr>
        <w:t xml:space="preserve"> und E &amp; G Real Estate.</w:t>
      </w:r>
    </w:p>
    <w:p w14:paraId="19D25B26" w14:textId="77777777" w:rsidR="00610BB3" w:rsidRDefault="00610BB3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</w:p>
    <w:p w14:paraId="757AFD0B" w14:textId="0DB3B6CC" w:rsidR="00F24B1D" w:rsidRDefault="00F24B1D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i/>
          <w:iCs/>
          <w:sz w:val="22"/>
          <w:szCs w:val="22"/>
        </w:rPr>
      </w:pPr>
      <w:r>
        <w:rPr>
          <w:rFonts w:ascii="Source Sans Pro" w:hAnsi="Source Sans Pro" w:cs="Arial"/>
          <w:bCs/>
          <w:sz w:val="22"/>
          <w:szCs w:val="22"/>
        </w:rPr>
        <w:t>„</w:t>
      </w:r>
      <w:r w:rsidR="00EF3D79">
        <w:rPr>
          <w:rFonts w:ascii="Source Sans Pro" w:hAnsi="Source Sans Pro" w:cs="Arial"/>
          <w:bCs/>
          <w:i/>
          <w:iCs/>
          <w:sz w:val="22"/>
          <w:szCs w:val="22"/>
        </w:rPr>
        <w:t>Die Investmentaktivitäten bewegten</w:t>
      </w:r>
      <w:r w:rsidR="008D047F">
        <w:rPr>
          <w:rFonts w:ascii="Source Sans Pro" w:hAnsi="Source Sans Pro" w:cs="Arial"/>
          <w:bCs/>
          <w:i/>
          <w:iCs/>
          <w:sz w:val="22"/>
          <w:szCs w:val="22"/>
        </w:rPr>
        <w:t xml:space="preserve"> sich</w:t>
      </w:r>
      <w:r w:rsidR="00D564BA">
        <w:rPr>
          <w:rFonts w:ascii="Source Sans Pro" w:hAnsi="Source Sans Pro" w:cs="Arial"/>
          <w:bCs/>
          <w:i/>
          <w:iCs/>
          <w:sz w:val="22"/>
          <w:szCs w:val="22"/>
        </w:rPr>
        <w:t xml:space="preserve"> im gesamten Jahresverlauf 2023 auf einem niedrigen Niveau</w:t>
      </w:r>
      <w:r w:rsidR="008D047F">
        <w:rPr>
          <w:rFonts w:ascii="Source Sans Pro" w:hAnsi="Source Sans Pro" w:cs="Arial"/>
          <w:bCs/>
          <w:i/>
          <w:iCs/>
          <w:sz w:val="22"/>
          <w:szCs w:val="22"/>
        </w:rPr>
        <w:t>. I</w:t>
      </w:r>
      <w:r w:rsidR="00D564BA">
        <w:rPr>
          <w:rFonts w:ascii="Source Sans Pro" w:hAnsi="Source Sans Pro" w:cs="Arial"/>
          <w:bCs/>
          <w:i/>
          <w:iCs/>
          <w:sz w:val="22"/>
          <w:szCs w:val="22"/>
        </w:rPr>
        <w:t>nsgesamt kamen nur wenige Abschlüsse zustande</w:t>
      </w:r>
      <w:r w:rsidR="008D047F">
        <w:rPr>
          <w:rFonts w:ascii="Source Sans Pro" w:hAnsi="Source Sans Pro" w:cs="Arial"/>
          <w:bCs/>
          <w:i/>
          <w:iCs/>
          <w:sz w:val="22"/>
          <w:szCs w:val="22"/>
        </w:rPr>
        <w:t>, eine Mark</w:t>
      </w:r>
      <w:r w:rsidR="00A85255">
        <w:rPr>
          <w:rFonts w:ascii="Source Sans Pro" w:hAnsi="Source Sans Pro" w:cs="Arial"/>
          <w:bCs/>
          <w:i/>
          <w:iCs/>
          <w:sz w:val="22"/>
          <w:szCs w:val="22"/>
        </w:rPr>
        <w:t>t</w:t>
      </w:r>
      <w:r w:rsidR="008D047F">
        <w:rPr>
          <w:rFonts w:ascii="Source Sans Pro" w:hAnsi="Source Sans Pro" w:cs="Arial"/>
          <w:bCs/>
          <w:i/>
          <w:iCs/>
          <w:sz w:val="22"/>
          <w:szCs w:val="22"/>
        </w:rPr>
        <w:t xml:space="preserve">belebung </w:t>
      </w:r>
      <w:r w:rsidR="00CF3456">
        <w:rPr>
          <w:rFonts w:ascii="Source Sans Pro" w:hAnsi="Source Sans Pro" w:cs="Arial"/>
          <w:bCs/>
          <w:i/>
          <w:iCs/>
          <w:sz w:val="22"/>
          <w:szCs w:val="22"/>
        </w:rPr>
        <w:t xml:space="preserve">in Form einer Jahresendrallye </w:t>
      </w:r>
      <w:r w:rsidR="008D047F">
        <w:rPr>
          <w:rFonts w:ascii="Source Sans Pro" w:hAnsi="Source Sans Pro" w:cs="Arial"/>
          <w:bCs/>
          <w:i/>
          <w:iCs/>
          <w:sz w:val="22"/>
          <w:szCs w:val="22"/>
        </w:rPr>
        <w:t>blieb aus“</w:t>
      </w:r>
      <w:r w:rsidR="006E0EFC">
        <w:rPr>
          <w:rFonts w:ascii="Source Sans Pro" w:hAnsi="Source Sans Pro" w:cs="Arial"/>
          <w:bCs/>
          <w:i/>
          <w:iCs/>
          <w:sz w:val="22"/>
          <w:szCs w:val="22"/>
        </w:rPr>
        <w:t xml:space="preserve">, </w:t>
      </w:r>
      <w:r w:rsidR="00D564BA">
        <w:rPr>
          <w:rFonts w:ascii="Source Sans Pro" w:hAnsi="Source Sans Pro" w:cs="Arial"/>
          <w:bCs/>
          <w:iCs/>
          <w:sz w:val="22"/>
          <w:szCs w:val="22"/>
        </w:rPr>
        <w:t>kommentiert</w:t>
      </w:r>
      <w:r w:rsidR="006E0EFC" w:rsidRPr="00F24B1D">
        <w:rPr>
          <w:rFonts w:ascii="Source Sans Pro" w:hAnsi="Source Sans Pro" w:cs="Arial"/>
          <w:bCs/>
          <w:iCs/>
          <w:sz w:val="22"/>
          <w:szCs w:val="22"/>
        </w:rPr>
        <w:t xml:space="preserve"> GPP</w:t>
      </w:r>
      <w:r w:rsidR="006E0EFC">
        <w:rPr>
          <w:rFonts w:ascii="Source Sans Pro" w:hAnsi="Source Sans Pro" w:cs="Arial"/>
          <w:bCs/>
          <w:sz w:val="22"/>
          <w:szCs w:val="22"/>
        </w:rPr>
        <w:t xml:space="preserve">-Sprecher </w:t>
      </w:r>
      <w:r w:rsidR="00161095">
        <w:rPr>
          <w:rFonts w:ascii="Source Sans Pro" w:hAnsi="Source Sans Pro" w:cs="Source Sans Pro"/>
          <w:b/>
          <w:sz w:val="22"/>
          <w:szCs w:val="22"/>
        </w:rPr>
        <w:t>Björn Holzwarth</w:t>
      </w:r>
      <w:r w:rsidRPr="006E0EFC">
        <w:rPr>
          <w:rFonts w:ascii="Source Sans Pro" w:hAnsi="Source Sans Pro" w:cs="Arial"/>
          <w:bCs/>
          <w:i/>
          <w:iCs/>
          <w:sz w:val="22"/>
          <w:szCs w:val="22"/>
        </w:rPr>
        <w:t xml:space="preserve">. </w:t>
      </w:r>
      <w:r w:rsidR="00D564BA">
        <w:rPr>
          <w:rFonts w:ascii="Source Sans Pro" w:hAnsi="Source Sans Pro" w:cs="Arial"/>
          <w:bCs/>
          <w:i/>
          <w:iCs/>
          <w:sz w:val="22"/>
          <w:szCs w:val="22"/>
        </w:rPr>
        <w:t xml:space="preserve">„Die weiterhin angespannte Wirtschaftslage </w:t>
      </w:r>
      <w:r w:rsidR="008D047F">
        <w:rPr>
          <w:rFonts w:ascii="Source Sans Pro" w:hAnsi="Source Sans Pro" w:cs="Arial"/>
          <w:bCs/>
          <w:i/>
          <w:iCs/>
          <w:sz w:val="22"/>
          <w:szCs w:val="22"/>
        </w:rPr>
        <w:t xml:space="preserve">und die Ungewissheit über künftige Entwicklungen </w:t>
      </w:r>
      <w:r w:rsidR="00D564BA">
        <w:rPr>
          <w:rFonts w:ascii="Source Sans Pro" w:hAnsi="Source Sans Pro" w:cs="Arial"/>
          <w:bCs/>
          <w:i/>
          <w:iCs/>
          <w:sz w:val="22"/>
          <w:szCs w:val="22"/>
        </w:rPr>
        <w:t>sorgte</w:t>
      </w:r>
      <w:r w:rsidR="008D047F">
        <w:rPr>
          <w:rFonts w:ascii="Source Sans Pro" w:hAnsi="Source Sans Pro" w:cs="Arial"/>
          <w:bCs/>
          <w:i/>
          <w:iCs/>
          <w:sz w:val="22"/>
          <w:szCs w:val="22"/>
        </w:rPr>
        <w:t>n</w:t>
      </w:r>
      <w:r w:rsidR="00D564BA">
        <w:rPr>
          <w:rFonts w:ascii="Source Sans Pro" w:hAnsi="Source Sans Pro" w:cs="Arial"/>
          <w:bCs/>
          <w:i/>
          <w:iCs/>
          <w:sz w:val="22"/>
          <w:szCs w:val="22"/>
        </w:rPr>
        <w:t xml:space="preserve"> dafür, dass sich die</w:t>
      </w:r>
      <w:r w:rsidR="008D047F">
        <w:rPr>
          <w:rFonts w:ascii="Source Sans Pro" w:hAnsi="Source Sans Pro" w:cs="Arial"/>
          <w:bCs/>
          <w:i/>
          <w:iCs/>
          <w:sz w:val="22"/>
          <w:szCs w:val="22"/>
        </w:rPr>
        <w:t xml:space="preserve"> </w:t>
      </w:r>
      <w:r w:rsidR="00EF3D79">
        <w:rPr>
          <w:rFonts w:ascii="Source Sans Pro" w:hAnsi="Source Sans Pro" w:cs="Arial"/>
          <w:bCs/>
          <w:i/>
          <w:iCs/>
          <w:sz w:val="22"/>
          <w:szCs w:val="22"/>
        </w:rPr>
        <w:t>von</w:t>
      </w:r>
      <w:r w:rsidR="00D564BA">
        <w:rPr>
          <w:rFonts w:ascii="Source Sans Pro" w:hAnsi="Source Sans Pro" w:cs="Arial"/>
          <w:bCs/>
          <w:i/>
          <w:iCs/>
          <w:sz w:val="22"/>
          <w:szCs w:val="22"/>
        </w:rPr>
        <w:t xml:space="preserve"> Zurückhaltung </w:t>
      </w:r>
      <w:r w:rsidR="008D047F">
        <w:rPr>
          <w:rFonts w:ascii="Source Sans Pro" w:hAnsi="Source Sans Pro" w:cs="Arial"/>
          <w:bCs/>
          <w:i/>
          <w:iCs/>
          <w:sz w:val="22"/>
          <w:szCs w:val="22"/>
        </w:rPr>
        <w:t>geprägte Marktstimmung</w:t>
      </w:r>
      <w:r w:rsidR="00D564BA">
        <w:rPr>
          <w:rFonts w:ascii="Source Sans Pro" w:hAnsi="Source Sans Pro" w:cs="Arial"/>
          <w:bCs/>
          <w:i/>
          <w:iCs/>
          <w:sz w:val="22"/>
          <w:szCs w:val="22"/>
        </w:rPr>
        <w:t xml:space="preserve"> im vierten Quartal fortsetzte.</w:t>
      </w:r>
      <w:r w:rsidR="008D047F">
        <w:rPr>
          <w:rFonts w:ascii="Source Sans Pro" w:hAnsi="Source Sans Pro" w:cs="Arial"/>
          <w:bCs/>
          <w:i/>
          <w:iCs/>
          <w:sz w:val="22"/>
          <w:szCs w:val="22"/>
        </w:rPr>
        <w:t>“</w:t>
      </w:r>
    </w:p>
    <w:p w14:paraId="7006318E" w14:textId="77777777" w:rsidR="00962D9D" w:rsidRDefault="00962D9D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</w:p>
    <w:p w14:paraId="11A88D0B" w14:textId="48A3D37B" w:rsidR="00056672" w:rsidRPr="008D047F" w:rsidRDefault="002E54DF" w:rsidP="002E54DF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t>HÖCHSTES TRANSAKTIONSVOLUMEN IN BERLIN</w:t>
      </w:r>
    </w:p>
    <w:p w14:paraId="69ABFB94" w14:textId="37BC1479" w:rsidR="002E54DF" w:rsidRPr="002E54DF" w:rsidRDefault="002E54DF" w:rsidP="002E54DF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auto"/>
          <w:sz w:val="22"/>
          <w:szCs w:val="22"/>
        </w:rPr>
      </w:pPr>
      <w:r w:rsidRPr="002E54DF">
        <w:rPr>
          <w:rFonts w:ascii="Source Sans Pro" w:hAnsi="Source Sans Pro" w:cs="Source Sans Pro"/>
          <w:color w:val="auto"/>
          <w:sz w:val="22"/>
          <w:szCs w:val="22"/>
        </w:rPr>
        <w:t>An allen Top-7-Standorten erfasste GPP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 im Vergleich zum Vorjahreszeitraum</w:t>
      </w:r>
      <w:r w:rsidRPr="002E54DF">
        <w:rPr>
          <w:rFonts w:ascii="Source Sans Pro" w:hAnsi="Source Sans Pro" w:cs="Source Sans Pro"/>
          <w:color w:val="auto"/>
          <w:sz w:val="22"/>
          <w:szCs w:val="22"/>
        </w:rPr>
        <w:t xml:space="preserve"> einen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 deutlichen</w:t>
      </w:r>
      <w:r w:rsidRPr="002E54DF">
        <w:rPr>
          <w:rFonts w:ascii="Source Sans Pro" w:hAnsi="Source Sans Pro" w:cs="Source Sans Pro"/>
          <w:color w:val="auto"/>
          <w:sz w:val="22"/>
          <w:szCs w:val="22"/>
        </w:rPr>
        <w:t xml:space="preserve"> Rückgang 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des TAV. Am stärksten nahm </w:t>
      </w:r>
      <w:r w:rsidR="00056672">
        <w:rPr>
          <w:rFonts w:ascii="Source Sans Pro" w:hAnsi="Source Sans Pro" w:cs="Source Sans Pro"/>
          <w:color w:val="auto"/>
          <w:sz w:val="22"/>
          <w:szCs w:val="22"/>
        </w:rPr>
        <w:t xml:space="preserve">das Volumen in Frankfurt (-84 % auf 658 Mio. €) und Düsseldorf (-78 % auf 610 Mio. €) ab. Ein ähnlich hohes Minus registrierte GPP in Hamburg (-73 % auf 1,2 Mrd. €). </w:t>
      </w:r>
      <w:r w:rsidR="00D73C88">
        <w:rPr>
          <w:rFonts w:ascii="Source Sans Pro" w:hAnsi="Source Sans Pro" w:cs="Source Sans Pro"/>
          <w:color w:val="auto"/>
          <w:sz w:val="22"/>
          <w:szCs w:val="22"/>
        </w:rPr>
        <w:t xml:space="preserve">In </w:t>
      </w:r>
      <w:r w:rsidR="00056672">
        <w:rPr>
          <w:rFonts w:ascii="Source Sans Pro" w:hAnsi="Source Sans Pro" w:cs="Source Sans Pro"/>
          <w:color w:val="auto"/>
          <w:sz w:val="22"/>
          <w:szCs w:val="22"/>
        </w:rPr>
        <w:t>Köln</w:t>
      </w:r>
      <w:r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D73C88">
        <w:rPr>
          <w:rFonts w:ascii="Source Sans Pro" w:hAnsi="Source Sans Pro" w:cs="Source Sans Pro"/>
          <w:color w:val="auto"/>
          <w:sz w:val="22"/>
          <w:szCs w:val="22"/>
        </w:rPr>
        <w:t xml:space="preserve">sank das TAV </w:t>
      </w:r>
      <w:r w:rsidR="002A4A5C">
        <w:rPr>
          <w:rFonts w:ascii="Source Sans Pro" w:hAnsi="Source Sans Pro" w:cs="Source Sans Pro"/>
          <w:color w:val="auto"/>
          <w:sz w:val="22"/>
          <w:szCs w:val="22"/>
        </w:rPr>
        <w:t xml:space="preserve">im Top-7-Vergleich am geringsten: um </w:t>
      </w:r>
      <w:r w:rsidR="002A4A5C">
        <w:rPr>
          <w:rFonts w:ascii="Source Sans Pro" w:hAnsi="Source Sans Pro" w:cs="Source Sans Pro"/>
          <w:color w:val="auto"/>
          <w:sz w:val="22"/>
          <w:szCs w:val="22"/>
        </w:rPr>
        <w:t xml:space="preserve">rund 33 % </w:t>
      </w:r>
      <w:r w:rsidR="00D73C88">
        <w:rPr>
          <w:rFonts w:ascii="Source Sans Pro" w:hAnsi="Source Sans Pro" w:cs="Source Sans Pro"/>
          <w:color w:val="auto"/>
          <w:sz w:val="22"/>
          <w:szCs w:val="22"/>
        </w:rPr>
        <w:t>auf 800 Mio. €</w:t>
      </w:r>
      <w:r>
        <w:rPr>
          <w:rFonts w:ascii="Source Sans Pro" w:hAnsi="Source Sans Pro" w:cs="Source Sans Pro"/>
          <w:color w:val="auto"/>
          <w:sz w:val="22"/>
          <w:szCs w:val="22"/>
        </w:rPr>
        <w:t>. Das höchste TAV von 2,7 Mrd. € erreichte Berlin.</w:t>
      </w:r>
    </w:p>
    <w:p w14:paraId="6E995D2F" w14:textId="77777777" w:rsidR="002E54DF" w:rsidRDefault="002E54DF" w:rsidP="002E54DF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731BC35A" w14:textId="456A3322" w:rsidR="002E54DF" w:rsidRDefault="002E54DF" w:rsidP="002E54DF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Büroimmobilien waren mit einem TAV-Anteil von etwa </w:t>
      </w:r>
      <w:r w:rsidR="002A4A5C">
        <w:rPr>
          <w:rFonts w:ascii="Source Sans Pro" w:hAnsi="Source Sans Pro" w:cs="Source Sans Pro"/>
          <w:sz w:val="22"/>
          <w:szCs w:val="22"/>
        </w:rPr>
        <w:t>5</w:t>
      </w:r>
      <w:r w:rsidR="002A4A5C">
        <w:rPr>
          <w:rFonts w:ascii="Source Sans Pro" w:hAnsi="Source Sans Pro" w:cs="Source Sans Pro"/>
          <w:sz w:val="22"/>
          <w:szCs w:val="22"/>
        </w:rPr>
        <w:t>2</w:t>
      </w:r>
      <w:r w:rsidR="002A4A5C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 xml:space="preserve">% die mit Abstand am stärksten gehandelte Assetklasse, verblieben allerdings deutlich hinter ihrem Vorjahresergebnis von 73 %. An zweiter und dritter Stelle folgten Einzelhandelsimmobilien mit 16 % und Mixed-Use-Objekte mit 10 %. </w:t>
      </w:r>
      <w:r>
        <w:rPr>
          <w:rFonts w:ascii="Source Sans Pro" w:hAnsi="Source Sans Pro" w:cs="Source Sans Pro"/>
          <w:sz w:val="22"/>
          <w:szCs w:val="22"/>
        </w:rPr>
        <w:lastRenderedPageBreak/>
        <w:t>Ausländische Investoren zeigten sich deutlich zurückhaltender als im Vorjahr: Ihr TAV-Anteil belief sich auf etwa 21 % (Q1-4 2022: 47 %). Portfolioverkäufe machten rund 21 % des TAV aus.</w:t>
      </w:r>
    </w:p>
    <w:p w14:paraId="4FDD6406" w14:textId="77777777" w:rsidR="00816613" w:rsidRPr="00034121" w:rsidRDefault="00816613" w:rsidP="004F09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</w:p>
    <w:p w14:paraId="7E871430" w14:textId="7363D38D" w:rsidR="00F159E2" w:rsidRDefault="00E5592C" w:rsidP="00AD7DB5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t>ANNÄHERUNG DER TOP-7-</w:t>
      </w:r>
      <w:r w:rsidR="00161095">
        <w:rPr>
          <w:rFonts w:ascii="Source Sans Pro" w:hAnsi="Source Sans Pro" w:cs="Source Sans Pro"/>
          <w:color w:val="0086A8"/>
          <w:sz w:val="22"/>
          <w:szCs w:val="22"/>
        </w:rPr>
        <w:t>SPITZENRENDITEN</w:t>
      </w:r>
    </w:p>
    <w:p w14:paraId="7B027596" w14:textId="5CB134F9" w:rsidR="002E54DF" w:rsidRDefault="007D18F0" w:rsidP="002E54DF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 w:rsidRPr="007D18F0">
        <w:rPr>
          <w:rFonts w:ascii="Source Sans Pro" w:hAnsi="Source Sans Pro" w:cs="Source Sans Pro"/>
          <w:sz w:val="22"/>
          <w:szCs w:val="22"/>
        </w:rPr>
        <w:t xml:space="preserve">Analysen von GPP zufolge stiegen die Netto-Spitzenrenditen weiterhin an allen Standorten an. Die Spanne zwischen den durchschnittlichen Top-7-Spitzenrenditen der </w:t>
      </w:r>
      <w:r w:rsidR="002A4A5C">
        <w:rPr>
          <w:rFonts w:ascii="Source Sans Pro" w:hAnsi="Source Sans Pro" w:cs="Source Sans Pro"/>
          <w:sz w:val="22"/>
          <w:szCs w:val="22"/>
        </w:rPr>
        <w:t>drei</w:t>
      </w:r>
      <w:r w:rsidRPr="007D18F0">
        <w:rPr>
          <w:rFonts w:ascii="Source Sans Pro" w:hAnsi="Source Sans Pro" w:cs="Source Sans Pro"/>
          <w:sz w:val="22"/>
          <w:szCs w:val="22"/>
        </w:rPr>
        <w:t xml:space="preserve"> Assetklassen verkleinerte sich: Sie näherten sich einem ähnlichen Niveau zwischen 4,23 % bei Geschäftshäusern und 4,43 % bei Logistikobjekten an. Für Büroimmobilien erfasste GPP einen Anstieg um 1,06 %-Punkte auf 4,34 %.</w:t>
      </w:r>
    </w:p>
    <w:p w14:paraId="28CDED79" w14:textId="77777777" w:rsidR="000B2DF4" w:rsidRPr="00AD7DB5" w:rsidRDefault="000B2DF4" w:rsidP="00F159E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35EAB08A" w14:textId="610A80D9" w:rsidR="00481D27" w:rsidRPr="00481D27" w:rsidRDefault="00AA3338" w:rsidP="007F12A3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t>PROGNOSE</w:t>
      </w:r>
      <w:r w:rsidR="00E5592C">
        <w:rPr>
          <w:rFonts w:ascii="Source Sans Pro" w:hAnsi="Source Sans Pro" w:cs="Source Sans Pro"/>
          <w:color w:val="0086A8"/>
          <w:sz w:val="22"/>
          <w:szCs w:val="22"/>
        </w:rPr>
        <w:t xml:space="preserve">: </w:t>
      </w:r>
      <w:r w:rsidR="00C336E5">
        <w:rPr>
          <w:rFonts w:ascii="Source Sans Pro" w:hAnsi="Source Sans Pro" w:cs="Source Sans Pro"/>
          <w:color w:val="0086A8"/>
          <w:sz w:val="22"/>
          <w:szCs w:val="22"/>
        </w:rPr>
        <w:t>LEICHTE MARKTBELEBUNG IM JAHRESVERLAUF</w:t>
      </w:r>
    </w:p>
    <w:p w14:paraId="3CA9F262" w14:textId="280A758D" w:rsidR="0030528A" w:rsidRPr="005D748C" w:rsidRDefault="008D047F" w:rsidP="006E0F8B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/>
          <w:iCs/>
          <w:sz w:val="22"/>
          <w:szCs w:val="22"/>
        </w:rPr>
      </w:pPr>
      <w:r w:rsidRPr="00EF3D79">
        <w:rPr>
          <w:rFonts w:ascii="Source Sans Pro" w:hAnsi="Source Sans Pro" w:cs="Source Sans Pro"/>
          <w:i/>
          <w:iCs/>
          <w:sz w:val="22"/>
          <w:szCs w:val="22"/>
        </w:rPr>
        <w:t>„Bei unveränderten Rahmenbedingungen dürfte die zurückhaltende Marktstimmung zunächst bestehen bleiben</w:t>
      </w:r>
      <w:r w:rsidR="00EF3D79">
        <w:rPr>
          <w:rFonts w:ascii="Source Sans Pro" w:hAnsi="Source Sans Pro" w:cs="Source Sans Pro"/>
          <w:i/>
          <w:iCs/>
          <w:sz w:val="22"/>
          <w:szCs w:val="22"/>
        </w:rPr>
        <w:t xml:space="preserve">“, </w:t>
      </w:r>
      <w:r w:rsidR="00C336E5">
        <w:rPr>
          <w:rFonts w:ascii="Source Sans Pro" w:hAnsi="Source Sans Pro" w:cs="Source Sans Pro"/>
          <w:sz w:val="22"/>
          <w:szCs w:val="22"/>
        </w:rPr>
        <w:t>so</w:t>
      </w:r>
      <w:r w:rsidR="00EF3D79" w:rsidRPr="00EF3D79">
        <w:rPr>
          <w:rFonts w:ascii="Source Sans Pro" w:hAnsi="Source Sans Pro" w:cs="Source Sans Pro"/>
          <w:sz w:val="22"/>
          <w:szCs w:val="22"/>
        </w:rPr>
        <w:t xml:space="preserve"> </w:t>
      </w:r>
      <w:r w:rsidR="00EF3D79" w:rsidRPr="00EF3D79">
        <w:rPr>
          <w:rFonts w:ascii="Source Sans Pro" w:hAnsi="Source Sans Pro" w:cs="Source Sans Pro"/>
          <w:b/>
          <w:bCs/>
          <w:sz w:val="22"/>
          <w:szCs w:val="22"/>
        </w:rPr>
        <w:t>Holzwarth</w:t>
      </w:r>
      <w:r w:rsidRPr="00EF3D79">
        <w:rPr>
          <w:rFonts w:ascii="Source Sans Pro" w:hAnsi="Source Sans Pro" w:cs="Source Sans Pro"/>
          <w:sz w:val="22"/>
          <w:szCs w:val="22"/>
        </w:rPr>
        <w:t>.</w:t>
      </w:r>
      <w:r w:rsidRPr="00EF3D79">
        <w:rPr>
          <w:rFonts w:ascii="Source Sans Pro" w:hAnsi="Source Sans Pro" w:cs="Source Sans Pro"/>
          <w:i/>
          <w:iCs/>
          <w:sz w:val="22"/>
          <w:szCs w:val="22"/>
        </w:rPr>
        <w:t xml:space="preserve"> </w:t>
      </w:r>
      <w:r w:rsidR="00EF3D79">
        <w:rPr>
          <w:rFonts w:ascii="Source Sans Pro" w:hAnsi="Source Sans Pro" w:cs="Source Sans Pro"/>
          <w:i/>
          <w:iCs/>
          <w:sz w:val="22"/>
          <w:szCs w:val="22"/>
        </w:rPr>
        <w:t>„</w:t>
      </w:r>
      <w:r w:rsidRPr="00EF3D79">
        <w:rPr>
          <w:rFonts w:ascii="Source Sans Pro" w:hAnsi="Source Sans Pro" w:cs="Source Sans Pro"/>
          <w:i/>
          <w:iCs/>
          <w:sz w:val="22"/>
          <w:szCs w:val="22"/>
        </w:rPr>
        <w:t xml:space="preserve">Vieles spricht jedoch dafür, dass das Tal der Zinsentwicklung im 1. Halbjahr 2024 erreicht werden könnte. </w:t>
      </w:r>
      <w:r w:rsidR="00EF3D79" w:rsidRPr="00EF3D79">
        <w:rPr>
          <w:rFonts w:ascii="Source Sans Pro" w:hAnsi="Source Sans Pro" w:cs="Source Sans Pro"/>
          <w:i/>
          <w:iCs/>
          <w:sz w:val="22"/>
          <w:szCs w:val="22"/>
        </w:rPr>
        <w:t>Dementsprechend bin ich o</w:t>
      </w:r>
      <w:r w:rsidR="00052FDB" w:rsidRPr="00EF3D79">
        <w:rPr>
          <w:rFonts w:ascii="Source Sans Pro" w:hAnsi="Source Sans Pro" w:cs="Source Sans Pro"/>
          <w:i/>
          <w:iCs/>
          <w:sz w:val="22"/>
          <w:szCs w:val="22"/>
        </w:rPr>
        <w:t>ptimistisch, dass im Jahresverlauf zumindest erste Schritte in Richtung einer Marktbelebung stattfinden werden</w:t>
      </w:r>
      <w:r w:rsidR="00EF3D79" w:rsidRPr="00EF3D79">
        <w:rPr>
          <w:rFonts w:ascii="Source Sans Pro" w:hAnsi="Source Sans Pro" w:cs="Source Sans Pro"/>
          <w:i/>
          <w:iCs/>
          <w:sz w:val="22"/>
          <w:szCs w:val="22"/>
        </w:rPr>
        <w:t>.</w:t>
      </w:r>
      <w:r w:rsidR="00EF3D79">
        <w:rPr>
          <w:rFonts w:ascii="Source Sans Pro" w:hAnsi="Source Sans Pro" w:cs="Source Sans Pro"/>
          <w:sz w:val="22"/>
          <w:szCs w:val="22"/>
        </w:rPr>
        <w:t xml:space="preserve"> </w:t>
      </w:r>
      <w:r w:rsidR="00D564BA">
        <w:rPr>
          <w:rFonts w:ascii="Source Sans Pro" w:hAnsi="Source Sans Pro" w:cs="Arial"/>
          <w:bCs/>
          <w:i/>
          <w:iCs/>
          <w:sz w:val="22"/>
          <w:szCs w:val="22"/>
        </w:rPr>
        <w:t>Sobald das Zinsumfeld wieder mehr Planung zulässt, dürfte das Transaktionsgeschehen wieder an Fahrt gewinnen</w:t>
      </w:r>
      <w:r w:rsidR="00EF3D79">
        <w:rPr>
          <w:rFonts w:ascii="Source Sans Pro" w:hAnsi="Source Sans Pro" w:cs="Arial"/>
          <w:bCs/>
          <w:i/>
          <w:iCs/>
          <w:sz w:val="22"/>
          <w:szCs w:val="22"/>
        </w:rPr>
        <w:t>.</w:t>
      </w:r>
      <w:r w:rsidR="00D564BA">
        <w:rPr>
          <w:rFonts w:ascii="Source Sans Pro" w:hAnsi="Source Sans Pro" w:cs="Arial"/>
          <w:bCs/>
          <w:i/>
          <w:iCs/>
          <w:sz w:val="22"/>
          <w:szCs w:val="22"/>
        </w:rPr>
        <w:t>“</w:t>
      </w:r>
      <w:r w:rsidR="005D748C">
        <w:rPr>
          <w:rFonts w:ascii="Source Sans Pro" w:hAnsi="Source Sans Pro" w:cs="Source Sans Pro"/>
          <w:i/>
          <w:iCs/>
          <w:sz w:val="22"/>
          <w:szCs w:val="22"/>
        </w:rPr>
        <w:br/>
      </w:r>
    </w:p>
    <w:p w14:paraId="5CED34B8" w14:textId="38E56A13" w:rsidR="00161817" w:rsidRPr="00161817" w:rsidRDefault="00367F4F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Arial"/>
          <w:b/>
          <w:sz w:val="20"/>
        </w:rPr>
        <w:t>Größte</w:t>
      </w:r>
      <w:r w:rsidR="00161817" w:rsidRPr="00161817">
        <w:rPr>
          <w:rFonts w:ascii="Source Sans Pro" w:hAnsi="Source Sans Pro" w:cs="Arial"/>
          <w:b/>
          <w:sz w:val="20"/>
        </w:rPr>
        <w:t xml:space="preserve"> bekannte Abschlüsse | Top-7-Standorte | 1.</w:t>
      </w:r>
      <w:r w:rsidR="005D46DE">
        <w:rPr>
          <w:rFonts w:ascii="Source Sans Pro" w:hAnsi="Source Sans Pro" w:cs="Arial"/>
          <w:b/>
          <w:sz w:val="20"/>
        </w:rPr>
        <w:t>-</w:t>
      </w:r>
      <w:r w:rsidR="00161095">
        <w:rPr>
          <w:rFonts w:ascii="Source Sans Pro" w:hAnsi="Source Sans Pro" w:cs="Arial"/>
          <w:b/>
          <w:sz w:val="20"/>
        </w:rPr>
        <w:t>4</w:t>
      </w:r>
      <w:r w:rsidR="005D46DE">
        <w:rPr>
          <w:rFonts w:ascii="Source Sans Pro" w:hAnsi="Source Sans Pro" w:cs="Arial"/>
          <w:b/>
          <w:sz w:val="20"/>
        </w:rPr>
        <w:t>.</w:t>
      </w:r>
      <w:r w:rsidR="00161817" w:rsidRPr="00161817">
        <w:rPr>
          <w:rFonts w:ascii="Source Sans Pro" w:hAnsi="Source Sans Pro" w:cs="Arial"/>
          <w:b/>
          <w:sz w:val="20"/>
        </w:rPr>
        <w:t xml:space="preserve"> Quartal 202</w:t>
      </w:r>
      <w:r w:rsidR="007F12A3">
        <w:rPr>
          <w:rFonts w:ascii="Source Sans Pro" w:hAnsi="Source Sans Pro" w:cs="Arial"/>
          <w:b/>
          <w:sz w:val="20"/>
        </w:rPr>
        <w:t>3</w:t>
      </w:r>
    </w:p>
    <w:tbl>
      <w:tblPr>
        <w:tblStyle w:val="TableGrid1"/>
        <w:tblW w:w="9231" w:type="dxa"/>
        <w:tblLayout w:type="fixed"/>
        <w:tblLook w:val="04A0" w:firstRow="1" w:lastRow="0" w:firstColumn="1" w:lastColumn="0" w:noHBand="0" w:noVBand="1"/>
      </w:tblPr>
      <w:tblGrid>
        <w:gridCol w:w="687"/>
        <w:gridCol w:w="2710"/>
        <w:gridCol w:w="2630"/>
        <w:gridCol w:w="2190"/>
        <w:gridCol w:w="1014"/>
      </w:tblGrid>
      <w:tr w:rsidR="00161817" w:rsidRPr="00161817" w14:paraId="113FCC50" w14:textId="77777777" w:rsidTr="00741FDB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130C696A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E34B091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6669932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Käufer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0FE9EE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Verkäufer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28E3657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KP*</w:t>
            </w:r>
          </w:p>
          <w:p w14:paraId="24C76A25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(ca. Mio. €)</w:t>
            </w:r>
          </w:p>
        </w:tc>
      </w:tr>
      <w:tr w:rsidR="00583AC8" w:rsidRPr="00161817" w14:paraId="61DBCEAF" w14:textId="77777777" w:rsidTr="00741FDB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06119DA2" w14:textId="6F626365" w:rsidR="00583AC8" w:rsidRPr="00741FDB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CD90978" w14:textId="22FD405F" w:rsidR="00583AC8" w:rsidRPr="00741FDB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„Apple Campus“ (Erweiterung), Seidlstraße 15-19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5D4D3495" w14:textId="1B09185E" w:rsidR="00583AC8" w:rsidRPr="00741FDB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Apple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5E718DC" w14:textId="5339EA01" w:rsidR="00583AC8" w:rsidRPr="00741FDB" w:rsidRDefault="00583AC8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Freistaat Bayern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DB19CDE" w14:textId="2327EFFE" w:rsidR="00583AC8" w:rsidRPr="00741FDB" w:rsidRDefault="00C368C2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25</w:t>
            </w:r>
            <w:r w:rsidR="00E73CF3">
              <w:rPr>
                <w:rFonts w:ascii="Source Sans Pro" w:hAnsi="Source Sans Pro" w:cs="Arial"/>
                <w:sz w:val="16"/>
                <w:szCs w:val="16"/>
              </w:rPr>
              <w:t>1</w:t>
            </w:r>
          </w:p>
        </w:tc>
      </w:tr>
      <w:tr w:rsidR="00741FDB" w:rsidRPr="00161817" w14:paraId="127EF44B" w14:textId="77777777" w:rsidTr="00741FDB">
        <w:trPr>
          <w:trHeight w:val="552"/>
        </w:trPr>
        <w:tc>
          <w:tcPr>
            <w:tcW w:w="687" w:type="dxa"/>
            <w:shd w:val="clear" w:color="auto" w:fill="D9D9D9" w:themeFill="background1" w:themeFillShade="D9"/>
            <w:vAlign w:val="center"/>
          </w:tcPr>
          <w:p w14:paraId="335B4C78" w14:textId="5B4A5222" w:rsidR="00741FDB" w:rsidRPr="00741FDB" w:rsidRDefault="00741FDB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HAM</w:t>
            </w:r>
          </w:p>
        </w:tc>
        <w:tc>
          <w:tcPr>
            <w:tcW w:w="2710" w:type="dxa"/>
            <w:shd w:val="clear" w:color="auto" w:fill="D9D9D9" w:themeFill="background1" w:themeFillShade="D9"/>
            <w:vAlign w:val="center"/>
          </w:tcPr>
          <w:p w14:paraId="509166DE" w14:textId="5A6AC827" w:rsidR="00741FDB" w:rsidRPr="00741FDB" w:rsidRDefault="00741FDB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Am Strandkai 1</w:t>
            </w: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7524333A" w14:textId="19869A22" w:rsidR="00741FDB" w:rsidRPr="00741FDB" w:rsidRDefault="00741FDB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Stadt Hamburg für HPA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08CE3D72" w14:textId="681426AD" w:rsidR="00741FDB" w:rsidRPr="00741FDB" w:rsidRDefault="00741FDB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 xml:space="preserve">DWS </w:t>
            </w:r>
            <w:proofErr w:type="spellStart"/>
            <w:r w:rsidRPr="00741FDB">
              <w:rPr>
                <w:rFonts w:ascii="Source Sans Pro" w:hAnsi="Source Sans Pro" w:cs="Arial"/>
                <w:sz w:val="16"/>
                <w:szCs w:val="16"/>
              </w:rPr>
              <w:t>grundbesitz</w:t>
            </w:r>
            <w:proofErr w:type="spellEnd"/>
            <w:r w:rsidRPr="00741FDB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ource Sans Pro" w:hAnsi="Source Sans Pro" w:cs="Arial"/>
                <w:sz w:val="16"/>
                <w:szCs w:val="16"/>
              </w:rPr>
              <w:t>e</w:t>
            </w:r>
            <w:r w:rsidRPr="00741FDB">
              <w:rPr>
                <w:rFonts w:ascii="Source Sans Pro" w:hAnsi="Source Sans Pro" w:cs="Arial"/>
                <w:sz w:val="16"/>
                <w:szCs w:val="16"/>
              </w:rPr>
              <w:t>uropa</w:t>
            </w:r>
            <w:proofErr w:type="spellEnd"/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6B17FE2D" w14:textId="670841EC" w:rsidR="00741FDB" w:rsidRPr="00741FDB" w:rsidRDefault="00741FDB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157</w:t>
            </w:r>
          </w:p>
        </w:tc>
      </w:tr>
      <w:tr w:rsidR="000B4A9D" w:rsidRPr="00161817" w14:paraId="5809275A" w14:textId="77777777" w:rsidTr="00741FDB">
        <w:trPr>
          <w:trHeight w:val="552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EC77" w14:textId="3EA7ED97" w:rsidR="000B4A9D" w:rsidRPr="00741FDB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DUS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C97A7" w14:textId="42264D32" w:rsidR="000B4A9D" w:rsidRPr="00741FDB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„Böhler-Areal“, Hansaallee 321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2B66A" w14:textId="526C5A12" w:rsidR="000B4A9D" w:rsidRPr="00741FDB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Jamestown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CC4B1" w14:textId="21C83564" w:rsidR="000B4A9D" w:rsidRPr="00741FDB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voestalpine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29F60" w14:textId="66E3D93E" w:rsidR="000B4A9D" w:rsidRPr="00741FDB" w:rsidRDefault="000B4A9D" w:rsidP="000B4A9D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1</w:t>
            </w:r>
            <w:r w:rsidR="00E73CF3">
              <w:rPr>
                <w:rFonts w:ascii="Source Sans Pro" w:hAnsi="Source Sans Pro" w:cs="Arial"/>
                <w:sz w:val="16"/>
                <w:szCs w:val="16"/>
              </w:rPr>
              <w:t>56</w:t>
            </w:r>
          </w:p>
        </w:tc>
      </w:tr>
      <w:tr w:rsidR="00741FDB" w:rsidRPr="00161817" w14:paraId="4962DD99" w14:textId="77777777" w:rsidTr="00741FDB">
        <w:trPr>
          <w:trHeight w:val="140"/>
        </w:trPr>
        <w:tc>
          <w:tcPr>
            <w:tcW w:w="687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5742589" w14:textId="77777777" w:rsidR="00741FDB" w:rsidRPr="00161095" w:rsidRDefault="00741FDB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3D0F1B5" w14:textId="77777777" w:rsidR="00741FDB" w:rsidRPr="00161095" w:rsidRDefault="00741FDB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1D566D4" w14:textId="77777777" w:rsidR="00741FDB" w:rsidRPr="00161095" w:rsidRDefault="00741FDB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2D67DB9" w14:textId="77777777" w:rsidR="00741FDB" w:rsidRPr="00161095" w:rsidRDefault="00741FDB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9A21095" w14:textId="77777777" w:rsidR="00741FDB" w:rsidRPr="00161095" w:rsidRDefault="00741FDB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</w:p>
        </w:tc>
      </w:tr>
      <w:tr w:rsidR="00741FDB" w:rsidRPr="00161817" w14:paraId="27406582" w14:textId="77777777" w:rsidTr="00741FDB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042FFB83" w14:textId="437C7D3F" w:rsidR="00741FDB" w:rsidRPr="00161095" w:rsidRDefault="00741FDB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FD0881D" w14:textId="6AA0940E" w:rsidR="00741FDB" w:rsidRPr="00161095" w:rsidRDefault="00741FDB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„MYND“ und „Galeria Kaufhof“, Alexanderplatz 9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3E028ADD" w14:textId="5D60400A" w:rsidR="00741FDB" w:rsidRPr="00161095" w:rsidRDefault="00741FDB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 xml:space="preserve">Commerz Real für </w:t>
            </w:r>
            <w:proofErr w:type="spellStart"/>
            <w:r w:rsidRPr="00741FDB">
              <w:rPr>
                <w:rFonts w:ascii="Source Sans Pro" w:hAnsi="Source Sans Pro" w:cs="Arial"/>
                <w:sz w:val="16"/>
                <w:szCs w:val="16"/>
              </w:rPr>
              <w:t>Hausinvest</w:t>
            </w:r>
            <w:proofErr w:type="spellEnd"/>
            <w:r w:rsidRPr="00741FDB">
              <w:rPr>
                <w:rFonts w:ascii="Source Sans Pro" w:hAnsi="Source Sans Pro" w:cs="Arial"/>
                <w:sz w:val="16"/>
                <w:szCs w:val="16"/>
              </w:rPr>
              <w:t xml:space="preserve"> Fonds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2962152" w14:textId="56C815B4" w:rsidR="00741FDB" w:rsidRPr="00161095" w:rsidRDefault="00AA4383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 xml:space="preserve">Signa Prime </w:t>
            </w:r>
            <w:proofErr w:type="spellStart"/>
            <w:r>
              <w:rPr>
                <w:rFonts w:ascii="Source Sans Pro" w:hAnsi="Source Sans Pro" w:cs="Arial"/>
                <w:sz w:val="16"/>
                <w:szCs w:val="16"/>
              </w:rPr>
              <w:t>Selection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14:paraId="548902E1" w14:textId="1465E4FE" w:rsidR="00741FDB" w:rsidRPr="00161095" w:rsidRDefault="00741FDB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741FDB" w:rsidRPr="00161817" w14:paraId="370E49D6" w14:textId="77777777" w:rsidTr="00741FDB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5CBC1DDB" w14:textId="62FC8316" w:rsidR="00741FDB" w:rsidRPr="00161095" w:rsidRDefault="00741FDB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7D24BED" w14:textId="3B5EDC90" w:rsidR="00741FDB" w:rsidRPr="00161095" w:rsidRDefault="00741FDB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proofErr w:type="spellStart"/>
            <w:r w:rsidRPr="00741FDB">
              <w:rPr>
                <w:rFonts w:ascii="Source Sans Pro" w:hAnsi="Source Sans Pro" w:cs="Arial"/>
                <w:sz w:val="16"/>
                <w:szCs w:val="16"/>
              </w:rPr>
              <w:t>Tauentzienstraße</w:t>
            </w:r>
            <w:proofErr w:type="spellEnd"/>
            <w:r w:rsidRPr="00741FDB">
              <w:rPr>
                <w:rFonts w:ascii="Source Sans Pro" w:hAnsi="Source Sans Pro" w:cs="Arial"/>
                <w:sz w:val="16"/>
                <w:szCs w:val="16"/>
              </w:rPr>
              <w:t xml:space="preserve"> 21-24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19B7961F" w14:textId="5D031983" w:rsidR="00741FDB" w:rsidRPr="00161095" w:rsidRDefault="00741FDB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proofErr w:type="spellStart"/>
            <w:r w:rsidRPr="00741FDB">
              <w:rPr>
                <w:rFonts w:ascii="Source Sans Pro" w:hAnsi="Source Sans Pro" w:cs="Arial"/>
                <w:sz w:val="16"/>
                <w:szCs w:val="16"/>
              </w:rPr>
              <w:t>Harng</w:t>
            </w:r>
            <w:proofErr w:type="spellEnd"/>
            <w:r w:rsidRPr="00741FDB">
              <w:rPr>
                <w:rFonts w:ascii="Source Sans Pro" w:hAnsi="Source Sans Pro" w:cs="Arial"/>
                <w:sz w:val="16"/>
                <w:szCs w:val="16"/>
              </w:rPr>
              <w:t xml:space="preserve"> Central Department Store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306E0A1" w14:textId="64D033C2" w:rsidR="00741FDB" w:rsidRPr="00161095" w:rsidRDefault="00AA4383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 xml:space="preserve">Signa Prime </w:t>
            </w:r>
            <w:proofErr w:type="spellStart"/>
            <w:r>
              <w:rPr>
                <w:rFonts w:ascii="Source Sans Pro" w:hAnsi="Source Sans Pro" w:cs="Arial"/>
                <w:sz w:val="16"/>
                <w:szCs w:val="16"/>
              </w:rPr>
              <w:t>Selection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14:paraId="29E45143" w14:textId="4CD6C36D" w:rsidR="00741FDB" w:rsidRPr="00161095" w:rsidRDefault="00741FDB" w:rsidP="00741FDB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highlight w:val="yellow"/>
              </w:rPr>
            </w:pPr>
            <w:r w:rsidRPr="00741FDB"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</w:tbl>
    <w:p w14:paraId="26AE2616" w14:textId="08244AAE" w:rsidR="00604E20" w:rsidRPr="009E00E8" w:rsidRDefault="009E00E8" w:rsidP="009E00E8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>
        <w:rPr>
          <w:rFonts w:ascii="Source Sans Pro" w:hAnsi="Source Sans Pro" w:cs="Arial"/>
          <w:sz w:val="16"/>
          <w:szCs w:val="16"/>
        </w:rPr>
        <w:t>*</w:t>
      </w:r>
      <w:r w:rsidRPr="009E00E8">
        <w:rPr>
          <w:rFonts w:ascii="Source Sans Pro" w:hAnsi="Source Sans Pro" w:cs="Arial"/>
          <w:sz w:val="16"/>
          <w:szCs w:val="16"/>
        </w:rPr>
        <w:t>Die aufgeführten Kaufpreise basieren auf öffentlich verfügbaren Angaben; wo solche fehlen, sind die Kaufpreise geschätzt</w:t>
      </w:r>
      <w:r>
        <w:rPr>
          <w:rFonts w:ascii="Source Sans Pro" w:hAnsi="Source Sans Pro" w:cs="Arial"/>
          <w:sz w:val="16"/>
          <w:szCs w:val="16"/>
        </w:rPr>
        <w:t xml:space="preserve">. </w:t>
      </w:r>
      <w:r w:rsidR="00942902" w:rsidRPr="009E00E8">
        <w:rPr>
          <w:rFonts w:ascii="Source Sans Pro" w:hAnsi="Source Sans Pro" w:cs="Arial"/>
          <w:sz w:val="16"/>
          <w:szCs w:val="16"/>
        </w:rPr>
        <w:t xml:space="preserve">Deals aus diesem Berichtsquartal sind grau hinterlegt. </w:t>
      </w:r>
      <w:r w:rsidR="00161817" w:rsidRPr="009E00E8">
        <w:rPr>
          <w:rFonts w:ascii="Source Sans Pro" w:hAnsi="Source Sans Pro" w:cs="Arial"/>
          <w:sz w:val="16"/>
          <w:szCs w:val="16"/>
          <w:lang w:val="en-US"/>
        </w:rPr>
        <w:t>Quelle:</w:t>
      </w:r>
      <w:r w:rsidR="00161817" w:rsidRPr="009E00E8">
        <w:rPr>
          <w:rFonts w:ascii="Source Sans Pro" w:hAnsi="Source Sans Pro" w:cs="Arial"/>
          <w:sz w:val="16"/>
          <w:szCs w:val="16"/>
          <w:lang w:val="en-GB"/>
        </w:rPr>
        <w:t xml:space="preserve"> German Property Partners (GPP)</w:t>
      </w:r>
    </w:p>
    <w:p w14:paraId="42791304" w14:textId="22004FEC" w:rsidR="00161817" w:rsidRPr="00EF0944" w:rsidRDefault="00073A63" w:rsidP="00EF094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>
        <w:rPr>
          <w:rFonts w:ascii="Source Sans Pro" w:hAnsi="Source Sans Pro" w:cs="Arial"/>
          <w:b/>
          <w:sz w:val="20"/>
          <w:lang w:val="en-GB"/>
        </w:rPr>
        <w:br/>
      </w:r>
      <w:r w:rsidR="00B46BC1">
        <w:rPr>
          <w:rFonts w:ascii="Source Sans Pro" w:hAnsi="Source Sans Pro" w:cs="Arial"/>
          <w:b/>
          <w:sz w:val="20"/>
          <w:lang w:val="en-GB"/>
        </w:rPr>
        <w:t>Top-7-Standorte | 1.</w:t>
      </w:r>
      <w:r w:rsidR="005D46DE">
        <w:rPr>
          <w:rFonts w:ascii="Source Sans Pro" w:hAnsi="Source Sans Pro" w:cs="Arial"/>
          <w:b/>
          <w:sz w:val="20"/>
          <w:lang w:val="en-GB"/>
        </w:rPr>
        <w:t>-</w:t>
      </w:r>
      <w:r w:rsidR="00161095">
        <w:rPr>
          <w:rFonts w:ascii="Source Sans Pro" w:hAnsi="Source Sans Pro" w:cs="Arial"/>
          <w:b/>
          <w:sz w:val="20"/>
          <w:lang w:val="en-GB"/>
        </w:rPr>
        <w:t>4</w:t>
      </w:r>
      <w:r w:rsidR="005D46DE">
        <w:rPr>
          <w:rFonts w:ascii="Source Sans Pro" w:hAnsi="Source Sans Pro" w:cs="Arial"/>
          <w:b/>
          <w:sz w:val="20"/>
          <w:lang w:val="en-GB"/>
        </w:rPr>
        <w:t>.</w:t>
      </w:r>
      <w:r w:rsidR="00161817" w:rsidRPr="00161817">
        <w:rPr>
          <w:rFonts w:ascii="Source Sans Pro" w:hAnsi="Source Sans Pro" w:cs="Arial"/>
          <w:b/>
          <w:sz w:val="20"/>
          <w:lang w:val="en-GB"/>
        </w:rPr>
        <w:t xml:space="preserve"> </w:t>
      </w:r>
      <w:r w:rsidR="00161817" w:rsidRPr="00161817">
        <w:rPr>
          <w:rFonts w:ascii="Source Sans Pro" w:hAnsi="Source Sans Pro" w:cs="Arial"/>
          <w:b/>
          <w:sz w:val="20"/>
        </w:rPr>
        <w:t>Quartal 202</w:t>
      </w:r>
      <w:r w:rsidR="007F12A3">
        <w:rPr>
          <w:rFonts w:ascii="Source Sans Pro" w:hAnsi="Source Sans Pro" w:cs="Arial"/>
          <w:b/>
          <w:sz w:val="20"/>
        </w:rPr>
        <w:t>3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39"/>
        <w:gridCol w:w="817"/>
        <w:gridCol w:w="816"/>
        <w:gridCol w:w="933"/>
        <w:gridCol w:w="937"/>
        <w:gridCol w:w="937"/>
        <w:gridCol w:w="1151"/>
        <w:gridCol w:w="936"/>
        <w:gridCol w:w="800"/>
      </w:tblGrid>
      <w:tr w:rsidR="007C4CC4" w:rsidRPr="00161817" w14:paraId="22958352" w14:textId="77777777" w:rsidTr="009E6C40">
        <w:tc>
          <w:tcPr>
            <w:tcW w:w="1939" w:type="dxa"/>
          </w:tcPr>
          <w:p w14:paraId="39DB6921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817" w:type="dxa"/>
          </w:tcPr>
          <w:p w14:paraId="315CE750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HAM</w:t>
            </w:r>
          </w:p>
        </w:tc>
        <w:tc>
          <w:tcPr>
            <w:tcW w:w="816" w:type="dxa"/>
          </w:tcPr>
          <w:p w14:paraId="5422B71C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BER</w:t>
            </w:r>
          </w:p>
        </w:tc>
        <w:tc>
          <w:tcPr>
            <w:tcW w:w="933" w:type="dxa"/>
          </w:tcPr>
          <w:p w14:paraId="52D79F36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DUS</w:t>
            </w:r>
          </w:p>
        </w:tc>
        <w:tc>
          <w:tcPr>
            <w:tcW w:w="937" w:type="dxa"/>
          </w:tcPr>
          <w:p w14:paraId="3503C5FE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CGN</w:t>
            </w:r>
          </w:p>
        </w:tc>
        <w:tc>
          <w:tcPr>
            <w:tcW w:w="937" w:type="dxa"/>
          </w:tcPr>
          <w:p w14:paraId="6CCF5FE9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FFM</w:t>
            </w:r>
          </w:p>
        </w:tc>
        <w:tc>
          <w:tcPr>
            <w:tcW w:w="932" w:type="dxa"/>
          </w:tcPr>
          <w:p w14:paraId="6A9F6826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STU</w:t>
            </w:r>
          </w:p>
        </w:tc>
        <w:tc>
          <w:tcPr>
            <w:tcW w:w="936" w:type="dxa"/>
          </w:tcPr>
          <w:p w14:paraId="006B7969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MUC</w:t>
            </w:r>
          </w:p>
        </w:tc>
        <w:tc>
          <w:tcPr>
            <w:tcW w:w="800" w:type="dxa"/>
          </w:tcPr>
          <w:p w14:paraId="361D716F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TOP-7</w:t>
            </w:r>
          </w:p>
        </w:tc>
      </w:tr>
      <w:tr w:rsidR="007C4CC4" w:rsidRPr="00161817" w14:paraId="5211E41C" w14:textId="77777777" w:rsidTr="009E6C40">
        <w:tc>
          <w:tcPr>
            <w:tcW w:w="1939" w:type="dxa"/>
          </w:tcPr>
          <w:p w14:paraId="5CDBB77B" w14:textId="77777777" w:rsidR="00161817" w:rsidRPr="00175F56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TAV</w:t>
            </w:r>
          </w:p>
          <w:p w14:paraId="741AC997" w14:textId="77777777" w:rsidR="00161817" w:rsidRPr="00175F56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in Mio. €</w:t>
            </w:r>
          </w:p>
        </w:tc>
        <w:tc>
          <w:tcPr>
            <w:tcW w:w="817" w:type="dxa"/>
            <w:vAlign w:val="center"/>
          </w:tcPr>
          <w:p w14:paraId="42B492E0" w14:textId="22726ACA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1.200</w:t>
            </w:r>
          </w:p>
        </w:tc>
        <w:tc>
          <w:tcPr>
            <w:tcW w:w="816" w:type="dxa"/>
            <w:vAlign w:val="center"/>
          </w:tcPr>
          <w:p w14:paraId="2473804E" w14:textId="1CE6D81E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>2.700</w:t>
            </w:r>
          </w:p>
        </w:tc>
        <w:tc>
          <w:tcPr>
            <w:tcW w:w="933" w:type="dxa"/>
            <w:vAlign w:val="center"/>
          </w:tcPr>
          <w:p w14:paraId="7E0DFD82" w14:textId="7F562225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610</w:t>
            </w:r>
          </w:p>
        </w:tc>
        <w:tc>
          <w:tcPr>
            <w:tcW w:w="937" w:type="dxa"/>
            <w:vAlign w:val="center"/>
          </w:tcPr>
          <w:p w14:paraId="79C367DF" w14:textId="7C581CE9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800</w:t>
            </w:r>
          </w:p>
        </w:tc>
        <w:tc>
          <w:tcPr>
            <w:tcW w:w="937" w:type="dxa"/>
            <w:vAlign w:val="center"/>
          </w:tcPr>
          <w:p w14:paraId="5874DBC2" w14:textId="680D24C9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658</w:t>
            </w:r>
          </w:p>
        </w:tc>
        <w:tc>
          <w:tcPr>
            <w:tcW w:w="932" w:type="dxa"/>
            <w:vAlign w:val="center"/>
          </w:tcPr>
          <w:p w14:paraId="161F8429" w14:textId="07E5E9BF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450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21DD4D6" w14:textId="07BED91A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1.356</w:t>
            </w:r>
          </w:p>
        </w:tc>
        <w:tc>
          <w:tcPr>
            <w:tcW w:w="800" w:type="dxa"/>
            <w:vAlign w:val="center"/>
          </w:tcPr>
          <w:p w14:paraId="5D7AFB91" w14:textId="2A2B16F7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7.774</w:t>
            </w:r>
          </w:p>
        </w:tc>
      </w:tr>
      <w:tr w:rsidR="007C4CC4" w:rsidRPr="00161817" w14:paraId="6B0F06BC" w14:textId="77777777" w:rsidTr="009E6C40">
        <w:tc>
          <w:tcPr>
            <w:tcW w:w="1939" w:type="dxa"/>
          </w:tcPr>
          <w:p w14:paraId="1368D85F" w14:textId="77777777" w:rsidR="00161817" w:rsidRPr="00175F56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384171F4" w14:textId="77777777" w:rsidR="00161817" w:rsidRPr="00175F56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75F56">
              <w:rPr>
                <w:rFonts w:ascii="Source Sans Pro" w:hAnsi="Source Sans Pro" w:cs="Arial"/>
                <w:sz w:val="16"/>
                <w:szCs w:val="16"/>
              </w:rPr>
              <w:t>ggü</w:t>
            </w:r>
            <w:proofErr w:type="spellEnd"/>
            <w:r w:rsidRPr="00175F56">
              <w:rPr>
                <w:rFonts w:ascii="Source Sans Pro" w:hAnsi="Source Sans Pro" w:cs="Arial"/>
                <w:sz w:val="16"/>
                <w:szCs w:val="16"/>
              </w:rPr>
              <w:t>. Vorjahr</w:t>
            </w: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175F56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41BD7562" w14:textId="70624263" w:rsidR="00161817" w:rsidRPr="00175F56" w:rsidRDefault="0008376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73</w:t>
            </w:r>
            <w:r w:rsidRPr="00175F56">
              <w:rPr>
                <w:rFonts w:ascii="Source Sans Pro" w:hAnsi="Source Sans Pro" w:cs="Arial"/>
                <w:sz w:val="16"/>
                <w:szCs w:val="16"/>
              </w:rPr>
              <w:t xml:space="preserve"> %</w:t>
            </w:r>
          </w:p>
        </w:tc>
        <w:tc>
          <w:tcPr>
            <w:tcW w:w="816" w:type="dxa"/>
            <w:vAlign w:val="center"/>
          </w:tcPr>
          <w:p w14:paraId="1C4CFEFB" w14:textId="44B4ADE6" w:rsidR="00161817" w:rsidRPr="00175F56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65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175F56">
              <w:rPr>
                <w:rFonts w:ascii="Source Sans Pro" w:hAnsi="Source Sans Pro" w:cs="Arial"/>
                <w:sz w:val="16"/>
                <w:szCs w:val="16"/>
              </w:rPr>
              <w:t>%</w:t>
            </w:r>
          </w:p>
        </w:tc>
        <w:tc>
          <w:tcPr>
            <w:tcW w:w="933" w:type="dxa"/>
            <w:vAlign w:val="center"/>
          </w:tcPr>
          <w:p w14:paraId="50DE9682" w14:textId="47A46C7B" w:rsidR="00161817" w:rsidRPr="00175F56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</w:rPr>
              <w:t xml:space="preserve">78 </w:t>
            </w:r>
            <w:r w:rsidRPr="00175F56">
              <w:rPr>
                <w:rFonts w:ascii="Source Sans Pro" w:hAnsi="Source Sans Pro" w:cs="Arial"/>
                <w:sz w:val="16"/>
                <w:szCs w:val="16"/>
              </w:rPr>
              <w:t>%</w:t>
            </w:r>
          </w:p>
        </w:tc>
        <w:tc>
          <w:tcPr>
            <w:tcW w:w="937" w:type="dxa"/>
            <w:vAlign w:val="center"/>
          </w:tcPr>
          <w:p w14:paraId="0640E354" w14:textId="314DFC2B" w:rsidR="00161817" w:rsidRPr="00175F56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33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175F56">
              <w:rPr>
                <w:rFonts w:ascii="Source Sans Pro" w:hAnsi="Source Sans Pro" w:cs="Arial"/>
                <w:sz w:val="16"/>
                <w:szCs w:val="16"/>
              </w:rPr>
              <w:t>%</w:t>
            </w:r>
          </w:p>
        </w:tc>
        <w:tc>
          <w:tcPr>
            <w:tcW w:w="937" w:type="dxa"/>
            <w:vAlign w:val="center"/>
          </w:tcPr>
          <w:p w14:paraId="025DC8CA" w14:textId="56193279" w:rsidR="00161817" w:rsidRPr="00175F56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>-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>84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 xml:space="preserve"> </w:t>
            </w:r>
            <w:r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>%</w:t>
            </w:r>
          </w:p>
        </w:tc>
        <w:tc>
          <w:tcPr>
            <w:tcW w:w="932" w:type="dxa"/>
            <w:vAlign w:val="center"/>
          </w:tcPr>
          <w:p w14:paraId="62EC947E" w14:textId="0F472175" w:rsidR="00161817" w:rsidRPr="00175F56" w:rsidRDefault="004F09D7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175F56">
              <w:rPr>
                <w:rFonts w:ascii="Source Sans Pro" w:hAnsi="Source Sans Pro" w:cs="Arial"/>
                <w:sz w:val="16"/>
                <w:szCs w:val="16"/>
              </w:rPr>
              <w:t>%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9099EF0" w14:textId="161CA4B7" w:rsidR="00161817" w:rsidRPr="00175F56" w:rsidRDefault="00C97D5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</w:rPr>
              <w:t>6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6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4F09D7" w:rsidRPr="00175F56">
              <w:rPr>
                <w:rFonts w:ascii="Source Sans Pro" w:hAnsi="Source Sans Pro" w:cs="Arial"/>
                <w:sz w:val="16"/>
                <w:szCs w:val="16"/>
              </w:rPr>
              <w:t>%</w:t>
            </w:r>
          </w:p>
        </w:tc>
        <w:tc>
          <w:tcPr>
            <w:tcW w:w="800" w:type="dxa"/>
            <w:vAlign w:val="center"/>
          </w:tcPr>
          <w:p w14:paraId="71231CA6" w14:textId="17F8EA09" w:rsidR="00161817" w:rsidRPr="00175F56" w:rsidRDefault="00C97D51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  <w:r w:rsidR="00175F56" w:rsidRPr="00175F56">
              <w:rPr>
                <w:rFonts w:ascii="Source Sans Pro" w:hAnsi="Source Sans Pro" w:cs="Arial"/>
                <w:b/>
                <w:sz w:val="16"/>
                <w:szCs w:val="16"/>
              </w:rPr>
              <w:t>69</w:t>
            </w:r>
            <w:r w:rsidR="0008376F" w:rsidRPr="00175F56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="004F09D7" w:rsidRPr="00175F56">
              <w:rPr>
                <w:rFonts w:ascii="Source Sans Pro" w:hAnsi="Source Sans Pro" w:cs="Arial"/>
                <w:b/>
                <w:sz w:val="16"/>
                <w:szCs w:val="16"/>
              </w:rPr>
              <w:t>%</w:t>
            </w:r>
          </w:p>
        </w:tc>
      </w:tr>
      <w:tr w:rsidR="007C4CC4" w:rsidRPr="00161817" w14:paraId="7F708548" w14:textId="77777777" w:rsidTr="009E6C40">
        <w:tc>
          <w:tcPr>
            <w:tcW w:w="1939" w:type="dxa"/>
          </w:tcPr>
          <w:p w14:paraId="3A825302" w14:textId="77777777" w:rsidR="00161817" w:rsidRPr="00175F56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Spitzenrendite* Büro</w:t>
            </w:r>
          </w:p>
          <w:p w14:paraId="34B73F2E" w14:textId="77777777" w:rsidR="00161817" w:rsidRPr="00175F56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74FF9E2D" w14:textId="2DB20CBF" w:rsidR="00161817" w:rsidRPr="00175F56" w:rsidRDefault="0008376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4,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30</w:t>
            </w:r>
          </w:p>
        </w:tc>
        <w:tc>
          <w:tcPr>
            <w:tcW w:w="816" w:type="dxa"/>
            <w:vAlign w:val="center"/>
          </w:tcPr>
          <w:p w14:paraId="0D6415B8" w14:textId="10AB3D6F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4,20</w:t>
            </w:r>
          </w:p>
        </w:tc>
        <w:tc>
          <w:tcPr>
            <w:tcW w:w="933" w:type="dxa"/>
            <w:vAlign w:val="center"/>
          </w:tcPr>
          <w:p w14:paraId="53A1E093" w14:textId="6B6A00A7" w:rsidR="00161817" w:rsidRPr="00175F56" w:rsidRDefault="0008376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4,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25</w:t>
            </w:r>
          </w:p>
        </w:tc>
        <w:tc>
          <w:tcPr>
            <w:tcW w:w="937" w:type="dxa"/>
            <w:vAlign w:val="center"/>
          </w:tcPr>
          <w:p w14:paraId="0431521B" w14:textId="32424B9C" w:rsidR="00161817" w:rsidRPr="00175F56" w:rsidRDefault="0008376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4,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4</w:t>
            </w:r>
            <w:r w:rsidRPr="00175F56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37" w:type="dxa"/>
            <w:vAlign w:val="center"/>
          </w:tcPr>
          <w:p w14:paraId="73277C18" w14:textId="312F6C58" w:rsidR="00161817" w:rsidRPr="00175F56" w:rsidRDefault="0008376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>4,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>6</w:t>
            </w:r>
            <w:r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>0</w:t>
            </w:r>
          </w:p>
        </w:tc>
        <w:tc>
          <w:tcPr>
            <w:tcW w:w="932" w:type="dxa"/>
            <w:vAlign w:val="center"/>
          </w:tcPr>
          <w:p w14:paraId="4CD09DF4" w14:textId="05B28A97" w:rsidR="00161817" w:rsidRPr="00175F56" w:rsidRDefault="0008376F" w:rsidP="00F67B89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4,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4</w:t>
            </w:r>
            <w:r w:rsidRPr="00175F56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486F95" w14:textId="141F3EBF" w:rsidR="00161817" w:rsidRPr="00175F56" w:rsidRDefault="0008376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4,20</w:t>
            </w:r>
          </w:p>
        </w:tc>
        <w:tc>
          <w:tcPr>
            <w:tcW w:w="800" w:type="dxa"/>
            <w:vAlign w:val="center"/>
          </w:tcPr>
          <w:p w14:paraId="47ED8E15" w14:textId="7CEDEAF1" w:rsidR="00161817" w:rsidRPr="00175F56" w:rsidRDefault="0008376F" w:rsidP="00F67B89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4,</w:t>
            </w:r>
            <w:r w:rsidR="00175F56" w:rsidRPr="00175F56">
              <w:rPr>
                <w:rFonts w:ascii="Source Sans Pro" w:hAnsi="Source Sans Pro" w:cs="Arial"/>
                <w:b/>
                <w:sz w:val="16"/>
                <w:szCs w:val="16"/>
              </w:rPr>
              <w:t>34</w:t>
            </w:r>
          </w:p>
        </w:tc>
      </w:tr>
      <w:tr w:rsidR="007C4CC4" w:rsidRPr="00161817" w14:paraId="24583354" w14:textId="77777777" w:rsidTr="009E6C40">
        <w:tc>
          <w:tcPr>
            <w:tcW w:w="1939" w:type="dxa"/>
          </w:tcPr>
          <w:p w14:paraId="73B30E15" w14:textId="77777777" w:rsidR="006E0F8B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ggü</w:t>
            </w:r>
            <w:proofErr w:type="spellEnd"/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. Vorjahr</w:t>
            </w:r>
          </w:p>
          <w:p w14:paraId="1AB60A34" w14:textId="32C2BC00" w:rsidR="00161817" w:rsidRPr="00175F56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817" w:type="dxa"/>
            <w:vAlign w:val="center"/>
          </w:tcPr>
          <w:p w14:paraId="54B227DC" w14:textId="186B0609" w:rsidR="00161817" w:rsidRPr="00175F56" w:rsidRDefault="00557C2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1,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2</w:t>
            </w:r>
            <w:r w:rsidRPr="00175F56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vAlign w:val="center"/>
          </w:tcPr>
          <w:p w14:paraId="51AFFAE3" w14:textId="31308427" w:rsidR="00161817" w:rsidRPr="00175F56" w:rsidRDefault="0008376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1,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2</w:t>
            </w:r>
            <w:r w:rsidRPr="00175F56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933" w:type="dxa"/>
            <w:vAlign w:val="center"/>
          </w:tcPr>
          <w:p w14:paraId="6738B9BE" w14:textId="34F32ED3" w:rsidR="00161817" w:rsidRPr="00175F56" w:rsidRDefault="0008376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0,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85</w:t>
            </w:r>
          </w:p>
        </w:tc>
        <w:tc>
          <w:tcPr>
            <w:tcW w:w="937" w:type="dxa"/>
            <w:vAlign w:val="center"/>
          </w:tcPr>
          <w:p w14:paraId="063AA1B7" w14:textId="19915A00" w:rsidR="00161817" w:rsidRPr="00175F56" w:rsidRDefault="00E73CF3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0,90</w:t>
            </w:r>
          </w:p>
        </w:tc>
        <w:tc>
          <w:tcPr>
            <w:tcW w:w="937" w:type="dxa"/>
            <w:vAlign w:val="center"/>
          </w:tcPr>
          <w:p w14:paraId="125AAE58" w14:textId="43B1C3C2" w:rsidR="00161817" w:rsidRPr="00E73CF3" w:rsidRDefault="00E73CF3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E73CF3">
              <w:rPr>
                <w:rFonts w:ascii="Source Sans Pro" w:hAnsi="Source Sans Pro" w:cs="Arial"/>
                <w:sz w:val="16"/>
                <w:szCs w:val="16"/>
                <w:u w:val="single"/>
              </w:rPr>
              <w:t>1,25</w:t>
            </w:r>
          </w:p>
        </w:tc>
        <w:tc>
          <w:tcPr>
            <w:tcW w:w="932" w:type="dxa"/>
            <w:vAlign w:val="center"/>
          </w:tcPr>
          <w:p w14:paraId="3BDF16AC" w14:textId="3626C406" w:rsidR="00161817" w:rsidRPr="00E73CF3" w:rsidRDefault="00E73CF3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73CF3">
              <w:rPr>
                <w:rFonts w:ascii="Source Sans Pro" w:hAnsi="Source Sans Pro" w:cs="Arial"/>
                <w:sz w:val="16"/>
                <w:szCs w:val="16"/>
              </w:rPr>
              <w:t>0,90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875A0DE" w14:textId="1E0A79FC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1,10</w:t>
            </w:r>
          </w:p>
        </w:tc>
        <w:tc>
          <w:tcPr>
            <w:tcW w:w="800" w:type="dxa"/>
            <w:vAlign w:val="center"/>
          </w:tcPr>
          <w:p w14:paraId="53A9636D" w14:textId="160A8C48" w:rsidR="00161817" w:rsidRPr="00175F56" w:rsidRDefault="00C97D51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1,0</w:t>
            </w:r>
            <w:r w:rsidR="00175F56" w:rsidRPr="00175F56">
              <w:rPr>
                <w:rFonts w:ascii="Source Sans Pro" w:hAnsi="Source Sans Pro" w:cs="Arial"/>
                <w:b/>
                <w:sz w:val="16"/>
                <w:szCs w:val="16"/>
              </w:rPr>
              <w:t>6</w:t>
            </w:r>
          </w:p>
        </w:tc>
      </w:tr>
      <w:tr w:rsidR="007C4CC4" w:rsidRPr="00161817" w14:paraId="2D937C1C" w14:textId="77777777" w:rsidTr="009E6C40">
        <w:tc>
          <w:tcPr>
            <w:tcW w:w="1939" w:type="dxa"/>
          </w:tcPr>
          <w:p w14:paraId="66B5D21D" w14:textId="77777777" w:rsidR="00161817" w:rsidRPr="00175F56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lastRenderedPageBreak/>
              <w:t xml:space="preserve">Spitzenrendite* Logistik </w:t>
            </w:r>
            <w:r w:rsidRPr="00175F56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684A9001" w14:textId="439703F7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4,40</w:t>
            </w:r>
          </w:p>
        </w:tc>
        <w:tc>
          <w:tcPr>
            <w:tcW w:w="816" w:type="dxa"/>
            <w:vAlign w:val="center"/>
          </w:tcPr>
          <w:p w14:paraId="0F835EAB" w14:textId="1C74F575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4,40</w:t>
            </w:r>
          </w:p>
        </w:tc>
        <w:tc>
          <w:tcPr>
            <w:tcW w:w="933" w:type="dxa"/>
            <w:vAlign w:val="center"/>
          </w:tcPr>
          <w:p w14:paraId="3DD3739A" w14:textId="78860A20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>4,50</w:t>
            </w:r>
          </w:p>
        </w:tc>
        <w:tc>
          <w:tcPr>
            <w:tcW w:w="937" w:type="dxa"/>
            <w:vAlign w:val="center"/>
          </w:tcPr>
          <w:p w14:paraId="7406BE99" w14:textId="6CD7E63D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4,40</w:t>
            </w:r>
          </w:p>
        </w:tc>
        <w:tc>
          <w:tcPr>
            <w:tcW w:w="937" w:type="dxa"/>
            <w:vAlign w:val="center"/>
          </w:tcPr>
          <w:p w14:paraId="41CAE3C0" w14:textId="2DA1C49F" w:rsidR="00161817" w:rsidRPr="00175F56" w:rsidRDefault="00C97D5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>4,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>5</w:t>
            </w:r>
            <w:r w:rsidR="007C4CC4"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>0</w:t>
            </w:r>
          </w:p>
        </w:tc>
        <w:tc>
          <w:tcPr>
            <w:tcW w:w="932" w:type="dxa"/>
            <w:vAlign w:val="center"/>
          </w:tcPr>
          <w:p w14:paraId="1F901372" w14:textId="3A5A723E" w:rsidR="00161817" w:rsidRPr="00175F56" w:rsidRDefault="00F67B89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4,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46B5F5" w14:textId="2885371C" w:rsidR="00161817" w:rsidRPr="00175F56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4,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40</w:t>
            </w:r>
          </w:p>
        </w:tc>
        <w:tc>
          <w:tcPr>
            <w:tcW w:w="800" w:type="dxa"/>
            <w:vAlign w:val="center"/>
          </w:tcPr>
          <w:p w14:paraId="34BF6507" w14:textId="2D4D1344" w:rsidR="00161817" w:rsidRPr="00175F56" w:rsidRDefault="00584565" w:rsidP="0058456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4,</w:t>
            </w:r>
            <w:r w:rsidR="00175F56" w:rsidRPr="00175F56">
              <w:rPr>
                <w:rFonts w:ascii="Source Sans Pro" w:hAnsi="Source Sans Pro" w:cs="Arial"/>
                <w:b/>
                <w:sz w:val="16"/>
                <w:szCs w:val="16"/>
              </w:rPr>
              <w:t>43</w:t>
            </w:r>
          </w:p>
        </w:tc>
      </w:tr>
      <w:tr w:rsidR="007C4CC4" w:rsidRPr="00161817" w14:paraId="5A0BD9F2" w14:textId="77777777" w:rsidTr="009E6C40">
        <w:tc>
          <w:tcPr>
            <w:tcW w:w="1939" w:type="dxa"/>
          </w:tcPr>
          <w:p w14:paraId="7F91E290" w14:textId="77777777" w:rsidR="006E0F8B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ggü</w:t>
            </w:r>
            <w:proofErr w:type="spellEnd"/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. Vorjahr</w:t>
            </w:r>
          </w:p>
          <w:p w14:paraId="0E0D0B5A" w14:textId="06C646AC" w:rsidR="00161817" w:rsidRPr="00175F56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817" w:type="dxa"/>
            <w:vAlign w:val="center"/>
          </w:tcPr>
          <w:p w14:paraId="2579329F" w14:textId="6B82E85D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0,60</w:t>
            </w:r>
          </w:p>
        </w:tc>
        <w:tc>
          <w:tcPr>
            <w:tcW w:w="816" w:type="dxa"/>
            <w:vAlign w:val="center"/>
          </w:tcPr>
          <w:p w14:paraId="3597B6B5" w14:textId="182FD18F" w:rsidR="00161817" w:rsidRPr="00A464B9" w:rsidRDefault="00124E02" w:rsidP="00A0631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A464B9">
              <w:rPr>
                <w:rFonts w:ascii="Source Sans Pro" w:hAnsi="Source Sans Pro" w:cs="Arial"/>
                <w:sz w:val="16"/>
                <w:szCs w:val="16"/>
                <w:u w:val="single"/>
              </w:rPr>
              <w:t>0,9</w:t>
            </w:r>
            <w:r w:rsidR="00175F56" w:rsidRPr="00A464B9">
              <w:rPr>
                <w:rFonts w:ascii="Source Sans Pro" w:hAnsi="Source Sans Pro" w:cs="Arial"/>
                <w:sz w:val="16"/>
                <w:szCs w:val="16"/>
                <w:u w:val="single"/>
              </w:rPr>
              <w:t>0</w:t>
            </w:r>
          </w:p>
        </w:tc>
        <w:tc>
          <w:tcPr>
            <w:tcW w:w="933" w:type="dxa"/>
            <w:vAlign w:val="center"/>
          </w:tcPr>
          <w:p w14:paraId="18491965" w14:textId="492F22C6" w:rsidR="00161817" w:rsidRPr="00175F56" w:rsidRDefault="00A0631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0,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40</w:t>
            </w:r>
          </w:p>
        </w:tc>
        <w:tc>
          <w:tcPr>
            <w:tcW w:w="937" w:type="dxa"/>
            <w:vAlign w:val="center"/>
          </w:tcPr>
          <w:p w14:paraId="475FF0C9" w14:textId="647EA8C5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0,40</w:t>
            </w:r>
          </w:p>
        </w:tc>
        <w:tc>
          <w:tcPr>
            <w:tcW w:w="937" w:type="dxa"/>
            <w:vAlign w:val="center"/>
          </w:tcPr>
          <w:p w14:paraId="46A53898" w14:textId="2A29A7C9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0,60</w:t>
            </w:r>
          </w:p>
        </w:tc>
        <w:tc>
          <w:tcPr>
            <w:tcW w:w="932" w:type="dxa"/>
            <w:vAlign w:val="center"/>
          </w:tcPr>
          <w:p w14:paraId="4B78F66F" w14:textId="7EBB5C04" w:rsidR="00161817" w:rsidRPr="00175F56" w:rsidRDefault="00124E02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0,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30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92EAA5" w14:textId="39BDC9CA" w:rsidR="00161817" w:rsidRPr="00A464B9" w:rsidRDefault="00124E02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A464B9">
              <w:rPr>
                <w:rFonts w:ascii="Source Sans Pro" w:hAnsi="Source Sans Pro" w:cs="Arial"/>
                <w:sz w:val="16"/>
                <w:szCs w:val="16"/>
                <w:u w:val="single"/>
              </w:rPr>
              <w:t>0,</w:t>
            </w:r>
            <w:r w:rsidR="00175F56" w:rsidRPr="00A464B9">
              <w:rPr>
                <w:rFonts w:ascii="Source Sans Pro" w:hAnsi="Source Sans Pro" w:cs="Arial"/>
                <w:sz w:val="16"/>
                <w:szCs w:val="16"/>
                <w:u w:val="single"/>
              </w:rPr>
              <w:t>90</w:t>
            </w:r>
          </w:p>
        </w:tc>
        <w:tc>
          <w:tcPr>
            <w:tcW w:w="800" w:type="dxa"/>
            <w:vAlign w:val="center"/>
          </w:tcPr>
          <w:p w14:paraId="7140B27A" w14:textId="0B9B8BA2" w:rsidR="00161817" w:rsidRPr="00175F56" w:rsidRDefault="00A06310" w:rsidP="0058456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0,</w:t>
            </w:r>
            <w:r w:rsidR="00175F56" w:rsidRPr="00175F56">
              <w:rPr>
                <w:rFonts w:ascii="Source Sans Pro" w:hAnsi="Source Sans Pro" w:cs="Arial"/>
                <w:b/>
                <w:sz w:val="16"/>
                <w:szCs w:val="16"/>
              </w:rPr>
              <w:t>59</w:t>
            </w:r>
          </w:p>
        </w:tc>
      </w:tr>
      <w:tr w:rsidR="007C4CC4" w:rsidRPr="00161817" w14:paraId="57899BA9" w14:textId="77777777" w:rsidTr="009E6C40">
        <w:tc>
          <w:tcPr>
            <w:tcW w:w="1939" w:type="dxa"/>
          </w:tcPr>
          <w:p w14:paraId="13B4FAD9" w14:textId="77777777" w:rsidR="00161817" w:rsidRPr="00175F56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210819D2" w14:textId="77777777" w:rsidR="00161817" w:rsidRPr="00175F56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Assetklasse</w:t>
            </w:r>
          </w:p>
        </w:tc>
        <w:tc>
          <w:tcPr>
            <w:tcW w:w="817" w:type="dxa"/>
            <w:vAlign w:val="center"/>
          </w:tcPr>
          <w:p w14:paraId="4ED34F9A" w14:textId="564A1E31" w:rsidR="00161817" w:rsidRPr="00175F56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816" w:type="dxa"/>
            <w:vAlign w:val="center"/>
          </w:tcPr>
          <w:p w14:paraId="1BA19745" w14:textId="25608C94" w:rsidR="00161817" w:rsidRPr="00175F56" w:rsidRDefault="00557C2F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3" w:type="dxa"/>
            <w:vAlign w:val="center"/>
          </w:tcPr>
          <w:p w14:paraId="2135011E" w14:textId="058BC51E" w:rsidR="00161817" w:rsidRPr="00175F56" w:rsidRDefault="00C97D5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7" w:type="dxa"/>
            <w:vAlign w:val="center"/>
          </w:tcPr>
          <w:p w14:paraId="0978A794" w14:textId="10174CDD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7" w:type="dxa"/>
            <w:vAlign w:val="center"/>
          </w:tcPr>
          <w:p w14:paraId="74C19DC6" w14:textId="465718BA" w:rsidR="00161817" w:rsidRPr="00175F56" w:rsidRDefault="00ED3FA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2" w:type="dxa"/>
            <w:vAlign w:val="center"/>
          </w:tcPr>
          <w:p w14:paraId="42CE99EF" w14:textId="7C04446F" w:rsidR="00161817" w:rsidRPr="00175F56" w:rsidRDefault="00C97D5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Mischnutzung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AF439F9" w14:textId="70998575" w:rsidR="00161817" w:rsidRPr="00175F56" w:rsidRDefault="00124E02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800" w:type="dxa"/>
            <w:vAlign w:val="center"/>
          </w:tcPr>
          <w:p w14:paraId="5660B842" w14:textId="4EBE1E5F" w:rsidR="00161817" w:rsidRPr="00175F56" w:rsidRDefault="00C97D51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Büro</w:t>
            </w:r>
          </w:p>
        </w:tc>
      </w:tr>
      <w:tr w:rsidR="007C4CC4" w:rsidRPr="00161817" w14:paraId="7FF3344D" w14:textId="77777777" w:rsidTr="009E6C40">
        <w:tc>
          <w:tcPr>
            <w:tcW w:w="1939" w:type="dxa"/>
          </w:tcPr>
          <w:p w14:paraId="55257A82" w14:textId="77777777" w:rsidR="00161817" w:rsidRPr="00175F56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19D9BE72" w14:textId="77777777" w:rsidR="00161817" w:rsidRPr="00175F56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 xml:space="preserve">Assetklasse </w:t>
            </w:r>
            <w:r w:rsidRPr="00175F56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516BE07F" w14:textId="3E5D13C9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>67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 xml:space="preserve"> </w:t>
            </w:r>
            <w:r w:rsidR="00ED3FA6" w:rsidRPr="00175F56">
              <w:rPr>
                <w:rFonts w:ascii="Source Sans Pro" w:hAnsi="Source Sans Pro" w:cs="Arial"/>
                <w:sz w:val="16"/>
                <w:szCs w:val="16"/>
                <w:u w:val="single"/>
              </w:rPr>
              <w:t>%</w:t>
            </w:r>
          </w:p>
        </w:tc>
        <w:tc>
          <w:tcPr>
            <w:tcW w:w="816" w:type="dxa"/>
            <w:vAlign w:val="center"/>
          </w:tcPr>
          <w:p w14:paraId="3290541C" w14:textId="038F1756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51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ED3FA6" w:rsidRPr="00175F56">
              <w:rPr>
                <w:rFonts w:ascii="Source Sans Pro" w:hAnsi="Source Sans Pro" w:cs="Arial"/>
                <w:sz w:val="16"/>
                <w:szCs w:val="16"/>
              </w:rPr>
              <w:t>%</w:t>
            </w:r>
          </w:p>
        </w:tc>
        <w:tc>
          <w:tcPr>
            <w:tcW w:w="933" w:type="dxa"/>
            <w:vAlign w:val="center"/>
          </w:tcPr>
          <w:p w14:paraId="65F78631" w14:textId="596D819B" w:rsidR="00161817" w:rsidRPr="00175F56" w:rsidRDefault="00C97D51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6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ED3FA6" w:rsidRPr="00175F56">
              <w:rPr>
                <w:rFonts w:ascii="Source Sans Pro" w:hAnsi="Source Sans Pro" w:cs="Arial"/>
                <w:sz w:val="16"/>
                <w:szCs w:val="16"/>
              </w:rPr>
              <w:t>%</w:t>
            </w:r>
          </w:p>
        </w:tc>
        <w:tc>
          <w:tcPr>
            <w:tcW w:w="937" w:type="dxa"/>
            <w:vAlign w:val="center"/>
          </w:tcPr>
          <w:p w14:paraId="63E405B4" w14:textId="3080284E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43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ED3FA6" w:rsidRPr="00175F56">
              <w:rPr>
                <w:rFonts w:ascii="Source Sans Pro" w:hAnsi="Source Sans Pro" w:cs="Arial"/>
                <w:sz w:val="16"/>
                <w:szCs w:val="16"/>
              </w:rPr>
              <w:t>%</w:t>
            </w:r>
          </w:p>
        </w:tc>
        <w:tc>
          <w:tcPr>
            <w:tcW w:w="937" w:type="dxa"/>
            <w:vAlign w:val="center"/>
          </w:tcPr>
          <w:p w14:paraId="3DBBA68E" w14:textId="5479DF0A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47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ED3FA6" w:rsidRPr="00175F56">
              <w:rPr>
                <w:rFonts w:ascii="Source Sans Pro" w:hAnsi="Source Sans Pro" w:cs="Arial"/>
                <w:sz w:val="16"/>
                <w:szCs w:val="16"/>
              </w:rPr>
              <w:t>%</w:t>
            </w:r>
          </w:p>
        </w:tc>
        <w:tc>
          <w:tcPr>
            <w:tcW w:w="932" w:type="dxa"/>
            <w:vAlign w:val="center"/>
          </w:tcPr>
          <w:p w14:paraId="62F15918" w14:textId="6BD8AAF4" w:rsidR="00161817" w:rsidRPr="00175F56" w:rsidRDefault="00175F56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49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ED3FA6" w:rsidRPr="00175F56">
              <w:rPr>
                <w:rFonts w:ascii="Source Sans Pro" w:hAnsi="Source Sans Pro" w:cs="Arial"/>
                <w:sz w:val="16"/>
                <w:szCs w:val="16"/>
              </w:rPr>
              <w:t>%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F3E0CF" w14:textId="4CB5C240" w:rsidR="00161817" w:rsidRPr="00175F56" w:rsidRDefault="00B90D3E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="00175F56" w:rsidRPr="00175F56">
              <w:rPr>
                <w:rFonts w:ascii="Source Sans Pro" w:hAnsi="Source Sans Pro" w:cs="Arial"/>
                <w:sz w:val="16"/>
                <w:szCs w:val="16"/>
              </w:rPr>
              <w:t>8</w:t>
            </w:r>
            <w:r w:rsidR="0008376F" w:rsidRPr="00175F56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="00ED3FA6" w:rsidRPr="00175F56">
              <w:rPr>
                <w:rFonts w:ascii="Source Sans Pro" w:hAnsi="Source Sans Pro" w:cs="Arial"/>
                <w:sz w:val="16"/>
                <w:szCs w:val="16"/>
              </w:rPr>
              <w:t>%</w:t>
            </w:r>
          </w:p>
        </w:tc>
        <w:tc>
          <w:tcPr>
            <w:tcW w:w="800" w:type="dxa"/>
            <w:vAlign w:val="center"/>
          </w:tcPr>
          <w:p w14:paraId="2A043F0A" w14:textId="013AEE79" w:rsidR="00161817" w:rsidRPr="00175F56" w:rsidRDefault="00B90D3E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75F56">
              <w:rPr>
                <w:rFonts w:ascii="Source Sans Pro" w:hAnsi="Source Sans Pro" w:cs="Arial"/>
                <w:b/>
                <w:sz w:val="16"/>
                <w:szCs w:val="16"/>
              </w:rPr>
              <w:t>5</w:t>
            </w:r>
            <w:r w:rsidR="00175F56" w:rsidRPr="00175F56">
              <w:rPr>
                <w:rFonts w:ascii="Source Sans Pro" w:hAnsi="Source Sans Pro" w:cs="Arial"/>
                <w:b/>
                <w:sz w:val="16"/>
                <w:szCs w:val="16"/>
              </w:rPr>
              <w:t xml:space="preserve">3 </w:t>
            </w:r>
            <w:r w:rsidR="00ED3FA6" w:rsidRPr="00175F56">
              <w:rPr>
                <w:rFonts w:ascii="Source Sans Pro" w:hAnsi="Source Sans Pro" w:cs="Arial"/>
                <w:b/>
                <w:sz w:val="16"/>
                <w:szCs w:val="16"/>
              </w:rPr>
              <w:t>%</w:t>
            </w:r>
          </w:p>
        </w:tc>
      </w:tr>
    </w:tbl>
    <w:p w14:paraId="24F7C797" w14:textId="5003AE93" w:rsidR="00DA733A" w:rsidRPr="00161817" w:rsidRDefault="00161817" w:rsidP="00DA733A">
      <w:pPr>
        <w:pStyle w:val="EinfAbs"/>
        <w:tabs>
          <w:tab w:val="left" w:pos="200"/>
        </w:tabs>
        <w:jc w:val="both"/>
        <w:rPr>
          <w:rFonts w:ascii="Source Sans Pro" w:hAnsi="Source Sans Pro" w:cs="Arial"/>
          <w:sz w:val="16"/>
          <w:szCs w:val="16"/>
        </w:rPr>
      </w:pPr>
      <w:r w:rsidRPr="00161817">
        <w:rPr>
          <w:rFonts w:ascii="Source Sans Pro" w:hAnsi="Source Sans Pro" w:cs="Arial"/>
          <w:sz w:val="16"/>
          <w:szCs w:val="16"/>
        </w:rPr>
        <w:t>* Nettoanfangsrendite; Quelle: German Property Partners (GPP)</w:t>
      </w:r>
    </w:p>
    <w:p w14:paraId="384D0EB4" w14:textId="77777777" w:rsidR="00161817" w:rsidRDefault="00161817" w:rsidP="00DA733A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50B0AF24" w14:textId="04CDDE4D" w:rsidR="00DA733A" w:rsidRPr="00966A04" w:rsidRDefault="002B63FD" w:rsidP="00966A04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>ÜBER GERMAN PROPERTY PARTNERS</w:t>
      </w:r>
      <w:r w:rsidR="00DA733A"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 </w:t>
      </w:r>
    </w:p>
    <w:p w14:paraId="47B60849" w14:textId="77777777" w:rsidR="00E1280F" w:rsidRPr="00E1280F" w:rsidRDefault="007710C4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9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6FD087C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Das Netzwerk verfügt in den Top-7-Städten Hamburg, Berlin, Düsseldorf</w:t>
      </w:r>
      <w:r w:rsidR="00137D5D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|</w:t>
      </w:r>
      <w:r w:rsidR="00137D5D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Essen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7A96D1EF" w14:textId="77777777" w:rsidR="007F12A3" w:rsidRPr="00E1280F" w:rsidRDefault="007F12A3" w:rsidP="007F12A3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580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00 m² Gewerbefläche und betreute ein Transaktionsvolumen in Höhe von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5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</w:p>
    <w:p w14:paraId="03D0C7E2" w14:textId="6011ECBB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3267071B" w14:textId="05540F4C" w:rsidR="00D56A51" w:rsidRDefault="007710C4" w:rsidP="00D56A51">
      <w:pPr>
        <w:pStyle w:val="EinfAbs"/>
        <w:tabs>
          <w:tab w:val="left" w:pos="200"/>
        </w:tabs>
        <w:spacing w:line="220" w:lineRule="exact"/>
        <w:jc w:val="both"/>
        <w:rPr>
          <w:rStyle w:val="Hyperlink"/>
          <w:rFonts w:ascii="Source Sans Pro SemiBold" w:hAnsi="Source Sans Pro SemiBold" w:cs="Source Sans Pro SemiBold"/>
          <w:b/>
          <w:bCs/>
          <w:sz w:val="18"/>
          <w:szCs w:val="18"/>
        </w:rPr>
      </w:pPr>
      <w:hyperlink r:id="rId10" w:history="1">
        <w:r w:rsidR="00D56A51" w:rsidRPr="00F505E8">
          <w:rPr>
            <w:rStyle w:val="Hyperlink"/>
            <w:rFonts w:ascii="Source Sans Pro SemiBold" w:hAnsi="Source Sans Pro SemiBold" w:cs="Source Sans Pro SemiBold"/>
            <w:b/>
            <w:bCs/>
            <w:sz w:val="18"/>
            <w:szCs w:val="18"/>
          </w:rPr>
          <w:t>www.germanpropertypartners.de</w:t>
        </w:r>
      </w:hyperlink>
    </w:p>
    <w:p w14:paraId="163BD3E5" w14:textId="77777777" w:rsidR="00665120" w:rsidRDefault="00665120" w:rsidP="00D56A51">
      <w:pPr>
        <w:pStyle w:val="EinfAbs"/>
        <w:tabs>
          <w:tab w:val="left" w:pos="200"/>
        </w:tabs>
        <w:spacing w:line="220" w:lineRule="exact"/>
        <w:jc w:val="both"/>
        <w:rPr>
          <w:rStyle w:val="Hyperlink"/>
          <w:rFonts w:ascii="Source Sans Pro SemiBold" w:hAnsi="Source Sans Pro SemiBold" w:cs="Source Sans Pro SemiBold"/>
          <w:b/>
          <w:bCs/>
          <w:sz w:val="18"/>
          <w:szCs w:val="18"/>
        </w:rPr>
      </w:pPr>
    </w:p>
    <w:p w14:paraId="6E5C60B4" w14:textId="77777777" w:rsidR="00665120" w:rsidRDefault="00665120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</w:p>
    <w:p w14:paraId="468FAFF6" w14:textId="33FAAA60" w:rsidR="005C25D5" w:rsidRPr="00D56A51" w:rsidRDefault="00290672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</w:p>
    <w:sectPr w:rsidR="005C25D5" w:rsidRPr="00D56A51" w:rsidSect="001B786B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32CC6DB3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3262BF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3262BF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3415D950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="009B008F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 w:rsidR="009B008F">
      <w:rPr>
        <w:rFonts w:ascii="Source Sans Pro" w:hAnsi="Source Sans Pro" w:cs="Source Sans Pro"/>
        <w:color w:val="0087A8"/>
        <w:sz w:val="18"/>
        <w:szCs w:val="18"/>
      </w:rPr>
      <w:t>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4804A5">
      <w:rPr>
        <w:rFonts w:ascii="Source Sans Pro" w:hAnsi="Source Sans Pro" w:cs="Source Sans Pro"/>
        <w:color w:val="0087A8"/>
        <w:sz w:val="18"/>
        <w:szCs w:val="18"/>
      </w:rPr>
      <w:t>9</w:t>
    </w:r>
    <w:r w:rsidR="00F40B12">
      <w:rPr>
        <w:rFonts w:ascii="Source Sans Pro" w:hAnsi="Source Sans Pro" w:cs="Source Sans Pro"/>
        <w:color w:val="0087A8"/>
        <w:sz w:val="18"/>
        <w:szCs w:val="18"/>
      </w:rPr>
      <w:t>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42A6765D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4A5">
      <w:rPr>
        <w:rFonts w:ascii="Source Sans Pro" w:hAnsi="Source Sans Pro" w:cs="Source Sans Pro"/>
        <w:color w:val="0087A8"/>
        <w:sz w:val="18"/>
        <w:szCs w:val="18"/>
      </w:rPr>
      <w:t>Katharina Koester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31044E51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6E0F8B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6E0F8B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7630B142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4804A5">
      <w:rPr>
        <w:rFonts w:ascii="Source Sans Pro" w:hAnsi="Source Sans Pro" w:cs="Source Sans Pro"/>
        <w:color w:val="0087A8"/>
        <w:sz w:val="18"/>
        <w:szCs w:val="18"/>
      </w:rPr>
      <w:t>9</w:t>
    </w:r>
    <w:r w:rsidR="00F40B12">
      <w:rPr>
        <w:rFonts w:ascii="Source Sans Pro" w:hAnsi="Source Sans Pro" w:cs="Source Sans Pro"/>
        <w:color w:val="0087A8"/>
        <w:sz w:val="18"/>
        <w:szCs w:val="18"/>
      </w:rPr>
      <w:t>88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2F505F91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4A5">
      <w:rPr>
        <w:rFonts w:ascii="Source Sans Pro" w:hAnsi="Source Sans Pro" w:cs="Source Sans Pro"/>
        <w:color w:val="0087A8"/>
        <w:sz w:val="18"/>
        <w:szCs w:val="18"/>
      </w:rPr>
      <w:t>Katharina Koester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5DzwEAAJUDAAAOAAAAZHJzL2Uyb0RvYy54bWysU9uK2zAQfS/0H4TeGzspLMHEWZZdthS2&#10;F9j2AxRZskVtjTqjxE6/viM5zvbyVuoHcXSZMzNnjne309CLk0Fy4Gu5XpVSGK+hcb6t5dcvj2+2&#10;UlBUvlE9eFPLsyF5u3/9ajeGymygg74xKJjEUzWGWnYxhqooSHdmULSCYDxfWsBBRd5iWzSoRmYf&#10;+mJTljfFCNgEBG2I+PRhvpT7zG+t0fGTtWSi6GvJtcW8Yl4PaS32O1W1qELn9KUM9Q9VDMp5Tnql&#10;elBRiSO6v6gGpxEIbFxpGAqw1mmTe+Bu1uUf3Tx3KpjcC4tD4SoT/T9a/fH0HD5jKp3CE+hvJDzc&#10;d8q35g4Rxs6ohtOtk1DFGKi6BqQNcag4jB+g4dGqY4SswWRxSITcnZiy1Oer1GaKQvPhW/5uSp6I&#10;5rvNdlsyTilUtUQHpPjOwCASqCXyKDO7Oj1RnJ8uT1IyD4+u7/M4e//bAXPOJyb74RK9lJ+cQlWc&#10;DhPHJniA5sxdIcxeYW8z6AB/SDGyT2pJ348KjRT9e8/KJFMtABdwWIDymkNrGaWY4X2czXcM6NqO&#10;mde5KQ93rJ51ubGXKi6a8+yzNBefJnP9us+vXv6m/U8AAAD//wMAUEsDBBQABgAIAAAAIQA/7QM2&#10;3gAAAAoBAAAPAAAAZHJzL2Rvd25yZXYueG1sTI9BT4NAEIXvJv6HzZh4s4vYokWWxpSQ6K1WL962&#10;7AhEdhbYLeC/dzzp8c378ua9bLfYTkw4+taRgttVBAKpcqalWsH7W3nzAMIHTUZ3jlDBN3rY5ZcX&#10;mU6Nm+kVp2OoBYeQT7WCJoQ+ldJXDVrtV65HYu/TjVYHlmMtzahnDredjKMokVa3xB8a3eO+werr&#10;eLYKijExpd8/F+X2Yy7Cy2GYBjkodX21PD2CCLiEPxh+63N1yLnTyZ3JeNGxvovWjCrY3scgGEg2&#10;Gz6c2FnHCcg8k/8n5D8AAAD//wMAUEsBAi0AFAAGAAgAAAAhALaDOJL+AAAA4QEAABMAAAAAAAAA&#10;AAAAAAAAAAAAAFtDb250ZW50X1R5cGVzXS54bWxQSwECLQAUAAYACAAAACEAOP0h/9YAAACUAQAA&#10;CwAAAAAAAAAAAAAAAAAvAQAAX3JlbHMvLnJlbHNQSwECLQAUAAYACAAAACEAhe7eQ88BAACVAwAA&#10;DgAAAAAAAAAAAAAAAAAuAgAAZHJzL2Uyb0RvYy54bWxQSwECLQAUAAYACAAAACEAP+0DNt4AAAAK&#10;AQAADwAAAAAAAAAAAAAAAAApBAAAZHJzL2Rvd25yZXYueG1sUEsFBgAAAAAEAAQA8wAAADQFAAAA&#10;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E87"/>
    <w:multiLevelType w:val="hybridMultilevel"/>
    <w:tmpl w:val="D2941DE4"/>
    <w:lvl w:ilvl="0" w:tplc="E22A0C4A">
      <w:start w:val="3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2A8B"/>
    <w:multiLevelType w:val="hybridMultilevel"/>
    <w:tmpl w:val="F4528B24"/>
    <w:lvl w:ilvl="0" w:tplc="56EE68C0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516"/>
    <w:multiLevelType w:val="hybridMultilevel"/>
    <w:tmpl w:val="C23E3D0C"/>
    <w:lvl w:ilvl="0" w:tplc="64FC8556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53BB"/>
    <w:multiLevelType w:val="hybridMultilevel"/>
    <w:tmpl w:val="A8BA5CB4"/>
    <w:lvl w:ilvl="0" w:tplc="8778A3DC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C71D1"/>
    <w:multiLevelType w:val="hybridMultilevel"/>
    <w:tmpl w:val="E230CBE0"/>
    <w:lvl w:ilvl="0" w:tplc="D4EABFE2">
      <w:start w:val="4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E33"/>
    <w:multiLevelType w:val="hybridMultilevel"/>
    <w:tmpl w:val="2BE8E350"/>
    <w:lvl w:ilvl="0" w:tplc="B82AA302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1575"/>
    <w:multiLevelType w:val="hybridMultilevel"/>
    <w:tmpl w:val="97CACF44"/>
    <w:lvl w:ilvl="0" w:tplc="8AFA2B9E">
      <w:start w:val="4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ABD"/>
    <w:multiLevelType w:val="hybridMultilevel"/>
    <w:tmpl w:val="37867DBE"/>
    <w:lvl w:ilvl="0" w:tplc="EA44F1B4">
      <w:start w:val="5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C36C0"/>
    <w:multiLevelType w:val="hybridMultilevel"/>
    <w:tmpl w:val="51220B10"/>
    <w:lvl w:ilvl="0" w:tplc="782E1AFA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39BE"/>
    <w:multiLevelType w:val="hybridMultilevel"/>
    <w:tmpl w:val="E62CA4CA"/>
    <w:lvl w:ilvl="0" w:tplc="8AFA2B9E">
      <w:start w:val="4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93B59"/>
    <w:multiLevelType w:val="hybridMultilevel"/>
    <w:tmpl w:val="549A0550"/>
    <w:lvl w:ilvl="0" w:tplc="0554DCE8">
      <w:start w:val="5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1327B"/>
    <w:multiLevelType w:val="hybridMultilevel"/>
    <w:tmpl w:val="87A4293C"/>
    <w:lvl w:ilvl="0" w:tplc="7BC0E0C6">
      <w:start w:val="4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030DF"/>
    <w:multiLevelType w:val="hybridMultilevel"/>
    <w:tmpl w:val="C9B00D30"/>
    <w:lvl w:ilvl="0" w:tplc="59D258AA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C230A"/>
    <w:multiLevelType w:val="hybridMultilevel"/>
    <w:tmpl w:val="C442B6BA"/>
    <w:lvl w:ilvl="0" w:tplc="5A6C3342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813C1"/>
    <w:multiLevelType w:val="hybridMultilevel"/>
    <w:tmpl w:val="05F49C50"/>
    <w:lvl w:ilvl="0" w:tplc="82300CEC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B6D1F"/>
    <w:multiLevelType w:val="hybridMultilevel"/>
    <w:tmpl w:val="456A7860"/>
    <w:lvl w:ilvl="0" w:tplc="B774640A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E5101"/>
    <w:multiLevelType w:val="hybridMultilevel"/>
    <w:tmpl w:val="FE72EC98"/>
    <w:lvl w:ilvl="0" w:tplc="310AC6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D78BD"/>
    <w:multiLevelType w:val="hybridMultilevel"/>
    <w:tmpl w:val="904C4D60"/>
    <w:lvl w:ilvl="0" w:tplc="51F0D846">
      <w:start w:val="37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C4963"/>
    <w:multiLevelType w:val="hybridMultilevel"/>
    <w:tmpl w:val="751880B2"/>
    <w:lvl w:ilvl="0" w:tplc="AF12DF7E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E75CD"/>
    <w:multiLevelType w:val="hybridMultilevel"/>
    <w:tmpl w:val="621E74A6"/>
    <w:lvl w:ilvl="0" w:tplc="66A2EFCE">
      <w:start w:val="4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5149"/>
    <w:multiLevelType w:val="hybridMultilevel"/>
    <w:tmpl w:val="EDEAD9E0"/>
    <w:lvl w:ilvl="0" w:tplc="2782346E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038385">
    <w:abstractNumId w:val="20"/>
  </w:num>
  <w:num w:numId="2" w16cid:durableId="2072851307">
    <w:abstractNumId w:val="18"/>
  </w:num>
  <w:num w:numId="3" w16cid:durableId="1864198125">
    <w:abstractNumId w:val="14"/>
  </w:num>
  <w:num w:numId="4" w16cid:durableId="331880518">
    <w:abstractNumId w:val="5"/>
  </w:num>
  <w:num w:numId="5" w16cid:durableId="1552418882">
    <w:abstractNumId w:val="0"/>
  </w:num>
  <w:num w:numId="6" w16cid:durableId="906459807">
    <w:abstractNumId w:val="17"/>
  </w:num>
  <w:num w:numId="7" w16cid:durableId="1941642745">
    <w:abstractNumId w:val="15"/>
  </w:num>
  <w:num w:numId="8" w16cid:durableId="196701812">
    <w:abstractNumId w:val="13"/>
  </w:num>
  <w:num w:numId="9" w16cid:durableId="743338933">
    <w:abstractNumId w:val="3"/>
  </w:num>
  <w:num w:numId="10" w16cid:durableId="639000325">
    <w:abstractNumId w:val="8"/>
  </w:num>
  <w:num w:numId="11" w16cid:durableId="246808912">
    <w:abstractNumId w:val="12"/>
  </w:num>
  <w:num w:numId="12" w16cid:durableId="1057165267">
    <w:abstractNumId w:val="19"/>
  </w:num>
  <w:num w:numId="13" w16cid:durableId="1774934292">
    <w:abstractNumId w:val="11"/>
  </w:num>
  <w:num w:numId="14" w16cid:durableId="1606695099">
    <w:abstractNumId w:val="4"/>
  </w:num>
  <w:num w:numId="15" w16cid:durableId="2147043648">
    <w:abstractNumId w:val="6"/>
  </w:num>
  <w:num w:numId="16" w16cid:durableId="140120579">
    <w:abstractNumId w:val="9"/>
  </w:num>
  <w:num w:numId="17" w16cid:durableId="941379074">
    <w:abstractNumId w:val="10"/>
  </w:num>
  <w:num w:numId="18" w16cid:durableId="1733651125">
    <w:abstractNumId w:val="7"/>
  </w:num>
  <w:num w:numId="19" w16cid:durableId="1581715922">
    <w:abstractNumId w:val="1"/>
  </w:num>
  <w:num w:numId="20" w16cid:durableId="2051104369">
    <w:abstractNumId w:val="2"/>
  </w:num>
  <w:num w:numId="21" w16cid:durableId="11763383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85"/>
    <w:rsid w:val="00001F24"/>
    <w:rsid w:val="00002078"/>
    <w:rsid w:val="000021F4"/>
    <w:rsid w:val="00004E93"/>
    <w:rsid w:val="000136D7"/>
    <w:rsid w:val="00013C9D"/>
    <w:rsid w:val="00013D73"/>
    <w:rsid w:val="00020AC9"/>
    <w:rsid w:val="00027EA3"/>
    <w:rsid w:val="00032028"/>
    <w:rsid w:val="00034121"/>
    <w:rsid w:val="000440EB"/>
    <w:rsid w:val="0005029E"/>
    <w:rsid w:val="0005241D"/>
    <w:rsid w:val="00052FDB"/>
    <w:rsid w:val="00056672"/>
    <w:rsid w:val="000610DA"/>
    <w:rsid w:val="000645A4"/>
    <w:rsid w:val="00065685"/>
    <w:rsid w:val="000663B5"/>
    <w:rsid w:val="000665E2"/>
    <w:rsid w:val="00066A8A"/>
    <w:rsid w:val="00070B06"/>
    <w:rsid w:val="00072A30"/>
    <w:rsid w:val="00073A63"/>
    <w:rsid w:val="00077E8A"/>
    <w:rsid w:val="00082C59"/>
    <w:rsid w:val="0008376F"/>
    <w:rsid w:val="00091562"/>
    <w:rsid w:val="00091D49"/>
    <w:rsid w:val="00091E5B"/>
    <w:rsid w:val="00092118"/>
    <w:rsid w:val="0009382E"/>
    <w:rsid w:val="000A072C"/>
    <w:rsid w:val="000A4FBB"/>
    <w:rsid w:val="000A62B7"/>
    <w:rsid w:val="000A6A78"/>
    <w:rsid w:val="000B2DF4"/>
    <w:rsid w:val="000B310B"/>
    <w:rsid w:val="000B4A9D"/>
    <w:rsid w:val="000C370A"/>
    <w:rsid w:val="000C3A22"/>
    <w:rsid w:val="000D5A87"/>
    <w:rsid w:val="000D6F1F"/>
    <w:rsid w:val="000D7B09"/>
    <w:rsid w:val="000D7FD3"/>
    <w:rsid w:val="000E194E"/>
    <w:rsid w:val="000E4F2C"/>
    <w:rsid w:val="000E6577"/>
    <w:rsid w:val="000E694E"/>
    <w:rsid w:val="000E753B"/>
    <w:rsid w:val="000F57F1"/>
    <w:rsid w:val="000F7B51"/>
    <w:rsid w:val="001104E2"/>
    <w:rsid w:val="00110917"/>
    <w:rsid w:val="00110E1D"/>
    <w:rsid w:val="00110E37"/>
    <w:rsid w:val="00113D8C"/>
    <w:rsid w:val="00120624"/>
    <w:rsid w:val="0012156C"/>
    <w:rsid w:val="00123510"/>
    <w:rsid w:val="00124E02"/>
    <w:rsid w:val="00131DC5"/>
    <w:rsid w:val="001340F8"/>
    <w:rsid w:val="00137130"/>
    <w:rsid w:val="00137D5D"/>
    <w:rsid w:val="00146388"/>
    <w:rsid w:val="00150092"/>
    <w:rsid w:val="001550FE"/>
    <w:rsid w:val="00155828"/>
    <w:rsid w:val="00156AF6"/>
    <w:rsid w:val="00161095"/>
    <w:rsid w:val="00161817"/>
    <w:rsid w:val="00162CC4"/>
    <w:rsid w:val="001647B3"/>
    <w:rsid w:val="00166ED2"/>
    <w:rsid w:val="00167D63"/>
    <w:rsid w:val="00175F56"/>
    <w:rsid w:val="00176433"/>
    <w:rsid w:val="0017673F"/>
    <w:rsid w:val="0018092C"/>
    <w:rsid w:val="0018116D"/>
    <w:rsid w:val="00184BB0"/>
    <w:rsid w:val="0018743E"/>
    <w:rsid w:val="001963BB"/>
    <w:rsid w:val="001A22F5"/>
    <w:rsid w:val="001B786B"/>
    <w:rsid w:val="001C32DB"/>
    <w:rsid w:val="001C518B"/>
    <w:rsid w:val="001C6C50"/>
    <w:rsid w:val="001D00A5"/>
    <w:rsid w:val="001D35E8"/>
    <w:rsid w:val="001E1829"/>
    <w:rsid w:val="001E5503"/>
    <w:rsid w:val="001E7716"/>
    <w:rsid w:val="001F218D"/>
    <w:rsid w:val="001F35E1"/>
    <w:rsid w:val="00200C83"/>
    <w:rsid w:val="002014F7"/>
    <w:rsid w:val="00202DD3"/>
    <w:rsid w:val="002120A7"/>
    <w:rsid w:val="0022694F"/>
    <w:rsid w:val="00235393"/>
    <w:rsid w:val="00252F4F"/>
    <w:rsid w:val="00264A0A"/>
    <w:rsid w:val="00265CA3"/>
    <w:rsid w:val="00270F3A"/>
    <w:rsid w:val="0028070D"/>
    <w:rsid w:val="00282ED8"/>
    <w:rsid w:val="00290672"/>
    <w:rsid w:val="002A09C2"/>
    <w:rsid w:val="002A480D"/>
    <w:rsid w:val="002A4A5C"/>
    <w:rsid w:val="002A6846"/>
    <w:rsid w:val="002A785E"/>
    <w:rsid w:val="002A7D58"/>
    <w:rsid w:val="002B63FD"/>
    <w:rsid w:val="002B749A"/>
    <w:rsid w:val="002C52C5"/>
    <w:rsid w:val="002E0B4A"/>
    <w:rsid w:val="002E1267"/>
    <w:rsid w:val="002E1C45"/>
    <w:rsid w:val="002E54DF"/>
    <w:rsid w:val="002E5673"/>
    <w:rsid w:val="002F01DF"/>
    <w:rsid w:val="002F461A"/>
    <w:rsid w:val="002F5C84"/>
    <w:rsid w:val="002F73A8"/>
    <w:rsid w:val="002F786B"/>
    <w:rsid w:val="0030528A"/>
    <w:rsid w:val="00306932"/>
    <w:rsid w:val="003152C9"/>
    <w:rsid w:val="00315870"/>
    <w:rsid w:val="00316196"/>
    <w:rsid w:val="003250ED"/>
    <w:rsid w:val="003262BF"/>
    <w:rsid w:val="00341D84"/>
    <w:rsid w:val="003424EC"/>
    <w:rsid w:val="0034454C"/>
    <w:rsid w:val="00344FCB"/>
    <w:rsid w:val="00355438"/>
    <w:rsid w:val="00355ED1"/>
    <w:rsid w:val="00363075"/>
    <w:rsid w:val="00364C2C"/>
    <w:rsid w:val="00366AF3"/>
    <w:rsid w:val="00367F4F"/>
    <w:rsid w:val="00370785"/>
    <w:rsid w:val="00371640"/>
    <w:rsid w:val="00374F87"/>
    <w:rsid w:val="00375256"/>
    <w:rsid w:val="00392E9E"/>
    <w:rsid w:val="003948FA"/>
    <w:rsid w:val="003A01DF"/>
    <w:rsid w:val="003A463F"/>
    <w:rsid w:val="003B4C22"/>
    <w:rsid w:val="003B63A8"/>
    <w:rsid w:val="003D36F0"/>
    <w:rsid w:val="003D3F73"/>
    <w:rsid w:val="003D4F29"/>
    <w:rsid w:val="003D5215"/>
    <w:rsid w:val="003D5D91"/>
    <w:rsid w:val="003E772C"/>
    <w:rsid w:val="003F293B"/>
    <w:rsid w:val="003F5E07"/>
    <w:rsid w:val="003F6066"/>
    <w:rsid w:val="003F67DF"/>
    <w:rsid w:val="0040331F"/>
    <w:rsid w:val="00403C95"/>
    <w:rsid w:val="00404BCC"/>
    <w:rsid w:val="00405679"/>
    <w:rsid w:val="0041188F"/>
    <w:rsid w:val="0041324D"/>
    <w:rsid w:val="00423DAC"/>
    <w:rsid w:val="00425DBF"/>
    <w:rsid w:val="00426531"/>
    <w:rsid w:val="00430DA2"/>
    <w:rsid w:val="004329C6"/>
    <w:rsid w:val="004338CA"/>
    <w:rsid w:val="004343B1"/>
    <w:rsid w:val="00434EB9"/>
    <w:rsid w:val="00435737"/>
    <w:rsid w:val="00436DD0"/>
    <w:rsid w:val="00443049"/>
    <w:rsid w:val="00453F14"/>
    <w:rsid w:val="00456442"/>
    <w:rsid w:val="00462200"/>
    <w:rsid w:val="00465A6E"/>
    <w:rsid w:val="004679E5"/>
    <w:rsid w:val="00474099"/>
    <w:rsid w:val="004804A5"/>
    <w:rsid w:val="00481D27"/>
    <w:rsid w:val="00486F74"/>
    <w:rsid w:val="00491CBC"/>
    <w:rsid w:val="004946A6"/>
    <w:rsid w:val="004956AE"/>
    <w:rsid w:val="004979AD"/>
    <w:rsid w:val="004A23D8"/>
    <w:rsid w:val="004A2A30"/>
    <w:rsid w:val="004A2D54"/>
    <w:rsid w:val="004A60FB"/>
    <w:rsid w:val="004B5CB6"/>
    <w:rsid w:val="004C616B"/>
    <w:rsid w:val="004D2CD0"/>
    <w:rsid w:val="004D30FB"/>
    <w:rsid w:val="004F09D7"/>
    <w:rsid w:val="004F1216"/>
    <w:rsid w:val="004F1EDD"/>
    <w:rsid w:val="004F38BF"/>
    <w:rsid w:val="004F5262"/>
    <w:rsid w:val="004F6C7A"/>
    <w:rsid w:val="004F77D4"/>
    <w:rsid w:val="00500981"/>
    <w:rsid w:val="00501428"/>
    <w:rsid w:val="005045E7"/>
    <w:rsid w:val="00510C33"/>
    <w:rsid w:val="005122A0"/>
    <w:rsid w:val="005126C2"/>
    <w:rsid w:val="005150A3"/>
    <w:rsid w:val="0052371C"/>
    <w:rsid w:val="005262E7"/>
    <w:rsid w:val="0054038E"/>
    <w:rsid w:val="0054593A"/>
    <w:rsid w:val="00545E14"/>
    <w:rsid w:val="00546BC8"/>
    <w:rsid w:val="00547877"/>
    <w:rsid w:val="00554C9F"/>
    <w:rsid w:val="005550A4"/>
    <w:rsid w:val="00557B57"/>
    <w:rsid w:val="00557C2F"/>
    <w:rsid w:val="005644BE"/>
    <w:rsid w:val="0057524E"/>
    <w:rsid w:val="00575A55"/>
    <w:rsid w:val="00583AC8"/>
    <w:rsid w:val="00584565"/>
    <w:rsid w:val="00593788"/>
    <w:rsid w:val="00593E99"/>
    <w:rsid w:val="005A5999"/>
    <w:rsid w:val="005B4909"/>
    <w:rsid w:val="005C25D5"/>
    <w:rsid w:val="005C47F7"/>
    <w:rsid w:val="005C4D07"/>
    <w:rsid w:val="005D0D0E"/>
    <w:rsid w:val="005D449F"/>
    <w:rsid w:val="005D46DE"/>
    <w:rsid w:val="005D73BE"/>
    <w:rsid w:val="005D748C"/>
    <w:rsid w:val="005E1C97"/>
    <w:rsid w:val="005E6515"/>
    <w:rsid w:val="005F1F6B"/>
    <w:rsid w:val="005F3B7B"/>
    <w:rsid w:val="005F5866"/>
    <w:rsid w:val="0060257F"/>
    <w:rsid w:val="00604E20"/>
    <w:rsid w:val="00604F63"/>
    <w:rsid w:val="00605657"/>
    <w:rsid w:val="00605989"/>
    <w:rsid w:val="00607CF6"/>
    <w:rsid w:val="00610BB3"/>
    <w:rsid w:val="00613713"/>
    <w:rsid w:val="006224FB"/>
    <w:rsid w:val="0062645E"/>
    <w:rsid w:val="0063115F"/>
    <w:rsid w:val="00632159"/>
    <w:rsid w:val="006363DA"/>
    <w:rsid w:val="006432C0"/>
    <w:rsid w:val="006456EA"/>
    <w:rsid w:val="00653983"/>
    <w:rsid w:val="006609C2"/>
    <w:rsid w:val="0066211C"/>
    <w:rsid w:val="00663D75"/>
    <w:rsid w:val="0066478F"/>
    <w:rsid w:val="00665120"/>
    <w:rsid w:val="00675E89"/>
    <w:rsid w:val="00695F46"/>
    <w:rsid w:val="006969F1"/>
    <w:rsid w:val="006A3C35"/>
    <w:rsid w:val="006A6D11"/>
    <w:rsid w:val="006B2259"/>
    <w:rsid w:val="006B3ECE"/>
    <w:rsid w:val="006C5754"/>
    <w:rsid w:val="006D03D9"/>
    <w:rsid w:val="006D6526"/>
    <w:rsid w:val="006E06BE"/>
    <w:rsid w:val="006E0EFC"/>
    <w:rsid w:val="006E0F8B"/>
    <w:rsid w:val="006E674D"/>
    <w:rsid w:val="006E6770"/>
    <w:rsid w:val="006F154A"/>
    <w:rsid w:val="00701992"/>
    <w:rsid w:val="0070363C"/>
    <w:rsid w:val="00712023"/>
    <w:rsid w:val="007144E9"/>
    <w:rsid w:val="007145C9"/>
    <w:rsid w:val="00714A1F"/>
    <w:rsid w:val="00717328"/>
    <w:rsid w:val="00720309"/>
    <w:rsid w:val="0072073D"/>
    <w:rsid w:val="00741FDB"/>
    <w:rsid w:val="00742C04"/>
    <w:rsid w:val="0074571D"/>
    <w:rsid w:val="00750A05"/>
    <w:rsid w:val="00752C05"/>
    <w:rsid w:val="00761491"/>
    <w:rsid w:val="00767018"/>
    <w:rsid w:val="007710C4"/>
    <w:rsid w:val="0077196D"/>
    <w:rsid w:val="00771C92"/>
    <w:rsid w:val="00772C91"/>
    <w:rsid w:val="00784B1B"/>
    <w:rsid w:val="00795586"/>
    <w:rsid w:val="00796EB2"/>
    <w:rsid w:val="00797DA3"/>
    <w:rsid w:val="007A4844"/>
    <w:rsid w:val="007A4BE6"/>
    <w:rsid w:val="007A63D9"/>
    <w:rsid w:val="007B33CE"/>
    <w:rsid w:val="007B7B81"/>
    <w:rsid w:val="007C1429"/>
    <w:rsid w:val="007C4CC4"/>
    <w:rsid w:val="007C5441"/>
    <w:rsid w:val="007D1495"/>
    <w:rsid w:val="007D18F0"/>
    <w:rsid w:val="007D5A52"/>
    <w:rsid w:val="007D5CA1"/>
    <w:rsid w:val="007D75C8"/>
    <w:rsid w:val="007E2C66"/>
    <w:rsid w:val="007F1021"/>
    <w:rsid w:val="007F12A3"/>
    <w:rsid w:val="007F1BD3"/>
    <w:rsid w:val="007F2DBB"/>
    <w:rsid w:val="007F7E7C"/>
    <w:rsid w:val="00801725"/>
    <w:rsid w:val="00806C63"/>
    <w:rsid w:val="00806D63"/>
    <w:rsid w:val="00811278"/>
    <w:rsid w:val="00815243"/>
    <w:rsid w:val="008165D8"/>
    <w:rsid w:val="00816613"/>
    <w:rsid w:val="00821A81"/>
    <w:rsid w:val="00825F63"/>
    <w:rsid w:val="008322D8"/>
    <w:rsid w:val="00837E5B"/>
    <w:rsid w:val="00851067"/>
    <w:rsid w:val="00855329"/>
    <w:rsid w:val="00856A7C"/>
    <w:rsid w:val="0086041F"/>
    <w:rsid w:val="00860AF4"/>
    <w:rsid w:val="00872A06"/>
    <w:rsid w:val="008739E7"/>
    <w:rsid w:val="00874645"/>
    <w:rsid w:val="00881685"/>
    <w:rsid w:val="008844D9"/>
    <w:rsid w:val="00890AAA"/>
    <w:rsid w:val="00891C3A"/>
    <w:rsid w:val="00895E64"/>
    <w:rsid w:val="008A3A3B"/>
    <w:rsid w:val="008A7188"/>
    <w:rsid w:val="008B02BC"/>
    <w:rsid w:val="008C7ECD"/>
    <w:rsid w:val="008D047F"/>
    <w:rsid w:val="008E0A69"/>
    <w:rsid w:val="008E2B64"/>
    <w:rsid w:val="008E55D3"/>
    <w:rsid w:val="008F2058"/>
    <w:rsid w:val="008F3731"/>
    <w:rsid w:val="00904A2B"/>
    <w:rsid w:val="00904B69"/>
    <w:rsid w:val="009064CE"/>
    <w:rsid w:val="0090663A"/>
    <w:rsid w:val="00910AD1"/>
    <w:rsid w:val="00912233"/>
    <w:rsid w:val="009123C0"/>
    <w:rsid w:val="00914021"/>
    <w:rsid w:val="00917410"/>
    <w:rsid w:val="0092175E"/>
    <w:rsid w:val="0092334A"/>
    <w:rsid w:val="009264D0"/>
    <w:rsid w:val="0093360A"/>
    <w:rsid w:val="009358D3"/>
    <w:rsid w:val="00942902"/>
    <w:rsid w:val="00946FD1"/>
    <w:rsid w:val="00955433"/>
    <w:rsid w:val="00955764"/>
    <w:rsid w:val="00957A6F"/>
    <w:rsid w:val="00962D9D"/>
    <w:rsid w:val="009649C2"/>
    <w:rsid w:val="00965DEB"/>
    <w:rsid w:val="00966A04"/>
    <w:rsid w:val="009738DE"/>
    <w:rsid w:val="00980BEB"/>
    <w:rsid w:val="00980D94"/>
    <w:rsid w:val="00982F7B"/>
    <w:rsid w:val="009843D4"/>
    <w:rsid w:val="00986361"/>
    <w:rsid w:val="009867A7"/>
    <w:rsid w:val="0099076D"/>
    <w:rsid w:val="0099690F"/>
    <w:rsid w:val="00996D38"/>
    <w:rsid w:val="00997F89"/>
    <w:rsid w:val="009A10C6"/>
    <w:rsid w:val="009A4503"/>
    <w:rsid w:val="009A5A0F"/>
    <w:rsid w:val="009B008F"/>
    <w:rsid w:val="009B432F"/>
    <w:rsid w:val="009C2D11"/>
    <w:rsid w:val="009C3FDE"/>
    <w:rsid w:val="009C441F"/>
    <w:rsid w:val="009C4CE9"/>
    <w:rsid w:val="009E00E8"/>
    <w:rsid w:val="009E01E7"/>
    <w:rsid w:val="009F2053"/>
    <w:rsid w:val="009F209D"/>
    <w:rsid w:val="009F28F5"/>
    <w:rsid w:val="009F6AD3"/>
    <w:rsid w:val="00A06310"/>
    <w:rsid w:val="00A07846"/>
    <w:rsid w:val="00A17CA6"/>
    <w:rsid w:val="00A22C2C"/>
    <w:rsid w:val="00A22FBF"/>
    <w:rsid w:val="00A2670C"/>
    <w:rsid w:val="00A3040C"/>
    <w:rsid w:val="00A346EF"/>
    <w:rsid w:val="00A464B9"/>
    <w:rsid w:val="00A53E9E"/>
    <w:rsid w:val="00A54087"/>
    <w:rsid w:val="00A57024"/>
    <w:rsid w:val="00A61757"/>
    <w:rsid w:val="00A63939"/>
    <w:rsid w:val="00A65690"/>
    <w:rsid w:val="00A65FB0"/>
    <w:rsid w:val="00A66A23"/>
    <w:rsid w:val="00A743C6"/>
    <w:rsid w:val="00A8148C"/>
    <w:rsid w:val="00A831E7"/>
    <w:rsid w:val="00A85255"/>
    <w:rsid w:val="00A85640"/>
    <w:rsid w:val="00A91DC1"/>
    <w:rsid w:val="00A9412B"/>
    <w:rsid w:val="00AA3338"/>
    <w:rsid w:val="00AA4383"/>
    <w:rsid w:val="00AA751B"/>
    <w:rsid w:val="00AB536E"/>
    <w:rsid w:val="00AB69AD"/>
    <w:rsid w:val="00AC6877"/>
    <w:rsid w:val="00AC6B15"/>
    <w:rsid w:val="00AD2569"/>
    <w:rsid w:val="00AD4124"/>
    <w:rsid w:val="00AD7DB5"/>
    <w:rsid w:val="00AE0761"/>
    <w:rsid w:val="00AE07A3"/>
    <w:rsid w:val="00AE0E7B"/>
    <w:rsid w:val="00AE2412"/>
    <w:rsid w:val="00AE318F"/>
    <w:rsid w:val="00AF0066"/>
    <w:rsid w:val="00AF237D"/>
    <w:rsid w:val="00AF27B7"/>
    <w:rsid w:val="00AF63B5"/>
    <w:rsid w:val="00B005BD"/>
    <w:rsid w:val="00B03444"/>
    <w:rsid w:val="00B04F23"/>
    <w:rsid w:val="00B062A5"/>
    <w:rsid w:val="00B14C16"/>
    <w:rsid w:val="00B14E68"/>
    <w:rsid w:val="00B23669"/>
    <w:rsid w:val="00B24860"/>
    <w:rsid w:val="00B258C6"/>
    <w:rsid w:val="00B258D8"/>
    <w:rsid w:val="00B33789"/>
    <w:rsid w:val="00B46BC1"/>
    <w:rsid w:val="00B50080"/>
    <w:rsid w:val="00B56AFB"/>
    <w:rsid w:val="00B576A5"/>
    <w:rsid w:val="00B862DB"/>
    <w:rsid w:val="00B90D3E"/>
    <w:rsid w:val="00B91E08"/>
    <w:rsid w:val="00B922EE"/>
    <w:rsid w:val="00B9596E"/>
    <w:rsid w:val="00BA2FA0"/>
    <w:rsid w:val="00BA3D8E"/>
    <w:rsid w:val="00BA40B4"/>
    <w:rsid w:val="00BA49EB"/>
    <w:rsid w:val="00BB0F85"/>
    <w:rsid w:val="00BC0132"/>
    <w:rsid w:val="00BC0598"/>
    <w:rsid w:val="00BC6B47"/>
    <w:rsid w:val="00BD0526"/>
    <w:rsid w:val="00BD2784"/>
    <w:rsid w:val="00BD46B2"/>
    <w:rsid w:val="00BE0599"/>
    <w:rsid w:val="00BE4710"/>
    <w:rsid w:val="00BF11C6"/>
    <w:rsid w:val="00C04445"/>
    <w:rsid w:val="00C11004"/>
    <w:rsid w:val="00C111FE"/>
    <w:rsid w:val="00C1290F"/>
    <w:rsid w:val="00C1497F"/>
    <w:rsid w:val="00C20B9C"/>
    <w:rsid w:val="00C2509E"/>
    <w:rsid w:val="00C267B2"/>
    <w:rsid w:val="00C2778C"/>
    <w:rsid w:val="00C27F6A"/>
    <w:rsid w:val="00C30C14"/>
    <w:rsid w:val="00C3159C"/>
    <w:rsid w:val="00C336E5"/>
    <w:rsid w:val="00C3502E"/>
    <w:rsid w:val="00C35841"/>
    <w:rsid w:val="00C35A5C"/>
    <w:rsid w:val="00C368C2"/>
    <w:rsid w:val="00C409C6"/>
    <w:rsid w:val="00C41C74"/>
    <w:rsid w:val="00C4260E"/>
    <w:rsid w:val="00C43C76"/>
    <w:rsid w:val="00C47B63"/>
    <w:rsid w:val="00C47F8B"/>
    <w:rsid w:val="00C50567"/>
    <w:rsid w:val="00C67E73"/>
    <w:rsid w:val="00C732CF"/>
    <w:rsid w:val="00C742DD"/>
    <w:rsid w:val="00C846F6"/>
    <w:rsid w:val="00C96048"/>
    <w:rsid w:val="00C96214"/>
    <w:rsid w:val="00C96D6E"/>
    <w:rsid w:val="00C9797F"/>
    <w:rsid w:val="00C97D51"/>
    <w:rsid w:val="00CA1FB9"/>
    <w:rsid w:val="00CA490B"/>
    <w:rsid w:val="00CA73C1"/>
    <w:rsid w:val="00CA79D7"/>
    <w:rsid w:val="00CB7BE6"/>
    <w:rsid w:val="00CC02C6"/>
    <w:rsid w:val="00CC0E23"/>
    <w:rsid w:val="00CC40B9"/>
    <w:rsid w:val="00CC61EF"/>
    <w:rsid w:val="00CD7E39"/>
    <w:rsid w:val="00CE2EFB"/>
    <w:rsid w:val="00CE5A10"/>
    <w:rsid w:val="00CF2D6E"/>
    <w:rsid w:val="00CF3456"/>
    <w:rsid w:val="00D02FD8"/>
    <w:rsid w:val="00D10832"/>
    <w:rsid w:val="00D11A3A"/>
    <w:rsid w:val="00D3104C"/>
    <w:rsid w:val="00D42152"/>
    <w:rsid w:val="00D43D89"/>
    <w:rsid w:val="00D47ECE"/>
    <w:rsid w:val="00D50FDD"/>
    <w:rsid w:val="00D513E4"/>
    <w:rsid w:val="00D53B8E"/>
    <w:rsid w:val="00D564BA"/>
    <w:rsid w:val="00D56A51"/>
    <w:rsid w:val="00D602AC"/>
    <w:rsid w:val="00D70824"/>
    <w:rsid w:val="00D73C88"/>
    <w:rsid w:val="00D76068"/>
    <w:rsid w:val="00D760A9"/>
    <w:rsid w:val="00D760CF"/>
    <w:rsid w:val="00D925B8"/>
    <w:rsid w:val="00D949D0"/>
    <w:rsid w:val="00DA2788"/>
    <w:rsid w:val="00DA3B66"/>
    <w:rsid w:val="00DA4453"/>
    <w:rsid w:val="00DA4D95"/>
    <w:rsid w:val="00DA6836"/>
    <w:rsid w:val="00DA733A"/>
    <w:rsid w:val="00DB2417"/>
    <w:rsid w:val="00DC05A3"/>
    <w:rsid w:val="00DC6A0C"/>
    <w:rsid w:val="00E03DB3"/>
    <w:rsid w:val="00E04EB8"/>
    <w:rsid w:val="00E06757"/>
    <w:rsid w:val="00E1280F"/>
    <w:rsid w:val="00E178A3"/>
    <w:rsid w:val="00E17B2C"/>
    <w:rsid w:val="00E26EA1"/>
    <w:rsid w:val="00E27DEF"/>
    <w:rsid w:val="00E30081"/>
    <w:rsid w:val="00E32743"/>
    <w:rsid w:val="00E342C7"/>
    <w:rsid w:val="00E34F40"/>
    <w:rsid w:val="00E354F6"/>
    <w:rsid w:val="00E412D0"/>
    <w:rsid w:val="00E4317C"/>
    <w:rsid w:val="00E53D4C"/>
    <w:rsid w:val="00E5592C"/>
    <w:rsid w:val="00E560D3"/>
    <w:rsid w:val="00E609ED"/>
    <w:rsid w:val="00E63703"/>
    <w:rsid w:val="00E64DDC"/>
    <w:rsid w:val="00E704C6"/>
    <w:rsid w:val="00E73CF3"/>
    <w:rsid w:val="00E74140"/>
    <w:rsid w:val="00E775AC"/>
    <w:rsid w:val="00E77A47"/>
    <w:rsid w:val="00E77B98"/>
    <w:rsid w:val="00E8471E"/>
    <w:rsid w:val="00E90190"/>
    <w:rsid w:val="00E91E8C"/>
    <w:rsid w:val="00E942DA"/>
    <w:rsid w:val="00E94EF3"/>
    <w:rsid w:val="00E959E9"/>
    <w:rsid w:val="00E95E00"/>
    <w:rsid w:val="00E97167"/>
    <w:rsid w:val="00EB1611"/>
    <w:rsid w:val="00EB468A"/>
    <w:rsid w:val="00EC01E6"/>
    <w:rsid w:val="00EC3DC1"/>
    <w:rsid w:val="00EC4845"/>
    <w:rsid w:val="00EC6CC2"/>
    <w:rsid w:val="00ED1C27"/>
    <w:rsid w:val="00ED3D73"/>
    <w:rsid w:val="00ED3FA6"/>
    <w:rsid w:val="00ED5CDF"/>
    <w:rsid w:val="00ED6DCA"/>
    <w:rsid w:val="00EE459A"/>
    <w:rsid w:val="00EF010E"/>
    <w:rsid w:val="00EF0944"/>
    <w:rsid w:val="00EF3D79"/>
    <w:rsid w:val="00EF7BE7"/>
    <w:rsid w:val="00F0234A"/>
    <w:rsid w:val="00F0280E"/>
    <w:rsid w:val="00F05141"/>
    <w:rsid w:val="00F07267"/>
    <w:rsid w:val="00F159E2"/>
    <w:rsid w:val="00F167CB"/>
    <w:rsid w:val="00F16AA1"/>
    <w:rsid w:val="00F2164E"/>
    <w:rsid w:val="00F22F9A"/>
    <w:rsid w:val="00F240EB"/>
    <w:rsid w:val="00F24B1D"/>
    <w:rsid w:val="00F315FE"/>
    <w:rsid w:val="00F31FE6"/>
    <w:rsid w:val="00F40B12"/>
    <w:rsid w:val="00F42131"/>
    <w:rsid w:val="00F45BB8"/>
    <w:rsid w:val="00F53F80"/>
    <w:rsid w:val="00F5697E"/>
    <w:rsid w:val="00F57625"/>
    <w:rsid w:val="00F673A2"/>
    <w:rsid w:val="00F67B89"/>
    <w:rsid w:val="00F71A10"/>
    <w:rsid w:val="00F72A3E"/>
    <w:rsid w:val="00F74B67"/>
    <w:rsid w:val="00F7577B"/>
    <w:rsid w:val="00F8199A"/>
    <w:rsid w:val="00F8348D"/>
    <w:rsid w:val="00F86352"/>
    <w:rsid w:val="00F91726"/>
    <w:rsid w:val="00FB3B53"/>
    <w:rsid w:val="00FB551B"/>
    <w:rsid w:val="00FC0EF4"/>
    <w:rsid w:val="00FC2947"/>
    <w:rsid w:val="00FC69D9"/>
    <w:rsid w:val="00FD28C1"/>
    <w:rsid w:val="00FD7412"/>
    <w:rsid w:val="00FE2C12"/>
    <w:rsid w:val="00FE7EF3"/>
    <w:rsid w:val="00FF1703"/>
    <w:rsid w:val="00FF1EF9"/>
    <w:rsid w:val="00FF2F4D"/>
    <w:rsid w:val="00FF3E3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16181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6181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1402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5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52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526"/>
    <w:rPr>
      <w:rFonts w:asciiTheme="minorHAnsi" w:eastAsiaTheme="minorHAnsi" w:hAnsiTheme="minorHAnsi" w:cstheme="minorBidi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465A6E"/>
    <w:pPr>
      <w:ind w:left="720"/>
      <w:contextualSpacing/>
    </w:pPr>
  </w:style>
  <w:style w:type="paragraph" w:styleId="berarbeitung">
    <w:name w:val="Revision"/>
    <w:hidden/>
    <w:uiPriority w:val="99"/>
    <w:semiHidden/>
    <w:rsid w:val="00910A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rmanpropertypartner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rmanpropertypartners.de/de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463B-AC9A-4AA9-9449-3D87FA4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Katharina Koester</cp:lastModifiedBy>
  <cp:revision>2</cp:revision>
  <cp:lastPrinted>2022-03-30T15:12:00Z</cp:lastPrinted>
  <dcterms:created xsi:type="dcterms:W3CDTF">2024-01-02T12:07:00Z</dcterms:created>
  <dcterms:modified xsi:type="dcterms:W3CDTF">2024-01-02T12:07:00Z</dcterms:modified>
</cp:coreProperties>
</file>