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E728" w14:textId="69338025" w:rsidR="00CA79D7" w:rsidRPr="006456EA" w:rsidRDefault="00161817" w:rsidP="00CA79D7">
      <w:pPr>
        <w:pStyle w:val="EinfAbs"/>
        <w:tabs>
          <w:tab w:val="left" w:pos="200"/>
        </w:tabs>
        <w:rPr>
          <w:rFonts w:ascii="Source Sans Pro" w:hAnsi="Source Sans Pro" w:cs="Source Sans Pro"/>
          <w:caps/>
          <w:color w:val="0086A8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top-7-investment</w:t>
      </w:r>
      <w:r w:rsidR="000021F4">
        <w:rPr>
          <w:rFonts w:ascii="Source Sans Pro" w:hAnsi="Source Sans Pro" w:cs="Source Sans Pro"/>
          <w:caps/>
          <w:color w:val="0086A8"/>
          <w:sz w:val="22"/>
          <w:szCs w:val="22"/>
        </w:rPr>
        <w:t>märkte Q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>1</w:t>
      </w:r>
      <w:r w:rsidR="001550FE">
        <w:rPr>
          <w:rFonts w:ascii="Source Sans Pro" w:hAnsi="Source Sans Pro" w:cs="Source Sans Pro"/>
          <w:caps/>
          <w:color w:val="0086A8"/>
          <w:sz w:val="22"/>
          <w:szCs w:val="22"/>
        </w:rPr>
        <w:t>/202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>2</w:t>
      </w:r>
      <w:r w:rsidR="00CA79D7" w:rsidRPr="006456E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7C2D2599" w14:textId="6AB3C873" w:rsidR="00CA79D7" w:rsidRDefault="00D949D0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  <w:r>
        <w:rPr>
          <w:rFonts w:ascii="Source Sans Pro" w:hAnsi="Source Sans Pro" w:cs="Source Sans Pro"/>
          <w:sz w:val="36"/>
          <w:szCs w:val="36"/>
        </w:rPr>
        <w:t>Transaktionsvolumen auf neuem Höchststand</w:t>
      </w:r>
    </w:p>
    <w:p w14:paraId="743073FD" w14:textId="77777777" w:rsidR="003152C9" w:rsidRDefault="003152C9" w:rsidP="003152C9">
      <w:pPr>
        <w:pStyle w:val="EinfAbs"/>
        <w:tabs>
          <w:tab w:val="left" w:pos="200"/>
        </w:tabs>
        <w:spacing w:line="440" w:lineRule="exact"/>
        <w:rPr>
          <w:rFonts w:ascii="Source Sans Pro" w:hAnsi="Source Sans Pro" w:cs="Source Sans Pro"/>
          <w:sz w:val="36"/>
          <w:szCs w:val="36"/>
        </w:rPr>
      </w:pPr>
    </w:p>
    <w:p w14:paraId="5647083E" w14:textId="4DAC4773" w:rsidR="00CA79D7" w:rsidRPr="00CA79D7" w:rsidRDefault="00966A04" w:rsidP="00CA79D7">
      <w:pPr>
        <w:pStyle w:val="EinfAbs"/>
        <w:tabs>
          <w:tab w:val="left" w:pos="200"/>
        </w:tabs>
        <w:rPr>
          <w:rFonts w:ascii="Source Sans Pro" w:hAnsi="Source Sans Pro" w:cs="Source Sans Pro"/>
          <w:color w:val="0086A8"/>
          <w:sz w:val="22"/>
          <w:szCs w:val="22"/>
        </w:rPr>
      </w:pPr>
      <w:r w:rsidRPr="00966A04">
        <w:rPr>
          <w:rFonts w:ascii="Source Sans Pro" w:hAnsi="Source Sans Pro" w:cs="Source Sans Pro"/>
          <w:noProof/>
          <w:color w:val="0086A8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1D0C1328" wp14:editId="71A7CE8F">
            <wp:simplePos x="825690" y="2388358"/>
            <wp:positionH relativeFrom="column">
              <wp:align>left</wp:align>
            </wp:positionH>
            <wp:positionV relativeFrom="paragraph">
              <wp:align>top</wp:align>
            </wp:positionV>
            <wp:extent cx="4625920" cy="2597345"/>
            <wp:effectExtent l="0" t="0" r="3810" b="0"/>
            <wp:wrapSquare wrapText="bothSides"/>
            <wp:docPr id="2" name="Grafik 2" descr="Y:\Research und Presse\_intern\1_GPP\GPP-Pressemitteilungen\PM Büro Invest 2022_Q1\Investment\GPP_TAV_PM_2022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Research und Presse\_intern\1_GPP\GPP-Pressemitteilungen\PM Büro Invest 2022_Q1\Investment\GPP_TAV_PM_2022Q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20" cy="259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E5673">
        <w:rPr>
          <w:rFonts w:ascii="Source Sans Pro" w:hAnsi="Source Sans Pro" w:cs="Source Sans Pro"/>
          <w:color w:val="0086A8"/>
          <w:sz w:val="22"/>
          <w:szCs w:val="22"/>
        </w:rPr>
        <w:br w:type="textWrapping" w:clear="all"/>
      </w:r>
    </w:p>
    <w:p w14:paraId="1DE5BFC8" w14:textId="77777777" w:rsidR="00904B69" w:rsidRDefault="00904B69" w:rsidP="00904B69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olor w:val="0086A8"/>
          <w:sz w:val="22"/>
          <w:szCs w:val="22"/>
        </w:rPr>
      </w:pPr>
    </w:p>
    <w:p w14:paraId="61D50AD8" w14:textId="1428A669" w:rsidR="00895E64" w:rsidRDefault="00F40B12" w:rsidP="00895E64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olor w:val="0086A8"/>
          <w:sz w:val="22"/>
          <w:szCs w:val="22"/>
        </w:rPr>
        <w:t>04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 xml:space="preserve">. </w:t>
      </w:r>
      <w:r>
        <w:rPr>
          <w:rFonts w:ascii="Source Sans Pro" w:hAnsi="Source Sans Pro" w:cs="Source Sans Pro"/>
          <w:color w:val="0087A8"/>
          <w:sz w:val="22"/>
          <w:szCs w:val="22"/>
        </w:rPr>
        <w:t>April</w:t>
      </w:r>
      <w:r w:rsidR="000021F4">
        <w:rPr>
          <w:rFonts w:ascii="Source Sans Pro" w:hAnsi="Source Sans Pro" w:cs="Source Sans Pro"/>
          <w:color w:val="0087A8"/>
          <w:sz w:val="22"/>
          <w:szCs w:val="22"/>
        </w:rPr>
        <w:t xml:space="preserve"> 2022</w:t>
      </w:r>
      <w:r w:rsidR="007D5A52" w:rsidRPr="006456EA">
        <w:rPr>
          <w:rFonts w:ascii="Source Sans Pro" w:hAnsi="Source Sans Pro" w:cs="Source Sans Pro"/>
          <w:color w:val="0087A8"/>
          <w:sz w:val="22"/>
          <w:szCs w:val="22"/>
        </w:rPr>
        <w:t>, Hamburg.</w:t>
      </w:r>
      <w:r w:rsidR="007D5A52">
        <w:rPr>
          <w:rFonts w:ascii="Source Sans Pro" w:hAnsi="Source Sans Pro" w:cs="Source Sans Pro"/>
          <w:color w:val="0086A8"/>
          <w:sz w:val="22"/>
          <w:szCs w:val="22"/>
        </w:rPr>
        <w:t xml:space="preserve"> </w:t>
      </w:r>
      <w:r w:rsidR="00D949D0" w:rsidRPr="00D949D0">
        <w:rPr>
          <w:rFonts w:ascii="Source Sans Pro" w:hAnsi="Source Sans Pro" w:cs="Source Sans Pro"/>
          <w:color w:val="auto"/>
          <w:sz w:val="22"/>
          <w:szCs w:val="22"/>
        </w:rPr>
        <w:t xml:space="preserve">Noch nie zuvor war das Transaktionsvolumen (TAV) </w:t>
      </w:r>
      <w:r w:rsidR="00D949D0">
        <w:rPr>
          <w:rFonts w:ascii="Source Sans Pro" w:hAnsi="Source Sans Pro" w:cs="Source Sans Pro"/>
          <w:color w:val="auto"/>
          <w:sz w:val="22"/>
          <w:szCs w:val="22"/>
        </w:rPr>
        <w:t xml:space="preserve">auf den </w:t>
      </w:r>
      <w:r w:rsidR="00E30081" w:rsidRPr="00E30081">
        <w:rPr>
          <w:rFonts w:ascii="Source Sans Pro" w:hAnsi="Source Sans Pro" w:cs="Arial"/>
          <w:bCs/>
          <w:sz w:val="22"/>
          <w:szCs w:val="22"/>
        </w:rPr>
        <w:t>Märkte</w:t>
      </w:r>
      <w:r w:rsidR="00D949D0">
        <w:rPr>
          <w:rFonts w:ascii="Source Sans Pro" w:hAnsi="Source Sans Pro" w:cs="Arial"/>
          <w:bCs/>
          <w:sz w:val="22"/>
          <w:szCs w:val="22"/>
        </w:rPr>
        <w:t>n</w:t>
      </w:r>
      <w:r w:rsidR="00E30081" w:rsidRPr="00E30081">
        <w:rPr>
          <w:rFonts w:ascii="Source Sans Pro" w:hAnsi="Source Sans Pro" w:cs="Arial"/>
          <w:bCs/>
          <w:sz w:val="22"/>
          <w:szCs w:val="22"/>
        </w:rPr>
        <w:t xml:space="preserve"> für gewerbliche Immobilieninvestments an den deutschen Top-7-Standorten</w:t>
      </w:r>
      <w:r w:rsidR="00BD46B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D949D0">
        <w:rPr>
          <w:rFonts w:ascii="Source Sans Pro" w:hAnsi="Source Sans Pro" w:cs="Arial"/>
          <w:bCs/>
          <w:sz w:val="22"/>
          <w:szCs w:val="22"/>
        </w:rPr>
        <w:t xml:space="preserve">zum Ende eines 1. Quartals so hoch wie dieses Jahr. </w:t>
      </w:r>
      <w:r w:rsidR="00BD46B2" w:rsidRPr="00BD46B2">
        <w:rPr>
          <w:rFonts w:ascii="Source Sans Pro" w:hAnsi="Source Sans Pro" w:cs="Arial"/>
          <w:bCs/>
          <w:sz w:val="22"/>
          <w:szCs w:val="22"/>
        </w:rPr>
        <w:t xml:space="preserve">Nach Berechnungen von German Property Partners (GPP) belief </w:t>
      </w:r>
      <w:r w:rsidR="00D949D0">
        <w:rPr>
          <w:rFonts w:ascii="Source Sans Pro" w:hAnsi="Source Sans Pro" w:cs="Arial"/>
          <w:bCs/>
          <w:sz w:val="22"/>
          <w:szCs w:val="22"/>
        </w:rPr>
        <w:t xml:space="preserve">es sich </w:t>
      </w:r>
      <w:r w:rsidR="00BD46B2" w:rsidRPr="00BD46B2">
        <w:rPr>
          <w:rFonts w:ascii="Source Sans Pro" w:hAnsi="Source Sans Pro" w:cs="Arial"/>
          <w:bCs/>
          <w:sz w:val="22"/>
          <w:szCs w:val="22"/>
        </w:rPr>
        <w:t>auf rund</w:t>
      </w:r>
      <w:r w:rsidR="00BD46B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D949D0">
        <w:rPr>
          <w:rFonts w:ascii="Source Sans Pro" w:hAnsi="Source Sans Pro" w:cs="Arial"/>
          <w:bCs/>
          <w:sz w:val="22"/>
          <w:szCs w:val="22"/>
        </w:rPr>
        <w:t>9,</w:t>
      </w:r>
      <w:r w:rsidR="00EC4845">
        <w:rPr>
          <w:rFonts w:ascii="Source Sans Pro" w:hAnsi="Source Sans Pro" w:cs="Arial"/>
          <w:bCs/>
          <w:sz w:val="22"/>
          <w:szCs w:val="22"/>
        </w:rPr>
        <w:t>4</w:t>
      </w:r>
      <w:r w:rsidR="00BD46B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BD46B2" w:rsidRPr="00BD46B2">
        <w:rPr>
          <w:rFonts w:ascii="Source Sans Pro" w:hAnsi="Source Sans Pro" w:cs="Arial"/>
          <w:bCs/>
          <w:sz w:val="22"/>
          <w:szCs w:val="22"/>
        </w:rPr>
        <w:t xml:space="preserve">Mrd. €. </w:t>
      </w:r>
      <w:r w:rsidR="00BD46B2">
        <w:rPr>
          <w:rFonts w:ascii="Source Sans Pro" w:hAnsi="Source Sans Pro" w:cs="Arial"/>
          <w:bCs/>
          <w:sz w:val="22"/>
          <w:szCs w:val="22"/>
        </w:rPr>
        <w:t xml:space="preserve">Dies bedeutet einen Anstieg um </w:t>
      </w:r>
      <w:r w:rsidR="00D949D0">
        <w:rPr>
          <w:rFonts w:ascii="Source Sans Pro" w:hAnsi="Source Sans Pro" w:cs="Arial"/>
          <w:bCs/>
          <w:sz w:val="22"/>
          <w:szCs w:val="22"/>
        </w:rPr>
        <w:t>17</w:t>
      </w:r>
      <w:r w:rsidR="00EC4845">
        <w:rPr>
          <w:rFonts w:ascii="Source Sans Pro" w:hAnsi="Source Sans Pro" w:cs="Arial"/>
          <w:bCs/>
          <w:sz w:val="22"/>
          <w:szCs w:val="22"/>
        </w:rPr>
        <w:t>2</w:t>
      </w:r>
      <w:r w:rsidR="00BD46B2" w:rsidRPr="00BD46B2">
        <w:rPr>
          <w:rFonts w:ascii="Source Sans Pro" w:hAnsi="Source Sans Pro" w:cs="Arial"/>
          <w:bCs/>
          <w:sz w:val="22"/>
          <w:szCs w:val="22"/>
        </w:rPr>
        <w:t xml:space="preserve"> % gegenüber dem </w:t>
      </w:r>
      <w:r w:rsidR="00BD46B2">
        <w:rPr>
          <w:rFonts w:ascii="Source Sans Pro" w:hAnsi="Source Sans Pro" w:cs="Arial"/>
          <w:bCs/>
          <w:sz w:val="22"/>
          <w:szCs w:val="22"/>
        </w:rPr>
        <w:t>historisch niedrigen</w:t>
      </w:r>
      <w:r w:rsidR="00BD46B2" w:rsidRPr="00BD46B2">
        <w:rPr>
          <w:rFonts w:ascii="Source Sans Pro" w:hAnsi="Source Sans Pro" w:cs="Arial"/>
          <w:bCs/>
          <w:sz w:val="22"/>
          <w:szCs w:val="22"/>
        </w:rPr>
        <w:t xml:space="preserve"> Vorjahres</w:t>
      </w:r>
      <w:r w:rsidR="00BD46B2">
        <w:rPr>
          <w:rFonts w:ascii="Source Sans Pro" w:hAnsi="Source Sans Pro" w:cs="Arial"/>
          <w:bCs/>
          <w:sz w:val="22"/>
          <w:szCs w:val="22"/>
        </w:rPr>
        <w:t>quartal</w:t>
      </w:r>
      <w:r w:rsidR="00895E64">
        <w:rPr>
          <w:rFonts w:ascii="Source Sans Pro" w:hAnsi="Source Sans Pro" w:cs="Arial"/>
          <w:bCs/>
          <w:sz w:val="22"/>
          <w:szCs w:val="22"/>
        </w:rPr>
        <w:t xml:space="preserve"> und liegt deutlich über dem bisherigen Höchststand von 2007 (mit rund 8 Mrd. €)</w:t>
      </w:r>
      <w:r w:rsidR="00BD46B2" w:rsidRPr="00BD46B2">
        <w:rPr>
          <w:rFonts w:ascii="Source Sans Pro" w:hAnsi="Source Sans Pro" w:cs="Arial"/>
          <w:bCs/>
          <w:sz w:val="22"/>
          <w:szCs w:val="22"/>
        </w:rPr>
        <w:t>.</w:t>
      </w:r>
      <w:r w:rsidR="00BD46B2">
        <w:rPr>
          <w:rFonts w:ascii="Source Sans Pro" w:hAnsi="Source Sans Pro" w:cs="Arial"/>
          <w:bCs/>
          <w:sz w:val="22"/>
          <w:szCs w:val="22"/>
        </w:rPr>
        <w:t xml:space="preserve"> </w:t>
      </w:r>
      <w:r w:rsidR="00D949D0" w:rsidRPr="00895E64">
        <w:rPr>
          <w:rFonts w:ascii="Source Sans Pro" w:hAnsi="Source Sans Pro" w:cs="Arial"/>
          <w:bCs/>
          <w:i/>
          <w:sz w:val="22"/>
          <w:szCs w:val="22"/>
        </w:rPr>
        <w:t xml:space="preserve">„Das Rekordergebnis ist </w:t>
      </w:r>
      <w:r w:rsidR="00895E64" w:rsidRPr="00895E64">
        <w:rPr>
          <w:rFonts w:ascii="Source Sans Pro" w:hAnsi="Source Sans Pro" w:cs="Arial"/>
          <w:bCs/>
          <w:i/>
          <w:sz w:val="22"/>
          <w:szCs w:val="22"/>
        </w:rPr>
        <w:t xml:space="preserve">maßgeblich auf die großvolumige Übernahme </w:t>
      </w:r>
      <w:r w:rsidR="00C47B63">
        <w:rPr>
          <w:rFonts w:ascii="Source Sans Pro" w:hAnsi="Source Sans Pro" w:cs="Arial"/>
          <w:bCs/>
          <w:i/>
          <w:sz w:val="22"/>
          <w:szCs w:val="22"/>
        </w:rPr>
        <w:t>von</w:t>
      </w:r>
      <w:r w:rsidR="00895E64" w:rsidRPr="00895E64">
        <w:rPr>
          <w:rFonts w:ascii="Source Sans Pro" w:hAnsi="Source Sans Pro" w:cs="Arial"/>
          <w:bCs/>
          <w:i/>
          <w:sz w:val="22"/>
          <w:szCs w:val="22"/>
        </w:rPr>
        <w:t xml:space="preserve"> </w:t>
      </w:r>
      <w:proofErr w:type="spellStart"/>
      <w:r w:rsidR="00C47B63">
        <w:rPr>
          <w:rFonts w:ascii="Source Sans Pro" w:hAnsi="Source Sans Pro" w:cs="Arial"/>
          <w:bCs/>
          <w:i/>
          <w:sz w:val="22"/>
          <w:szCs w:val="22"/>
        </w:rPr>
        <w:t>a</w:t>
      </w:r>
      <w:r w:rsidR="00895E64" w:rsidRPr="00895E64">
        <w:rPr>
          <w:rFonts w:ascii="Source Sans Pro" w:hAnsi="Source Sans Pro" w:cs="Arial"/>
          <w:bCs/>
          <w:i/>
          <w:sz w:val="22"/>
          <w:szCs w:val="22"/>
        </w:rPr>
        <w:t>lstria</w:t>
      </w:r>
      <w:proofErr w:type="spellEnd"/>
      <w:r w:rsidR="00895E64" w:rsidRPr="00895E64">
        <w:rPr>
          <w:rFonts w:ascii="Source Sans Pro" w:hAnsi="Source Sans Pro" w:cs="Arial"/>
          <w:bCs/>
          <w:i/>
          <w:sz w:val="22"/>
          <w:szCs w:val="22"/>
        </w:rPr>
        <w:t xml:space="preserve"> durch </w:t>
      </w:r>
      <w:proofErr w:type="spellStart"/>
      <w:r w:rsidR="00895E64" w:rsidRPr="00895E64">
        <w:rPr>
          <w:rFonts w:ascii="Source Sans Pro" w:hAnsi="Source Sans Pro" w:cs="Arial"/>
          <w:bCs/>
          <w:i/>
          <w:sz w:val="22"/>
          <w:szCs w:val="22"/>
        </w:rPr>
        <w:t>Brookfield</w:t>
      </w:r>
      <w:proofErr w:type="spellEnd"/>
      <w:r w:rsidR="00C47B63">
        <w:rPr>
          <w:rFonts w:ascii="Source Sans Pro" w:hAnsi="Source Sans Pro" w:cs="Arial"/>
          <w:bCs/>
          <w:i/>
          <w:sz w:val="22"/>
          <w:szCs w:val="22"/>
        </w:rPr>
        <w:t xml:space="preserve"> </w:t>
      </w:r>
      <w:r w:rsidR="00E26EA1" w:rsidRPr="00E26EA1">
        <w:rPr>
          <w:rFonts w:ascii="Source Sans Pro" w:hAnsi="Source Sans Pro" w:cs="Arial"/>
          <w:bCs/>
          <w:i/>
          <w:sz w:val="22"/>
          <w:szCs w:val="22"/>
        </w:rPr>
        <w:t xml:space="preserve">mit </w:t>
      </w:r>
      <w:r w:rsidR="00E26EA1">
        <w:rPr>
          <w:rFonts w:ascii="Source Sans Pro" w:hAnsi="Source Sans Pro" w:cs="Arial"/>
          <w:bCs/>
          <w:i/>
          <w:sz w:val="22"/>
          <w:szCs w:val="22"/>
        </w:rPr>
        <w:t>zahlreich</w:t>
      </w:r>
      <w:r w:rsidR="00E26EA1" w:rsidRPr="00E26EA1">
        <w:rPr>
          <w:rFonts w:ascii="Source Sans Pro" w:hAnsi="Source Sans Pro" w:cs="Arial"/>
          <w:bCs/>
          <w:i/>
          <w:sz w:val="22"/>
          <w:szCs w:val="22"/>
        </w:rPr>
        <w:t xml:space="preserve">en Immobilien deutschlandweit </w:t>
      </w:r>
      <w:r w:rsidR="00895E64" w:rsidRPr="00895E64">
        <w:rPr>
          <w:rFonts w:ascii="Source Sans Pro" w:hAnsi="Source Sans Pro" w:cs="Arial"/>
          <w:bCs/>
          <w:i/>
          <w:sz w:val="22"/>
          <w:szCs w:val="22"/>
        </w:rPr>
        <w:t xml:space="preserve">zurückzuführen und </w:t>
      </w:r>
      <w:r w:rsidR="00D949D0" w:rsidRPr="00895E64">
        <w:rPr>
          <w:rFonts w:ascii="Source Sans Pro" w:hAnsi="Source Sans Pro" w:cs="Arial"/>
          <w:bCs/>
          <w:i/>
          <w:sz w:val="22"/>
          <w:szCs w:val="22"/>
        </w:rPr>
        <w:t>entspricht nicht dem tatsächlichen Marktgeschehen</w:t>
      </w:r>
      <w:r w:rsidR="00895E64" w:rsidRPr="00895E64">
        <w:rPr>
          <w:rFonts w:ascii="Source Sans Pro" w:hAnsi="Source Sans Pro" w:cs="Arial"/>
          <w:bCs/>
          <w:i/>
          <w:sz w:val="22"/>
          <w:szCs w:val="22"/>
        </w:rPr>
        <w:t>“</w:t>
      </w:r>
      <w:r w:rsidR="00895E64">
        <w:rPr>
          <w:rFonts w:ascii="Source Sans Pro" w:hAnsi="Source Sans Pro" w:cs="Arial"/>
          <w:bCs/>
          <w:sz w:val="22"/>
          <w:szCs w:val="22"/>
        </w:rPr>
        <w:t xml:space="preserve">, </w:t>
      </w:r>
      <w:r w:rsidR="003B63A8">
        <w:rPr>
          <w:rFonts w:ascii="Source Sans Pro" w:hAnsi="Source Sans Pro" w:cs="Arial"/>
          <w:bCs/>
          <w:sz w:val="22"/>
          <w:szCs w:val="22"/>
        </w:rPr>
        <w:t>ordne</w:t>
      </w:r>
      <w:r w:rsidR="00895E64">
        <w:rPr>
          <w:rFonts w:ascii="Source Sans Pro" w:hAnsi="Source Sans Pro" w:cs="Arial"/>
          <w:bCs/>
          <w:sz w:val="22"/>
          <w:szCs w:val="22"/>
        </w:rPr>
        <w:t xml:space="preserve">t GPP-Sprecher </w:t>
      </w:r>
      <w:r w:rsidR="00895E64" w:rsidRPr="0041188F">
        <w:rPr>
          <w:rFonts w:ascii="Source Sans Pro" w:hAnsi="Source Sans Pro" w:cs="Source Sans Pro"/>
          <w:b/>
          <w:sz w:val="22"/>
          <w:szCs w:val="22"/>
        </w:rPr>
        <w:t>Andreas Rehberg</w:t>
      </w:r>
      <w:r w:rsidR="00895E64">
        <w:rPr>
          <w:rFonts w:ascii="Source Sans Pro" w:hAnsi="Source Sans Pro" w:cs="Source Sans Pro"/>
          <w:b/>
          <w:sz w:val="22"/>
          <w:szCs w:val="22"/>
        </w:rPr>
        <w:t xml:space="preserve"> </w:t>
      </w:r>
      <w:r w:rsidR="003B63A8" w:rsidRPr="003B63A8">
        <w:rPr>
          <w:rFonts w:ascii="Source Sans Pro" w:hAnsi="Source Sans Pro" w:cs="Source Sans Pro"/>
          <w:sz w:val="22"/>
          <w:szCs w:val="22"/>
        </w:rPr>
        <w:t xml:space="preserve">ein. </w:t>
      </w:r>
      <w:r w:rsidR="00895E64" w:rsidRPr="003B63A8">
        <w:rPr>
          <w:rFonts w:ascii="Source Sans Pro" w:hAnsi="Source Sans Pro" w:cs="Source Sans Pro"/>
          <w:sz w:val="22"/>
          <w:szCs w:val="22"/>
        </w:rPr>
        <w:t>Zu</w:t>
      </w:r>
      <w:r w:rsidR="00895E64" w:rsidRPr="00EB1611">
        <w:rPr>
          <w:rFonts w:ascii="Source Sans Pro" w:hAnsi="Source Sans Pro" w:cs="Source Sans Pro"/>
          <w:sz w:val="22"/>
          <w:szCs w:val="22"/>
        </w:rPr>
        <w:t xml:space="preserve"> dem Gewerbeimmobiliennetzwerk gehören </w:t>
      </w:r>
      <w:r w:rsidR="00895E64" w:rsidRPr="00EB1611">
        <w:rPr>
          <w:rFonts w:ascii="Source Sans Pro" w:hAnsi="Source Sans Pro" w:cs="Arial"/>
          <w:bCs/>
          <w:sz w:val="22"/>
          <w:szCs w:val="22"/>
        </w:rPr>
        <w:t xml:space="preserve">Grossmann &amp; Berger, </w:t>
      </w:r>
      <w:proofErr w:type="spellStart"/>
      <w:r w:rsidR="00895E64" w:rsidRPr="00EB1611">
        <w:rPr>
          <w:rFonts w:ascii="Source Sans Pro" w:hAnsi="Source Sans Pro" w:cs="Arial"/>
          <w:bCs/>
          <w:sz w:val="22"/>
          <w:szCs w:val="22"/>
        </w:rPr>
        <w:t>Anteon</w:t>
      </w:r>
      <w:proofErr w:type="spellEnd"/>
      <w:r w:rsidR="00895E64" w:rsidRPr="00EB1611">
        <w:rPr>
          <w:rFonts w:ascii="Source Sans Pro" w:hAnsi="Source Sans Pro" w:cs="Arial"/>
          <w:bCs/>
          <w:sz w:val="22"/>
          <w:szCs w:val="22"/>
        </w:rPr>
        <w:t xml:space="preserve"> Immobilien, GREIF &amp; CONTZEN Immobilien, </w:t>
      </w:r>
      <w:proofErr w:type="spellStart"/>
      <w:r w:rsidR="00895E64" w:rsidRPr="00EB1611">
        <w:rPr>
          <w:rFonts w:ascii="Source Sans Pro" w:hAnsi="Source Sans Pro" w:cs="Arial"/>
          <w:bCs/>
          <w:sz w:val="22"/>
          <w:szCs w:val="22"/>
        </w:rPr>
        <w:t>b</w:t>
      </w:r>
      <w:r w:rsidR="00895E64">
        <w:rPr>
          <w:rFonts w:ascii="Source Sans Pro" w:hAnsi="Source Sans Pro" w:cs="Arial"/>
          <w:bCs/>
          <w:sz w:val="22"/>
          <w:szCs w:val="22"/>
        </w:rPr>
        <w:t>lackolive</w:t>
      </w:r>
      <w:proofErr w:type="spellEnd"/>
      <w:r w:rsidR="00895E64">
        <w:rPr>
          <w:rFonts w:ascii="Source Sans Pro" w:hAnsi="Source Sans Pro" w:cs="Arial"/>
          <w:bCs/>
          <w:sz w:val="22"/>
          <w:szCs w:val="22"/>
        </w:rPr>
        <w:t xml:space="preserve"> und E &amp; G Real Estate.</w:t>
      </w:r>
    </w:p>
    <w:p w14:paraId="0423D186" w14:textId="63951E08" w:rsidR="00895E64" w:rsidRDefault="00895E64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</w:p>
    <w:p w14:paraId="0E4CB111" w14:textId="03703EBF" w:rsidR="00A85640" w:rsidRPr="00895E64" w:rsidRDefault="00A85640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Arial"/>
          <w:bCs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>Alstria-Übernahme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  <w:r>
        <w:rPr>
          <w:rFonts w:ascii="Source Sans Pro" w:hAnsi="Source Sans Pro" w:cs="Source Sans Pro"/>
          <w:caps/>
          <w:color w:val="0086A8"/>
          <w:sz w:val="22"/>
          <w:szCs w:val="22"/>
        </w:rPr>
        <w:t>befeuert</w:t>
      </w:r>
      <w:r w:rsidR="00F40B12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TAV</w:t>
      </w:r>
      <w:r w:rsidR="00D11A3A"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 </w:t>
      </w:r>
    </w:p>
    <w:p w14:paraId="02537254" w14:textId="3DDB442E" w:rsidR="001C32DB" w:rsidRPr="00E53D4C" w:rsidRDefault="003B63A8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Im </w:t>
      </w:r>
      <w:r w:rsidR="00837E5B">
        <w:rPr>
          <w:rFonts w:ascii="Source Sans Pro" w:hAnsi="Source Sans Pro" w:cs="Source Sans Pro"/>
          <w:sz w:val="22"/>
          <w:szCs w:val="22"/>
        </w:rPr>
        <w:t xml:space="preserve">1. </w:t>
      </w:r>
      <w:r>
        <w:rPr>
          <w:rFonts w:ascii="Source Sans Pro" w:hAnsi="Source Sans Pro" w:cs="Source Sans Pro"/>
          <w:sz w:val="22"/>
          <w:szCs w:val="22"/>
        </w:rPr>
        <w:t>Quartal</w:t>
      </w:r>
      <w:r w:rsidR="00D11A3A">
        <w:rPr>
          <w:rFonts w:ascii="Source Sans Pro" w:hAnsi="Source Sans Pro" w:cs="Source Sans Pro"/>
          <w:sz w:val="22"/>
          <w:szCs w:val="22"/>
        </w:rPr>
        <w:t xml:space="preserve"> führte die </w:t>
      </w:r>
      <w:r w:rsidR="00BA2FA0">
        <w:rPr>
          <w:rFonts w:ascii="Source Sans Pro" w:hAnsi="Source Sans Pro" w:cs="Source Sans Pro"/>
          <w:sz w:val="22"/>
          <w:szCs w:val="22"/>
        </w:rPr>
        <w:t xml:space="preserve">genannte </w:t>
      </w:r>
      <w:r w:rsidR="00E53D4C">
        <w:rPr>
          <w:rFonts w:ascii="Source Sans Pro" w:hAnsi="Source Sans Pro" w:cs="Source Sans Pro"/>
          <w:sz w:val="22"/>
          <w:szCs w:val="22"/>
        </w:rPr>
        <w:t>Ü</w:t>
      </w:r>
      <w:r w:rsidR="00A85640">
        <w:rPr>
          <w:rFonts w:ascii="Source Sans Pro" w:hAnsi="Source Sans Pro" w:cs="Source Sans Pro"/>
          <w:sz w:val="22"/>
          <w:szCs w:val="22"/>
        </w:rPr>
        <w:t>bernahme des</w:t>
      </w:r>
      <w:r w:rsidR="00A85640" w:rsidRPr="00A85640">
        <w:rPr>
          <w:rFonts w:ascii="Source Sans Pro" w:hAnsi="Source Sans Pro" w:cs="Source Sans Pro"/>
          <w:sz w:val="22"/>
          <w:szCs w:val="22"/>
        </w:rPr>
        <w:t xml:space="preserve"> </w:t>
      </w:r>
      <w:r w:rsidR="00A85640">
        <w:rPr>
          <w:rFonts w:ascii="Source Sans Pro" w:hAnsi="Source Sans Pro" w:cs="Source Sans Pro"/>
          <w:sz w:val="22"/>
          <w:szCs w:val="22"/>
        </w:rPr>
        <w:t xml:space="preserve">in Hamburg ansässigen Büroimmobilienmanagers </w:t>
      </w:r>
      <w:proofErr w:type="spellStart"/>
      <w:r w:rsidR="00C47B63">
        <w:rPr>
          <w:rFonts w:ascii="Source Sans Pro" w:hAnsi="Source Sans Pro" w:cs="Source Sans Pro"/>
          <w:sz w:val="22"/>
          <w:szCs w:val="22"/>
        </w:rPr>
        <w:t>a</w:t>
      </w:r>
      <w:r w:rsidR="00A85640" w:rsidRPr="00A85640">
        <w:rPr>
          <w:rFonts w:ascii="Source Sans Pro" w:hAnsi="Source Sans Pro" w:cs="Source Sans Pro"/>
          <w:sz w:val="22"/>
          <w:szCs w:val="22"/>
        </w:rPr>
        <w:t>lstria</w:t>
      </w:r>
      <w:proofErr w:type="spellEnd"/>
      <w:r w:rsidR="00A85640">
        <w:rPr>
          <w:rFonts w:ascii="Source Sans Pro" w:hAnsi="Source Sans Pro" w:cs="Source Sans Pro"/>
          <w:sz w:val="22"/>
          <w:szCs w:val="22"/>
        </w:rPr>
        <w:t xml:space="preserve"> </w:t>
      </w:r>
      <w:proofErr w:type="spellStart"/>
      <w:r w:rsidR="00C47B63">
        <w:rPr>
          <w:rFonts w:ascii="Source Sans Pro" w:hAnsi="Source Sans Pro" w:cs="Source Sans Pro"/>
          <w:sz w:val="22"/>
          <w:szCs w:val="22"/>
        </w:rPr>
        <w:t>o</w:t>
      </w:r>
      <w:r w:rsidR="00A85640">
        <w:rPr>
          <w:rFonts w:ascii="Source Sans Pro" w:hAnsi="Source Sans Pro" w:cs="Source Sans Pro"/>
          <w:sz w:val="22"/>
          <w:szCs w:val="22"/>
        </w:rPr>
        <w:t>ffice</w:t>
      </w:r>
      <w:proofErr w:type="spellEnd"/>
      <w:r w:rsidR="00A85640">
        <w:rPr>
          <w:rFonts w:ascii="Source Sans Pro" w:hAnsi="Source Sans Pro" w:cs="Source Sans Pro"/>
          <w:sz w:val="22"/>
          <w:szCs w:val="22"/>
        </w:rPr>
        <w:t xml:space="preserve"> </w:t>
      </w:r>
      <w:r w:rsidR="00A85640" w:rsidRPr="00A85640">
        <w:rPr>
          <w:rFonts w:ascii="Source Sans Pro" w:hAnsi="Source Sans Pro" w:cs="Source Sans Pro"/>
          <w:sz w:val="22"/>
          <w:szCs w:val="22"/>
        </w:rPr>
        <w:t xml:space="preserve">durch </w:t>
      </w:r>
      <w:r w:rsidR="00A85640">
        <w:rPr>
          <w:rFonts w:ascii="Source Sans Pro" w:hAnsi="Source Sans Pro" w:cs="Source Sans Pro"/>
          <w:sz w:val="22"/>
          <w:szCs w:val="22"/>
        </w:rPr>
        <w:t xml:space="preserve">den </w:t>
      </w:r>
      <w:r w:rsidR="00D11A3A">
        <w:rPr>
          <w:rFonts w:ascii="Source Sans Pro" w:hAnsi="Source Sans Pro" w:cs="Source Sans Pro"/>
          <w:sz w:val="22"/>
          <w:szCs w:val="22"/>
        </w:rPr>
        <w:t xml:space="preserve">kanadischen </w:t>
      </w:r>
      <w:r w:rsidR="00A85640">
        <w:rPr>
          <w:rFonts w:ascii="Source Sans Pro" w:hAnsi="Source Sans Pro" w:cs="Source Sans Pro"/>
          <w:sz w:val="22"/>
          <w:szCs w:val="22"/>
        </w:rPr>
        <w:t xml:space="preserve">Vermögensverwalter </w:t>
      </w:r>
      <w:proofErr w:type="spellStart"/>
      <w:r w:rsidR="00A85640" w:rsidRPr="00A85640">
        <w:rPr>
          <w:rFonts w:ascii="Source Sans Pro" w:hAnsi="Source Sans Pro" w:cs="Source Sans Pro"/>
          <w:sz w:val="22"/>
          <w:szCs w:val="22"/>
        </w:rPr>
        <w:t>Brookfield</w:t>
      </w:r>
      <w:proofErr w:type="spellEnd"/>
      <w:r w:rsidR="00A85640">
        <w:rPr>
          <w:rFonts w:ascii="Source Sans Pro" w:hAnsi="Source Sans Pro" w:cs="Source Sans Pro"/>
          <w:sz w:val="22"/>
          <w:szCs w:val="22"/>
        </w:rPr>
        <w:t xml:space="preserve"> </w:t>
      </w:r>
      <w:r w:rsidR="00CC0E23">
        <w:rPr>
          <w:rFonts w:ascii="Source Sans Pro" w:hAnsi="Source Sans Pro" w:cs="Source Sans Pro"/>
          <w:sz w:val="22"/>
          <w:szCs w:val="22"/>
        </w:rPr>
        <w:t>Properties</w:t>
      </w:r>
      <w:r w:rsidR="00E30081" w:rsidRPr="00A85640">
        <w:rPr>
          <w:rFonts w:ascii="Source Sans Pro" w:hAnsi="Source Sans Pro" w:cs="Source Sans Pro"/>
          <w:sz w:val="22"/>
          <w:szCs w:val="22"/>
        </w:rPr>
        <w:t xml:space="preserve"> </w:t>
      </w:r>
      <w:r w:rsidR="00D11A3A">
        <w:rPr>
          <w:rFonts w:ascii="Source Sans Pro" w:hAnsi="Source Sans Pro" w:cs="Source Sans Pro"/>
          <w:sz w:val="22"/>
          <w:szCs w:val="22"/>
        </w:rPr>
        <w:t xml:space="preserve">zu einem </w:t>
      </w:r>
      <w:r w:rsidR="00A85640">
        <w:rPr>
          <w:rFonts w:ascii="Source Sans Pro" w:hAnsi="Source Sans Pro" w:cs="Source Sans Pro"/>
          <w:sz w:val="22"/>
          <w:szCs w:val="22"/>
        </w:rPr>
        <w:t>Sondereffekt</w:t>
      </w:r>
      <w:r w:rsidR="00D43D89">
        <w:rPr>
          <w:rFonts w:ascii="Source Sans Pro" w:hAnsi="Source Sans Pro" w:cs="Source Sans Pro"/>
          <w:sz w:val="22"/>
          <w:szCs w:val="22"/>
        </w:rPr>
        <w:t xml:space="preserve">. </w:t>
      </w:r>
      <w:r w:rsidR="00F22F9A">
        <w:rPr>
          <w:rFonts w:ascii="Source Sans Pro" w:hAnsi="Source Sans Pro" w:cs="Source Sans Pro"/>
          <w:sz w:val="22"/>
          <w:szCs w:val="22"/>
        </w:rPr>
        <w:t xml:space="preserve">Die Portfolio-Transaktion schlug mit </w:t>
      </w:r>
      <w:r w:rsidR="00A57024" w:rsidRPr="00E06757">
        <w:rPr>
          <w:rFonts w:ascii="Source Sans Pro" w:hAnsi="Source Sans Pro" w:cs="Source Sans Pro"/>
          <w:sz w:val="22"/>
          <w:szCs w:val="22"/>
        </w:rPr>
        <w:t xml:space="preserve">insgesamt </w:t>
      </w:r>
      <w:r w:rsidR="00001F24" w:rsidRPr="00E06757">
        <w:rPr>
          <w:rFonts w:ascii="Source Sans Pro" w:hAnsi="Source Sans Pro" w:cs="Source Sans Pro"/>
          <w:sz w:val="22"/>
          <w:szCs w:val="22"/>
        </w:rPr>
        <w:t>4,</w:t>
      </w:r>
      <w:r w:rsidR="00265CA3" w:rsidRPr="00E06757">
        <w:rPr>
          <w:rFonts w:ascii="Source Sans Pro" w:hAnsi="Source Sans Pro" w:cs="Source Sans Pro"/>
          <w:sz w:val="22"/>
          <w:szCs w:val="22"/>
        </w:rPr>
        <w:t>5</w:t>
      </w:r>
      <w:r w:rsidR="00001F24" w:rsidRPr="00E06757">
        <w:rPr>
          <w:rFonts w:ascii="Source Sans Pro" w:hAnsi="Source Sans Pro" w:cs="Source Sans Pro"/>
          <w:sz w:val="22"/>
          <w:szCs w:val="22"/>
        </w:rPr>
        <w:t xml:space="preserve"> </w:t>
      </w:r>
      <w:r w:rsidR="00F22F9A" w:rsidRPr="00E06757">
        <w:rPr>
          <w:rFonts w:ascii="Source Sans Pro" w:hAnsi="Source Sans Pro" w:cs="Source Sans Pro"/>
          <w:sz w:val="22"/>
          <w:szCs w:val="22"/>
        </w:rPr>
        <w:t>Mrd. €</w:t>
      </w:r>
      <w:r w:rsidR="00F22F9A">
        <w:rPr>
          <w:rFonts w:ascii="Source Sans Pro" w:hAnsi="Source Sans Pro" w:cs="Source Sans Pro"/>
          <w:sz w:val="22"/>
          <w:szCs w:val="22"/>
        </w:rPr>
        <w:t xml:space="preserve"> </w:t>
      </w:r>
      <w:r w:rsidR="00001F24">
        <w:rPr>
          <w:rFonts w:ascii="Source Sans Pro" w:hAnsi="Source Sans Pro" w:cs="Source Sans Pro"/>
          <w:sz w:val="22"/>
          <w:szCs w:val="22"/>
        </w:rPr>
        <w:t xml:space="preserve">deutschlandweit </w:t>
      </w:r>
      <w:r w:rsidR="00F22F9A">
        <w:rPr>
          <w:rFonts w:ascii="Source Sans Pro" w:hAnsi="Source Sans Pro" w:cs="Source Sans Pro"/>
          <w:sz w:val="22"/>
          <w:szCs w:val="22"/>
        </w:rPr>
        <w:t>zu Buche</w:t>
      </w:r>
      <w:r w:rsidR="00E26EA1">
        <w:rPr>
          <w:rFonts w:ascii="Source Sans Pro" w:hAnsi="Source Sans Pro" w:cs="Source Sans Pro"/>
          <w:sz w:val="22"/>
          <w:szCs w:val="22"/>
        </w:rPr>
        <w:t xml:space="preserve">, wovon </w:t>
      </w:r>
      <w:r w:rsidR="00306932">
        <w:rPr>
          <w:rFonts w:ascii="Source Sans Pro" w:hAnsi="Source Sans Pro" w:cs="Source Sans Pro"/>
          <w:sz w:val="22"/>
          <w:szCs w:val="22"/>
        </w:rPr>
        <w:t>GPP-</w:t>
      </w:r>
      <w:r w:rsidR="00306932" w:rsidRPr="00430DA2">
        <w:rPr>
          <w:rFonts w:ascii="Source Sans Pro" w:hAnsi="Source Sans Pro" w:cs="Source Sans Pro"/>
          <w:sz w:val="22"/>
          <w:szCs w:val="22"/>
        </w:rPr>
        <w:t xml:space="preserve">Berechnungen zufolge insgesamt </w:t>
      </w:r>
      <w:r w:rsidR="00A831E7">
        <w:rPr>
          <w:rFonts w:ascii="Source Sans Pro" w:hAnsi="Source Sans Pro" w:cs="Source Sans Pro"/>
          <w:sz w:val="22"/>
          <w:szCs w:val="22"/>
        </w:rPr>
        <w:t>etwa</w:t>
      </w:r>
      <w:r w:rsidR="00306932" w:rsidRPr="00430DA2">
        <w:rPr>
          <w:rFonts w:ascii="Source Sans Pro" w:hAnsi="Source Sans Pro" w:cs="Source Sans Pro"/>
          <w:sz w:val="22"/>
          <w:szCs w:val="22"/>
        </w:rPr>
        <w:t xml:space="preserve"> </w:t>
      </w:r>
      <w:r w:rsidR="00A831E7">
        <w:rPr>
          <w:rFonts w:ascii="Source Sans Pro" w:hAnsi="Source Sans Pro" w:cs="Source Sans Pro"/>
          <w:sz w:val="22"/>
          <w:szCs w:val="22"/>
        </w:rPr>
        <w:t>3,7</w:t>
      </w:r>
      <w:r w:rsidR="00E26EA1" w:rsidRPr="00430DA2">
        <w:rPr>
          <w:rFonts w:ascii="Source Sans Pro" w:hAnsi="Source Sans Pro" w:cs="Source Sans Pro"/>
          <w:sz w:val="22"/>
          <w:szCs w:val="22"/>
        </w:rPr>
        <w:t xml:space="preserve"> M</w:t>
      </w:r>
      <w:r w:rsidR="00306932" w:rsidRPr="00430DA2">
        <w:rPr>
          <w:rFonts w:ascii="Source Sans Pro" w:hAnsi="Source Sans Pro" w:cs="Source Sans Pro"/>
          <w:sz w:val="22"/>
          <w:szCs w:val="22"/>
        </w:rPr>
        <w:t>rd</w:t>
      </w:r>
      <w:r w:rsidR="00E26EA1" w:rsidRPr="00430DA2">
        <w:rPr>
          <w:rFonts w:ascii="Source Sans Pro" w:hAnsi="Source Sans Pro" w:cs="Source Sans Pro"/>
          <w:sz w:val="22"/>
          <w:szCs w:val="22"/>
        </w:rPr>
        <w:t xml:space="preserve">. € </w:t>
      </w:r>
      <w:r w:rsidR="00430DA2" w:rsidRPr="00430DA2">
        <w:rPr>
          <w:rFonts w:ascii="Source Sans Pro" w:hAnsi="Source Sans Pro" w:cs="Source Sans Pro"/>
          <w:sz w:val="22"/>
          <w:szCs w:val="22"/>
        </w:rPr>
        <w:t xml:space="preserve">und </w:t>
      </w:r>
      <w:r w:rsidR="00A831E7">
        <w:rPr>
          <w:rFonts w:ascii="Source Sans Pro" w:hAnsi="Source Sans Pro" w:cs="Source Sans Pro"/>
          <w:sz w:val="22"/>
          <w:szCs w:val="22"/>
        </w:rPr>
        <w:t>knapp 90</w:t>
      </w:r>
      <w:r w:rsidR="00430DA2" w:rsidRPr="00430DA2">
        <w:rPr>
          <w:rFonts w:ascii="Source Sans Pro" w:hAnsi="Source Sans Pro" w:cs="Source Sans Pro"/>
          <w:sz w:val="22"/>
          <w:szCs w:val="22"/>
        </w:rPr>
        <w:t xml:space="preserve"> Objekte </w:t>
      </w:r>
      <w:r w:rsidR="00E26EA1" w:rsidRPr="00430DA2">
        <w:rPr>
          <w:rFonts w:ascii="Source Sans Pro" w:hAnsi="Source Sans Pro" w:cs="Source Sans Pro"/>
          <w:sz w:val="22"/>
          <w:szCs w:val="22"/>
        </w:rPr>
        <w:t xml:space="preserve">auf die Top-7-Standorte </w:t>
      </w:r>
      <w:r w:rsidR="00430DA2" w:rsidRPr="00430DA2">
        <w:rPr>
          <w:rFonts w:ascii="Source Sans Pro" w:hAnsi="Source Sans Pro" w:cs="Source Sans Pro"/>
          <w:sz w:val="22"/>
          <w:szCs w:val="22"/>
        </w:rPr>
        <w:t>(</w:t>
      </w:r>
      <w:r w:rsidR="00306932" w:rsidRPr="00430DA2">
        <w:rPr>
          <w:rFonts w:ascii="Source Sans Pro" w:hAnsi="Source Sans Pro" w:cs="Source Sans Pro"/>
          <w:sz w:val="22"/>
          <w:szCs w:val="22"/>
        </w:rPr>
        <w:t>mit Ausnahme von München</w:t>
      </w:r>
      <w:r w:rsidR="00430DA2" w:rsidRPr="00430DA2">
        <w:rPr>
          <w:rFonts w:ascii="Source Sans Pro" w:hAnsi="Source Sans Pro" w:cs="Source Sans Pro"/>
          <w:sz w:val="22"/>
          <w:szCs w:val="22"/>
        </w:rPr>
        <w:t>)</w:t>
      </w:r>
      <w:r w:rsidR="00306932" w:rsidRPr="00430DA2">
        <w:rPr>
          <w:rFonts w:ascii="Source Sans Pro" w:hAnsi="Source Sans Pro" w:cs="Source Sans Pro"/>
          <w:sz w:val="22"/>
          <w:szCs w:val="22"/>
        </w:rPr>
        <w:t xml:space="preserve"> </w:t>
      </w:r>
      <w:r w:rsidR="00E26EA1" w:rsidRPr="00430DA2">
        <w:rPr>
          <w:rFonts w:ascii="Source Sans Pro" w:hAnsi="Source Sans Pro" w:cs="Source Sans Pro"/>
          <w:sz w:val="22"/>
          <w:szCs w:val="22"/>
        </w:rPr>
        <w:t>entf</w:t>
      </w:r>
      <w:r w:rsidR="00306932" w:rsidRPr="00430DA2">
        <w:rPr>
          <w:rFonts w:ascii="Source Sans Pro" w:hAnsi="Source Sans Pro" w:cs="Source Sans Pro"/>
          <w:sz w:val="22"/>
          <w:szCs w:val="22"/>
        </w:rPr>
        <w:t>a</w:t>
      </w:r>
      <w:r w:rsidR="00E26EA1" w:rsidRPr="00430DA2">
        <w:rPr>
          <w:rFonts w:ascii="Source Sans Pro" w:hAnsi="Source Sans Pro" w:cs="Source Sans Pro"/>
          <w:sz w:val="22"/>
          <w:szCs w:val="22"/>
        </w:rPr>
        <w:t>ll</w:t>
      </w:r>
      <w:r w:rsidR="00306932" w:rsidRPr="00430DA2">
        <w:rPr>
          <w:rFonts w:ascii="Source Sans Pro" w:hAnsi="Source Sans Pro" w:cs="Source Sans Pro"/>
          <w:sz w:val="22"/>
          <w:szCs w:val="22"/>
        </w:rPr>
        <w:t>en</w:t>
      </w:r>
      <w:r w:rsidR="00E26EA1" w:rsidRPr="00430DA2">
        <w:rPr>
          <w:rFonts w:ascii="Source Sans Pro" w:hAnsi="Source Sans Pro" w:cs="Source Sans Pro"/>
          <w:sz w:val="22"/>
          <w:szCs w:val="22"/>
        </w:rPr>
        <w:t>.</w:t>
      </w:r>
      <w:r w:rsidR="00A57024" w:rsidRPr="00430DA2">
        <w:rPr>
          <w:rFonts w:ascii="Source Sans Pro" w:hAnsi="Source Sans Pro" w:cs="Source Sans Pro"/>
          <w:sz w:val="22"/>
          <w:szCs w:val="22"/>
        </w:rPr>
        <w:t xml:space="preserve"> </w:t>
      </w:r>
      <w:r w:rsidR="00D43D89" w:rsidRPr="00430DA2">
        <w:rPr>
          <w:rFonts w:ascii="Source Sans Pro" w:hAnsi="Source Sans Pro" w:cs="Source Sans Pro"/>
          <w:sz w:val="22"/>
          <w:szCs w:val="22"/>
        </w:rPr>
        <w:t>Den stärksten</w:t>
      </w:r>
      <w:r w:rsidR="00D43D89">
        <w:rPr>
          <w:rFonts w:ascii="Source Sans Pro" w:hAnsi="Source Sans Pro" w:cs="Source Sans Pro"/>
          <w:sz w:val="22"/>
          <w:szCs w:val="22"/>
        </w:rPr>
        <w:t xml:space="preserve"> </w:t>
      </w:r>
      <w:r w:rsidR="00315870">
        <w:rPr>
          <w:rFonts w:ascii="Source Sans Pro" w:hAnsi="Source Sans Pro" w:cs="Source Sans Pro"/>
          <w:sz w:val="22"/>
          <w:szCs w:val="22"/>
        </w:rPr>
        <w:t>TAV-</w:t>
      </w:r>
      <w:r w:rsidR="00D43D89">
        <w:rPr>
          <w:rFonts w:ascii="Source Sans Pro" w:hAnsi="Source Sans Pro" w:cs="Source Sans Pro"/>
          <w:sz w:val="22"/>
          <w:szCs w:val="22"/>
        </w:rPr>
        <w:t xml:space="preserve">Anstieg </w:t>
      </w:r>
      <w:r w:rsidR="00315870">
        <w:rPr>
          <w:rFonts w:ascii="Source Sans Pro" w:hAnsi="Source Sans Pro" w:cs="Source Sans Pro"/>
          <w:sz w:val="22"/>
          <w:szCs w:val="22"/>
        </w:rPr>
        <w:t xml:space="preserve">im Vergleich zum Vorjahresquartal </w:t>
      </w:r>
      <w:r w:rsidR="00D43D89">
        <w:rPr>
          <w:rFonts w:ascii="Source Sans Pro" w:hAnsi="Source Sans Pro" w:cs="Source Sans Pro"/>
          <w:sz w:val="22"/>
          <w:szCs w:val="22"/>
        </w:rPr>
        <w:t>verzeichnet Düsseldorf mit +</w:t>
      </w:r>
      <w:r w:rsidR="000610DA">
        <w:rPr>
          <w:rFonts w:ascii="Source Sans Pro" w:hAnsi="Source Sans Pro" w:cs="Source Sans Pro"/>
          <w:sz w:val="22"/>
          <w:szCs w:val="22"/>
        </w:rPr>
        <w:t>400</w:t>
      </w:r>
      <w:r w:rsidR="00D43D89">
        <w:rPr>
          <w:rFonts w:ascii="Source Sans Pro" w:hAnsi="Source Sans Pro" w:cs="Source Sans Pro"/>
          <w:sz w:val="22"/>
          <w:szCs w:val="22"/>
        </w:rPr>
        <w:t xml:space="preserve"> % auf </w:t>
      </w:r>
      <w:r w:rsidR="00315870">
        <w:rPr>
          <w:rFonts w:ascii="Source Sans Pro" w:hAnsi="Source Sans Pro" w:cs="Source Sans Pro"/>
          <w:sz w:val="22"/>
          <w:szCs w:val="22"/>
        </w:rPr>
        <w:t xml:space="preserve">rund </w:t>
      </w:r>
      <w:r w:rsidR="000610DA">
        <w:rPr>
          <w:rFonts w:ascii="Source Sans Pro" w:hAnsi="Source Sans Pro" w:cs="Source Sans Pro"/>
          <w:sz w:val="22"/>
          <w:szCs w:val="22"/>
        </w:rPr>
        <w:t>1</w:t>
      </w:r>
      <w:r w:rsidR="00D43D89">
        <w:rPr>
          <w:rFonts w:ascii="Source Sans Pro" w:hAnsi="Source Sans Pro" w:cs="Source Sans Pro"/>
          <w:sz w:val="22"/>
          <w:szCs w:val="22"/>
        </w:rPr>
        <w:t xml:space="preserve"> M</w:t>
      </w:r>
      <w:r w:rsidR="000610DA">
        <w:rPr>
          <w:rFonts w:ascii="Source Sans Pro" w:hAnsi="Source Sans Pro" w:cs="Source Sans Pro"/>
          <w:sz w:val="22"/>
          <w:szCs w:val="22"/>
        </w:rPr>
        <w:t>rd</w:t>
      </w:r>
      <w:r w:rsidR="009C2D11">
        <w:rPr>
          <w:rFonts w:ascii="Source Sans Pro" w:hAnsi="Source Sans Pro" w:cs="Source Sans Pro"/>
          <w:sz w:val="22"/>
          <w:szCs w:val="22"/>
        </w:rPr>
        <w:t>. €</w:t>
      </w:r>
      <w:r w:rsidR="00D43D89">
        <w:rPr>
          <w:rFonts w:ascii="Source Sans Pro" w:hAnsi="Source Sans Pro" w:cs="Source Sans Pro"/>
          <w:sz w:val="22"/>
          <w:szCs w:val="22"/>
        </w:rPr>
        <w:t xml:space="preserve">. </w:t>
      </w:r>
      <w:r w:rsidR="00131DC5">
        <w:rPr>
          <w:rFonts w:ascii="Source Sans Pro" w:hAnsi="Source Sans Pro" w:cs="Source Sans Pro"/>
          <w:sz w:val="22"/>
          <w:szCs w:val="22"/>
        </w:rPr>
        <w:t xml:space="preserve">München vermeldet </w:t>
      </w:r>
      <w:r w:rsidR="00430DA2">
        <w:rPr>
          <w:rFonts w:ascii="Source Sans Pro" w:hAnsi="Source Sans Pro" w:cs="Source Sans Pro"/>
          <w:sz w:val="22"/>
          <w:szCs w:val="22"/>
        </w:rPr>
        <w:t>a</w:t>
      </w:r>
      <w:r w:rsidR="002E5673">
        <w:rPr>
          <w:rFonts w:ascii="Source Sans Pro" w:hAnsi="Source Sans Pro" w:cs="Source Sans Pro"/>
          <w:sz w:val="22"/>
          <w:szCs w:val="22"/>
        </w:rPr>
        <w:t xml:space="preserve">uch ohne den </w:t>
      </w:r>
      <w:proofErr w:type="spellStart"/>
      <w:r w:rsidR="002E5673">
        <w:rPr>
          <w:rFonts w:ascii="Source Sans Pro" w:hAnsi="Source Sans Pro" w:cs="Source Sans Pro"/>
          <w:sz w:val="22"/>
          <w:szCs w:val="22"/>
        </w:rPr>
        <w:t>a</w:t>
      </w:r>
      <w:r w:rsidR="009C2D11">
        <w:rPr>
          <w:rFonts w:ascii="Source Sans Pro" w:hAnsi="Source Sans Pro" w:cs="Source Sans Pro"/>
          <w:sz w:val="22"/>
          <w:szCs w:val="22"/>
        </w:rPr>
        <w:t>lstria</w:t>
      </w:r>
      <w:proofErr w:type="spellEnd"/>
      <w:r w:rsidR="009C2D11">
        <w:rPr>
          <w:rFonts w:ascii="Source Sans Pro" w:hAnsi="Source Sans Pro" w:cs="Source Sans Pro"/>
          <w:sz w:val="22"/>
          <w:szCs w:val="22"/>
        </w:rPr>
        <w:t>-</w:t>
      </w:r>
      <w:r w:rsidR="00430DA2">
        <w:rPr>
          <w:rFonts w:ascii="Source Sans Pro" w:hAnsi="Source Sans Pro" w:cs="Source Sans Pro"/>
          <w:sz w:val="22"/>
          <w:szCs w:val="22"/>
        </w:rPr>
        <w:t>Sondereffekt</w:t>
      </w:r>
      <w:r w:rsidR="0066478F">
        <w:rPr>
          <w:rFonts w:ascii="Source Sans Pro" w:hAnsi="Source Sans Pro" w:cs="Source Sans Pro"/>
          <w:sz w:val="22"/>
          <w:szCs w:val="22"/>
        </w:rPr>
        <w:t xml:space="preserve"> ein</w:t>
      </w:r>
      <w:r w:rsidR="009C2D11">
        <w:rPr>
          <w:rFonts w:ascii="Source Sans Pro" w:hAnsi="Source Sans Pro" w:cs="Source Sans Pro"/>
          <w:sz w:val="22"/>
          <w:szCs w:val="22"/>
        </w:rPr>
        <w:t xml:space="preserve"> sehr deutliches Plus</w:t>
      </w:r>
      <w:r w:rsidR="0066478F">
        <w:rPr>
          <w:rFonts w:ascii="Source Sans Pro" w:hAnsi="Source Sans Pro" w:cs="Source Sans Pro"/>
          <w:sz w:val="22"/>
          <w:szCs w:val="22"/>
        </w:rPr>
        <w:t xml:space="preserve"> (+225 % auf </w:t>
      </w:r>
      <w:r w:rsidR="00315870">
        <w:rPr>
          <w:rFonts w:ascii="Source Sans Pro" w:hAnsi="Source Sans Pro" w:cs="Source Sans Pro"/>
          <w:sz w:val="22"/>
          <w:szCs w:val="22"/>
        </w:rPr>
        <w:t xml:space="preserve">rund </w:t>
      </w:r>
      <w:r w:rsidR="0066478F">
        <w:rPr>
          <w:rFonts w:ascii="Source Sans Pro" w:hAnsi="Source Sans Pro" w:cs="Source Sans Pro"/>
          <w:sz w:val="22"/>
          <w:szCs w:val="22"/>
        </w:rPr>
        <w:t>1,3 Mrd. €)</w:t>
      </w:r>
      <w:r w:rsidR="00F22F9A">
        <w:rPr>
          <w:rFonts w:ascii="Source Sans Pro" w:hAnsi="Source Sans Pro" w:cs="Source Sans Pro"/>
          <w:sz w:val="22"/>
          <w:szCs w:val="22"/>
        </w:rPr>
        <w:t>. Zu diesem Ergebnis trugen v</w:t>
      </w:r>
      <w:r w:rsidR="0066478F">
        <w:rPr>
          <w:rFonts w:ascii="Source Sans Pro" w:hAnsi="Source Sans Pro" w:cs="Source Sans Pro"/>
          <w:sz w:val="22"/>
          <w:szCs w:val="22"/>
        </w:rPr>
        <w:t xml:space="preserve">ier Großtransaktionen über 100 Mio. €, darunter </w:t>
      </w:r>
      <w:r w:rsidR="00F22F9A">
        <w:rPr>
          <w:rFonts w:ascii="Source Sans Pro" w:hAnsi="Source Sans Pro" w:cs="Source Sans Pro"/>
          <w:sz w:val="22"/>
          <w:szCs w:val="22"/>
        </w:rPr>
        <w:t>der Verkauf des Olympia Business Center (OBC), maßgeblich bei. Hamb</w:t>
      </w:r>
      <w:r w:rsidR="00A57024">
        <w:rPr>
          <w:rFonts w:ascii="Source Sans Pro" w:hAnsi="Source Sans Pro" w:cs="Source Sans Pro"/>
          <w:sz w:val="22"/>
          <w:szCs w:val="22"/>
        </w:rPr>
        <w:t xml:space="preserve">urg (+ 171 %), </w:t>
      </w:r>
      <w:r w:rsidR="00A57024" w:rsidRPr="00073A63">
        <w:rPr>
          <w:rFonts w:ascii="Source Sans Pro" w:hAnsi="Source Sans Pro" w:cs="Source Sans Pro"/>
          <w:sz w:val="22"/>
          <w:szCs w:val="22"/>
        </w:rPr>
        <w:t xml:space="preserve">Berlin (+171 %) </w:t>
      </w:r>
      <w:r w:rsidR="00F22F9A" w:rsidRPr="00073A63">
        <w:rPr>
          <w:rFonts w:ascii="Source Sans Pro" w:hAnsi="Source Sans Pro" w:cs="Source Sans Pro"/>
          <w:sz w:val="22"/>
          <w:szCs w:val="22"/>
        </w:rPr>
        <w:t>und</w:t>
      </w:r>
      <w:r w:rsidR="00F22F9A">
        <w:rPr>
          <w:rFonts w:ascii="Source Sans Pro" w:hAnsi="Source Sans Pro" w:cs="Source Sans Pro"/>
          <w:sz w:val="22"/>
          <w:szCs w:val="22"/>
        </w:rPr>
        <w:t xml:space="preserve"> </w:t>
      </w:r>
      <w:r w:rsidR="00F22F9A" w:rsidRPr="00E06757">
        <w:rPr>
          <w:rFonts w:ascii="Source Sans Pro" w:hAnsi="Source Sans Pro" w:cs="Source Sans Pro"/>
          <w:sz w:val="22"/>
          <w:szCs w:val="22"/>
        </w:rPr>
        <w:t>Stuttgart (</w:t>
      </w:r>
      <w:r w:rsidR="00D760CF" w:rsidRPr="00E06757">
        <w:rPr>
          <w:rFonts w:ascii="Source Sans Pro" w:hAnsi="Source Sans Pro" w:cs="Source Sans Pro"/>
          <w:sz w:val="22"/>
          <w:szCs w:val="22"/>
        </w:rPr>
        <w:t>+</w:t>
      </w:r>
      <w:r w:rsidR="00315870" w:rsidRPr="00E06757">
        <w:rPr>
          <w:rFonts w:ascii="Source Sans Pro" w:hAnsi="Source Sans Pro" w:cs="Source Sans Pro"/>
          <w:sz w:val="22"/>
          <w:szCs w:val="22"/>
        </w:rPr>
        <w:t>11</w:t>
      </w:r>
      <w:r w:rsidR="00265CA3" w:rsidRPr="00E06757">
        <w:rPr>
          <w:rFonts w:ascii="Source Sans Pro" w:hAnsi="Source Sans Pro" w:cs="Source Sans Pro"/>
          <w:sz w:val="22"/>
          <w:szCs w:val="22"/>
        </w:rPr>
        <w:t>6</w:t>
      </w:r>
      <w:r w:rsidR="00315870" w:rsidRPr="00E06757">
        <w:rPr>
          <w:rFonts w:ascii="Source Sans Pro" w:hAnsi="Source Sans Pro" w:cs="Source Sans Pro"/>
          <w:sz w:val="22"/>
          <w:szCs w:val="22"/>
        </w:rPr>
        <w:t> </w:t>
      </w:r>
      <w:r w:rsidR="00F22F9A" w:rsidRPr="00E06757">
        <w:rPr>
          <w:rFonts w:ascii="Source Sans Pro" w:hAnsi="Source Sans Pro" w:cs="Source Sans Pro"/>
          <w:sz w:val="22"/>
          <w:szCs w:val="22"/>
        </w:rPr>
        <w:t>%) erzielten</w:t>
      </w:r>
      <w:r w:rsidR="00156AF6">
        <w:rPr>
          <w:rFonts w:ascii="Source Sans Pro" w:hAnsi="Source Sans Pro" w:cs="Source Sans Pro"/>
          <w:sz w:val="22"/>
          <w:szCs w:val="22"/>
        </w:rPr>
        <w:t xml:space="preserve"> </w:t>
      </w:r>
      <w:r w:rsidR="002E5673">
        <w:rPr>
          <w:rFonts w:ascii="Source Sans Pro" w:hAnsi="Source Sans Pro" w:cs="Source Sans Pro"/>
          <w:sz w:val="22"/>
          <w:szCs w:val="22"/>
        </w:rPr>
        <w:t xml:space="preserve">durch das </w:t>
      </w:r>
      <w:proofErr w:type="spellStart"/>
      <w:r w:rsidR="002E5673">
        <w:rPr>
          <w:rFonts w:ascii="Source Sans Pro" w:hAnsi="Source Sans Pro" w:cs="Source Sans Pro"/>
          <w:sz w:val="22"/>
          <w:szCs w:val="22"/>
        </w:rPr>
        <w:t>a</w:t>
      </w:r>
      <w:r w:rsidR="00315870">
        <w:rPr>
          <w:rFonts w:ascii="Source Sans Pro" w:hAnsi="Source Sans Pro" w:cs="Source Sans Pro"/>
          <w:sz w:val="22"/>
          <w:szCs w:val="22"/>
        </w:rPr>
        <w:t>lstria</w:t>
      </w:r>
      <w:proofErr w:type="spellEnd"/>
      <w:r w:rsidR="00315870">
        <w:rPr>
          <w:rFonts w:ascii="Source Sans Pro" w:hAnsi="Source Sans Pro" w:cs="Source Sans Pro"/>
          <w:sz w:val="22"/>
          <w:szCs w:val="22"/>
        </w:rPr>
        <w:t xml:space="preserve">-Portfolio </w:t>
      </w:r>
      <w:r w:rsidR="00156AF6">
        <w:rPr>
          <w:rFonts w:ascii="Source Sans Pro" w:hAnsi="Source Sans Pro" w:cs="Source Sans Pro"/>
          <w:sz w:val="22"/>
          <w:szCs w:val="22"/>
        </w:rPr>
        <w:t xml:space="preserve">ebenfalls </w:t>
      </w:r>
      <w:r w:rsidR="00315870">
        <w:rPr>
          <w:rFonts w:ascii="Source Sans Pro" w:hAnsi="Source Sans Pro" w:cs="Source Sans Pro"/>
          <w:sz w:val="22"/>
          <w:szCs w:val="22"/>
        </w:rPr>
        <w:t>deutliche Anstiege</w:t>
      </w:r>
      <w:r w:rsidR="00156AF6">
        <w:rPr>
          <w:rFonts w:ascii="Source Sans Pro" w:hAnsi="Source Sans Pro" w:cs="Source Sans Pro"/>
          <w:sz w:val="22"/>
          <w:szCs w:val="22"/>
        </w:rPr>
        <w:t>.</w:t>
      </w:r>
      <w:r w:rsidR="00BA2FA0">
        <w:rPr>
          <w:rFonts w:ascii="Source Sans Pro" w:hAnsi="Source Sans Pro" w:cs="Source Sans Pro"/>
          <w:sz w:val="22"/>
          <w:szCs w:val="22"/>
        </w:rPr>
        <w:t xml:space="preserve"> </w:t>
      </w:r>
      <w:r w:rsidR="00315870">
        <w:rPr>
          <w:rFonts w:ascii="Source Sans Pro" w:hAnsi="Source Sans Pro" w:cs="Source Sans Pro"/>
          <w:sz w:val="22"/>
          <w:szCs w:val="22"/>
        </w:rPr>
        <w:t>I</w:t>
      </w:r>
      <w:r w:rsidR="00073A63">
        <w:rPr>
          <w:rFonts w:ascii="Source Sans Pro" w:hAnsi="Source Sans Pro" w:cs="Source Sans Pro"/>
          <w:sz w:val="22"/>
          <w:szCs w:val="22"/>
        </w:rPr>
        <w:t xml:space="preserve">n </w:t>
      </w:r>
      <w:r w:rsidR="00315870">
        <w:rPr>
          <w:rFonts w:ascii="Source Sans Pro" w:hAnsi="Source Sans Pro" w:cs="Source Sans Pro"/>
          <w:sz w:val="22"/>
          <w:szCs w:val="22"/>
        </w:rPr>
        <w:t>der Bundeshauptstadt</w:t>
      </w:r>
      <w:r w:rsidR="00073A63">
        <w:rPr>
          <w:rFonts w:ascii="Source Sans Pro" w:hAnsi="Source Sans Pro" w:cs="Source Sans Pro"/>
          <w:sz w:val="22"/>
          <w:szCs w:val="22"/>
        </w:rPr>
        <w:t xml:space="preserve"> </w:t>
      </w:r>
      <w:r w:rsidR="00315870">
        <w:rPr>
          <w:rFonts w:ascii="Source Sans Pro" w:hAnsi="Source Sans Pro" w:cs="Source Sans Pro"/>
          <w:sz w:val="22"/>
          <w:szCs w:val="22"/>
        </w:rPr>
        <w:t xml:space="preserve">pushten </w:t>
      </w:r>
      <w:r w:rsidR="00966A04">
        <w:rPr>
          <w:rFonts w:ascii="Source Sans Pro" w:hAnsi="Source Sans Pro" w:cs="Source Sans Pro"/>
          <w:sz w:val="22"/>
          <w:szCs w:val="22"/>
        </w:rPr>
        <w:t>außerdem</w:t>
      </w:r>
      <w:r w:rsidR="00315870">
        <w:rPr>
          <w:rFonts w:ascii="Source Sans Pro" w:hAnsi="Source Sans Pro" w:cs="Source Sans Pro"/>
          <w:sz w:val="22"/>
          <w:szCs w:val="22"/>
        </w:rPr>
        <w:t xml:space="preserve"> </w:t>
      </w:r>
      <w:r w:rsidR="00073A63">
        <w:rPr>
          <w:rFonts w:ascii="Source Sans Pro" w:hAnsi="Source Sans Pro" w:cs="Source Sans Pro"/>
          <w:sz w:val="22"/>
          <w:szCs w:val="22"/>
        </w:rPr>
        <w:t>acht großvolumige Transaktionen jenseits der 100</w:t>
      </w:r>
      <w:r w:rsidR="00265CA3">
        <w:rPr>
          <w:rFonts w:ascii="Source Sans Pro" w:hAnsi="Source Sans Pro" w:cs="Source Sans Pro"/>
          <w:sz w:val="22"/>
          <w:szCs w:val="22"/>
        </w:rPr>
        <w:t xml:space="preserve"> </w:t>
      </w:r>
      <w:r w:rsidR="00073A63">
        <w:rPr>
          <w:rFonts w:ascii="Source Sans Pro" w:hAnsi="Source Sans Pro" w:cs="Source Sans Pro"/>
          <w:sz w:val="22"/>
          <w:szCs w:val="22"/>
        </w:rPr>
        <w:t>Mio.</w:t>
      </w:r>
      <w:r w:rsidR="00265CA3">
        <w:rPr>
          <w:rFonts w:ascii="Source Sans Pro" w:hAnsi="Source Sans Pro" w:cs="Source Sans Pro"/>
          <w:sz w:val="22"/>
          <w:szCs w:val="22"/>
        </w:rPr>
        <w:t xml:space="preserve"> </w:t>
      </w:r>
      <w:r w:rsidR="00073A63">
        <w:rPr>
          <w:rFonts w:ascii="Source Sans Pro" w:hAnsi="Source Sans Pro" w:cs="Source Sans Pro"/>
          <w:sz w:val="22"/>
          <w:szCs w:val="22"/>
        </w:rPr>
        <w:t>€-Marke das TAV.</w:t>
      </w:r>
      <w:r w:rsidR="00A57024">
        <w:rPr>
          <w:rFonts w:ascii="Source Sans Pro" w:hAnsi="Source Sans Pro" w:cs="Source Sans Pro"/>
          <w:sz w:val="22"/>
          <w:szCs w:val="22"/>
        </w:rPr>
        <w:t xml:space="preserve"> In Frankfurt (+141</w:t>
      </w:r>
      <w:r w:rsidR="00315870">
        <w:rPr>
          <w:rFonts w:ascii="Source Sans Pro" w:hAnsi="Source Sans Pro" w:cs="Source Sans Pro"/>
          <w:sz w:val="22"/>
          <w:szCs w:val="22"/>
        </w:rPr>
        <w:t> </w:t>
      </w:r>
      <w:r w:rsidR="00A57024">
        <w:rPr>
          <w:rFonts w:ascii="Source Sans Pro" w:hAnsi="Source Sans Pro" w:cs="Source Sans Pro"/>
          <w:sz w:val="22"/>
          <w:szCs w:val="22"/>
        </w:rPr>
        <w:t xml:space="preserve">%) resultiert das starke Ergebnis </w:t>
      </w:r>
      <w:r w:rsidR="002E5673">
        <w:rPr>
          <w:rFonts w:ascii="Source Sans Pro" w:hAnsi="Source Sans Pro" w:cs="Source Sans Pro"/>
          <w:sz w:val="22"/>
          <w:szCs w:val="22"/>
        </w:rPr>
        <w:t xml:space="preserve">neben dem </w:t>
      </w:r>
      <w:proofErr w:type="spellStart"/>
      <w:r w:rsidR="002E5673">
        <w:rPr>
          <w:rFonts w:ascii="Source Sans Pro" w:hAnsi="Source Sans Pro" w:cs="Source Sans Pro"/>
          <w:sz w:val="22"/>
          <w:szCs w:val="22"/>
        </w:rPr>
        <w:t>a</w:t>
      </w:r>
      <w:r w:rsidR="00966A04">
        <w:rPr>
          <w:rFonts w:ascii="Source Sans Pro" w:hAnsi="Source Sans Pro" w:cs="Source Sans Pro"/>
          <w:sz w:val="22"/>
          <w:szCs w:val="22"/>
        </w:rPr>
        <w:t>lstria</w:t>
      </w:r>
      <w:proofErr w:type="spellEnd"/>
      <w:r w:rsidR="00966A04">
        <w:rPr>
          <w:rFonts w:ascii="Source Sans Pro" w:hAnsi="Source Sans Pro" w:cs="Source Sans Pro"/>
          <w:sz w:val="22"/>
          <w:szCs w:val="22"/>
        </w:rPr>
        <w:t xml:space="preserve">-Sondereffekt </w:t>
      </w:r>
      <w:r w:rsidR="00A57024">
        <w:rPr>
          <w:rFonts w:ascii="Source Sans Pro" w:hAnsi="Source Sans Pro" w:cs="Source Sans Pro"/>
          <w:sz w:val="22"/>
          <w:szCs w:val="22"/>
        </w:rPr>
        <w:t xml:space="preserve">insbesondere aus dem </w:t>
      </w:r>
      <w:r w:rsidR="00BA2FA0">
        <w:rPr>
          <w:rFonts w:ascii="Source Sans Pro" w:hAnsi="Source Sans Pro" w:cs="Source Sans Pro"/>
          <w:sz w:val="22"/>
          <w:szCs w:val="22"/>
        </w:rPr>
        <w:t>großvolumigen Verkauf des</w:t>
      </w:r>
      <w:r w:rsidR="00A57024">
        <w:rPr>
          <w:rFonts w:ascii="Source Sans Pro" w:hAnsi="Source Sans Pro" w:cs="Source Sans Pro"/>
          <w:sz w:val="22"/>
          <w:szCs w:val="22"/>
        </w:rPr>
        <w:t xml:space="preserve"> </w:t>
      </w:r>
      <w:r w:rsidR="00A57024">
        <w:rPr>
          <w:rFonts w:ascii="Source Sans Pro" w:hAnsi="Source Sans Pro" w:cs="Source Sans Pro"/>
          <w:sz w:val="22"/>
          <w:szCs w:val="22"/>
        </w:rPr>
        <w:lastRenderedPageBreak/>
        <w:t>Marienturm</w:t>
      </w:r>
      <w:r w:rsidR="00BA2FA0">
        <w:rPr>
          <w:rFonts w:ascii="Source Sans Pro" w:hAnsi="Source Sans Pro" w:cs="Source Sans Pro"/>
          <w:sz w:val="22"/>
          <w:szCs w:val="22"/>
        </w:rPr>
        <w:t>s</w:t>
      </w:r>
      <w:r w:rsidR="001C32DB">
        <w:rPr>
          <w:rFonts w:ascii="Source Sans Pro" w:hAnsi="Source Sans Pro" w:cs="Source Sans Pro"/>
          <w:sz w:val="22"/>
          <w:szCs w:val="22"/>
        </w:rPr>
        <w:t xml:space="preserve"> für über 800 Mio. €</w:t>
      </w:r>
      <w:r w:rsidR="00A57024">
        <w:rPr>
          <w:rFonts w:ascii="Source Sans Pro" w:hAnsi="Source Sans Pro" w:cs="Source Sans Pro"/>
          <w:sz w:val="22"/>
          <w:szCs w:val="22"/>
        </w:rPr>
        <w:t xml:space="preserve">. </w:t>
      </w:r>
      <w:r w:rsidR="00156AF6">
        <w:rPr>
          <w:rFonts w:ascii="Source Sans Pro" w:hAnsi="Source Sans Pro" w:cs="Source Sans Pro"/>
          <w:sz w:val="22"/>
          <w:szCs w:val="22"/>
        </w:rPr>
        <w:t xml:space="preserve">Köln konnte das Vorjahresergebnis um 50 % steigern. </w:t>
      </w:r>
      <w:r w:rsidR="00BA2FA0">
        <w:rPr>
          <w:rFonts w:ascii="Source Sans Pro" w:hAnsi="Source Sans Pro" w:cs="Source Sans Pro"/>
          <w:sz w:val="22"/>
          <w:szCs w:val="22"/>
        </w:rPr>
        <w:t xml:space="preserve">Einen Großteil des Kölner TAV generierte der Verkauf einer innerstädtischen Projektentwicklung für </w:t>
      </w:r>
      <w:r w:rsidR="00B33789">
        <w:rPr>
          <w:rFonts w:ascii="Source Sans Pro" w:hAnsi="Source Sans Pro" w:cs="Source Sans Pro"/>
          <w:sz w:val="22"/>
          <w:szCs w:val="22"/>
        </w:rPr>
        <w:t>mehr als</w:t>
      </w:r>
      <w:r w:rsidR="00BA2FA0">
        <w:rPr>
          <w:rFonts w:ascii="Source Sans Pro" w:hAnsi="Source Sans Pro" w:cs="Source Sans Pro"/>
          <w:sz w:val="22"/>
          <w:szCs w:val="22"/>
        </w:rPr>
        <w:t xml:space="preserve"> 50</w:t>
      </w:r>
      <w:r w:rsidR="00C47B63">
        <w:rPr>
          <w:rFonts w:ascii="Source Sans Pro" w:hAnsi="Source Sans Pro" w:cs="Source Sans Pro"/>
          <w:sz w:val="22"/>
          <w:szCs w:val="22"/>
        </w:rPr>
        <w:t> </w:t>
      </w:r>
      <w:r w:rsidR="00BA2FA0">
        <w:rPr>
          <w:rFonts w:ascii="Source Sans Pro" w:hAnsi="Source Sans Pro" w:cs="Source Sans Pro"/>
          <w:sz w:val="22"/>
          <w:szCs w:val="22"/>
        </w:rPr>
        <w:t>Mio.</w:t>
      </w:r>
      <w:r w:rsidR="00D56A51">
        <w:rPr>
          <w:rFonts w:ascii="Source Sans Pro" w:hAnsi="Source Sans Pro" w:cs="Source Sans Pro"/>
          <w:sz w:val="22"/>
          <w:szCs w:val="22"/>
        </w:rPr>
        <w:t> </w:t>
      </w:r>
      <w:r w:rsidR="00BA2FA0">
        <w:rPr>
          <w:rFonts w:ascii="Source Sans Pro" w:hAnsi="Source Sans Pro" w:cs="Source Sans Pro"/>
          <w:sz w:val="22"/>
          <w:szCs w:val="22"/>
        </w:rPr>
        <w:t xml:space="preserve">€. </w:t>
      </w:r>
      <w:r w:rsidR="00BA2FA0">
        <w:rPr>
          <w:rFonts w:ascii="Source Sans Pro" w:hAnsi="Source Sans Pro" w:cs="Source Sans Pro"/>
          <w:sz w:val="22"/>
          <w:szCs w:val="22"/>
        </w:rPr>
        <w:br/>
      </w:r>
      <w:r w:rsidR="00BA2FA0">
        <w:rPr>
          <w:rFonts w:ascii="Source Sans Pro" w:hAnsi="Source Sans Pro" w:cs="Source Sans Pro"/>
          <w:sz w:val="22"/>
          <w:szCs w:val="22"/>
        </w:rPr>
        <w:br/>
      </w:r>
      <w:r w:rsidR="00EF0944">
        <w:rPr>
          <w:rFonts w:ascii="Source Sans Pro" w:hAnsi="Source Sans Pro" w:cs="Source Sans Pro"/>
          <w:sz w:val="22"/>
          <w:szCs w:val="22"/>
        </w:rPr>
        <w:t>Internationale Investoren waren im Zuge d</w:t>
      </w:r>
      <w:r w:rsidR="002E5673">
        <w:rPr>
          <w:rFonts w:ascii="Source Sans Pro" w:hAnsi="Source Sans Pro" w:cs="Source Sans Pro"/>
          <w:sz w:val="22"/>
          <w:szCs w:val="22"/>
        </w:rPr>
        <w:t xml:space="preserve">er </w:t>
      </w:r>
      <w:proofErr w:type="spellStart"/>
      <w:r w:rsidR="002E5673">
        <w:rPr>
          <w:rFonts w:ascii="Source Sans Pro" w:hAnsi="Source Sans Pro" w:cs="Source Sans Pro"/>
          <w:sz w:val="22"/>
          <w:szCs w:val="22"/>
        </w:rPr>
        <w:t>a</w:t>
      </w:r>
      <w:r w:rsidR="00073A63">
        <w:rPr>
          <w:rFonts w:ascii="Source Sans Pro" w:hAnsi="Source Sans Pro" w:cs="Source Sans Pro"/>
          <w:sz w:val="22"/>
          <w:szCs w:val="22"/>
        </w:rPr>
        <w:t>lstria</w:t>
      </w:r>
      <w:proofErr w:type="spellEnd"/>
      <w:r w:rsidR="00073A63">
        <w:rPr>
          <w:rFonts w:ascii="Source Sans Pro" w:hAnsi="Source Sans Pro" w:cs="Source Sans Pro"/>
          <w:sz w:val="22"/>
          <w:szCs w:val="22"/>
        </w:rPr>
        <w:t>-Übernahme mit einem Volumena</w:t>
      </w:r>
      <w:r w:rsidR="00EF0944">
        <w:rPr>
          <w:rFonts w:ascii="Source Sans Pro" w:hAnsi="Source Sans Pro" w:cs="Source Sans Pro"/>
          <w:sz w:val="22"/>
          <w:szCs w:val="22"/>
        </w:rPr>
        <w:t>nteil von 7</w:t>
      </w:r>
      <w:r w:rsidR="00BA2FA0">
        <w:rPr>
          <w:rFonts w:ascii="Source Sans Pro" w:hAnsi="Source Sans Pro" w:cs="Source Sans Pro"/>
          <w:sz w:val="22"/>
          <w:szCs w:val="22"/>
        </w:rPr>
        <w:t>2</w:t>
      </w:r>
      <w:r w:rsidR="00073A63">
        <w:rPr>
          <w:rFonts w:ascii="Source Sans Pro" w:hAnsi="Source Sans Pro" w:cs="Source Sans Pro"/>
          <w:sz w:val="22"/>
          <w:szCs w:val="22"/>
        </w:rPr>
        <w:t> </w:t>
      </w:r>
      <w:r w:rsidR="00EF0944">
        <w:rPr>
          <w:rFonts w:ascii="Source Sans Pro" w:hAnsi="Source Sans Pro" w:cs="Source Sans Pro"/>
          <w:sz w:val="22"/>
          <w:szCs w:val="22"/>
        </w:rPr>
        <w:t xml:space="preserve">% (Q1 2021: 14 %) außergewöhnlich präsent an den </w:t>
      </w:r>
      <w:r w:rsidR="00BA2FA0">
        <w:rPr>
          <w:rFonts w:ascii="Source Sans Pro" w:hAnsi="Source Sans Pro" w:cs="Source Sans Pro"/>
          <w:sz w:val="22"/>
          <w:szCs w:val="22"/>
        </w:rPr>
        <w:t xml:space="preserve">deutschen </w:t>
      </w:r>
      <w:r w:rsidR="00EF0944">
        <w:rPr>
          <w:rFonts w:ascii="Source Sans Pro" w:hAnsi="Source Sans Pro" w:cs="Source Sans Pro"/>
          <w:sz w:val="22"/>
          <w:szCs w:val="22"/>
        </w:rPr>
        <w:t xml:space="preserve">Top-7-Standorten. Auch der </w:t>
      </w:r>
      <w:r w:rsidR="00073A63">
        <w:rPr>
          <w:rFonts w:ascii="Source Sans Pro" w:hAnsi="Source Sans Pro" w:cs="Source Sans Pro"/>
          <w:sz w:val="22"/>
          <w:szCs w:val="22"/>
        </w:rPr>
        <w:t>A</w:t>
      </w:r>
      <w:r w:rsidR="00EF0944">
        <w:rPr>
          <w:rFonts w:ascii="Source Sans Pro" w:hAnsi="Source Sans Pro" w:cs="Source Sans Pro"/>
          <w:sz w:val="22"/>
          <w:szCs w:val="22"/>
        </w:rPr>
        <w:t xml:space="preserve">nteil </w:t>
      </w:r>
      <w:r w:rsidR="00CB7BE6">
        <w:rPr>
          <w:rFonts w:ascii="Source Sans Pro" w:hAnsi="Source Sans Pro" w:cs="Source Sans Pro"/>
          <w:sz w:val="22"/>
          <w:szCs w:val="22"/>
        </w:rPr>
        <w:t>an</w:t>
      </w:r>
      <w:r w:rsidR="00EF0944">
        <w:rPr>
          <w:rFonts w:ascii="Source Sans Pro" w:hAnsi="Source Sans Pro" w:cs="Source Sans Pro"/>
          <w:sz w:val="22"/>
          <w:szCs w:val="22"/>
        </w:rPr>
        <w:t xml:space="preserve"> Portfolio-Deals ist aufgrund des Sondereffekts mit 44 % (Q1 2021: 15 %) ausgesprochen hoch.</w:t>
      </w:r>
    </w:p>
    <w:p w14:paraId="47D96FF5" w14:textId="77777777" w:rsidR="00D760CF" w:rsidRDefault="00D760CF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caps/>
          <w:color w:val="0086A8"/>
          <w:sz w:val="22"/>
          <w:szCs w:val="22"/>
        </w:rPr>
      </w:pPr>
    </w:p>
    <w:p w14:paraId="3118F518" w14:textId="5CE7E8C3" w:rsidR="001C32DB" w:rsidRDefault="001C32DB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caps/>
          <w:color w:val="0086A8"/>
          <w:sz w:val="22"/>
          <w:szCs w:val="22"/>
        </w:rPr>
        <w:t xml:space="preserve">Büro-Immobilien begehrteste </w:t>
      </w:r>
      <w:r w:rsidRPr="003B63A8">
        <w:rPr>
          <w:rFonts w:ascii="Source Sans Pro" w:hAnsi="Source Sans Pro" w:cs="Source Sans Pro"/>
          <w:caps/>
          <w:color w:val="0086A8"/>
          <w:sz w:val="22"/>
          <w:szCs w:val="22"/>
        </w:rPr>
        <w:t>Assetklasse</w:t>
      </w:r>
    </w:p>
    <w:p w14:paraId="586E6E31" w14:textId="71BCA610" w:rsidR="00073A63" w:rsidRDefault="00001F24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0E694E" w:rsidRPr="000E694E">
        <w:rPr>
          <w:rFonts w:ascii="Source Sans Pro" w:hAnsi="Source Sans Pro" w:cs="Source Sans Pro"/>
          <w:i/>
          <w:sz w:val="22"/>
          <w:szCs w:val="22"/>
        </w:rPr>
        <w:t xml:space="preserve">„Das Investoreninteresse an </w:t>
      </w:r>
      <w:r w:rsidR="001C32DB" w:rsidRPr="000E694E">
        <w:rPr>
          <w:rFonts w:ascii="Source Sans Pro" w:hAnsi="Source Sans Pro" w:cs="Source Sans Pro"/>
          <w:i/>
          <w:sz w:val="22"/>
          <w:szCs w:val="22"/>
        </w:rPr>
        <w:t>Büro-Immobilien</w:t>
      </w:r>
      <w:r w:rsidR="00EF0944">
        <w:rPr>
          <w:rFonts w:ascii="Source Sans Pro" w:hAnsi="Source Sans Pro" w:cs="Source Sans Pro"/>
          <w:i/>
          <w:sz w:val="22"/>
          <w:szCs w:val="22"/>
        </w:rPr>
        <w:t xml:space="preserve"> ist an allen Top-7-Standorten </w:t>
      </w:r>
      <w:r w:rsidR="00073A63">
        <w:rPr>
          <w:rFonts w:ascii="Source Sans Pro" w:hAnsi="Source Sans Pro" w:cs="Source Sans Pro"/>
          <w:i/>
          <w:sz w:val="22"/>
          <w:szCs w:val="22"/>
        </w:rPr>
        <w:t>anhaltend</w:t>
      </w:r>
      <w:r w:rsidR="00EF0944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073A63">
        <w:rPr>
          <w:rFonts w:ascii="Source Sans Pro" w:hAnsi="Source Sans Pro" w:cs="Source Sans Pro"/>
          <w:i/>
          <w:sz w:val="22"/>
          <w:szCs w:val="22"/>
        </w:rPr>
        <w:t>h</w:t>
      </w:r>
      <w:r w:rsidR="00EF0944">
        <w:rPr>
          <w:rFonts w:ascii="Source Sans Pro" w:hAnsi="Source Sans Pro" w:cs="Source Sans Pro"/>
          <w:i/>
          <w:sz w:val="22"/>
          <w:szCs w:val="22"/>
        </w:rPr>
        <w:t>och“</w:t>
      </w:r>
      <w:r w:rsidR="000E694E">
        <w:rPr>
          <w:rFonts w:ascii="Source Sans Pro" w:hAnsi="Source Sans Pro" w:cs="Source Sans Pro"/>
          <w:i/>
          <w:sz w:val="22"/>
          <w:szCs w:val="22"/>
        </w:rPr>
        <w:t>,</w:t>
      </w:r>
      <w:r w:rsidR="000E694E">
        <w:rPr>
          <w:rFonts w:ascii="Source Sans Pro" w:hAnsi="Source Sans Pro" w:cs="Source Sans Pro"/>
          <w:sz w:val="22"/>
          <w:szCs w:val="22"/>
        </w:rPr>
        <w:t xml:space="preserve"> erläutert </w:t>
      </w:r>
      <w:r w:rsidR="000E694E" w:rsidRPr="00462200">
        <w:rPr>
          <w:rFonts w:ascii="Source Sans Pro" w:hAnsi="Source Sans Pro" w:cs="Source Sans Pro"/>
          <w:b/>
          <w:sz w:val="22"/>
          <w:szCs w:val="22"/>
        </w:rPr>
        <w:t>Rehberg</w:t>
      </w:r>
      <w:r w:rsidR="000E694E">
        <w:rPr>
          <w:rFonts w:ascii="Source Sans Pro" w:hAnsi="Source Sans Pro" w:cs="Source Sans Pro"/>
          <w:sz w:val="22"/>
          <w:szCs w:val="22"/>
        </w:rPr>
        <w:t xml:space="preserve">. Mit 80 % entfiel der Großteil des TAV </w:t>
      </w:r>
      <w:r w:rsidR="002E5673">
        <w:rPr>
          <w:rFonts w:ascii="Source Sans Pro" w:hAnsi="Source Sans Pro" w:cs="Source Sans Pro"/>
          <w:sz w:val="22"/>
          <w:szCs w:val="22"/>
        </w:rPr>
        <w:t xml:space="preserve">bedingt durch die </w:t>
      </w:r>
      <w:proofErr w:type="spellStart"/>
      <w:r w:rsidR="002E5673">
        <w:rPr>
          <w:rFonts w:ascii="Source Sans Pro" w:hAnsi="Source Sans Pro" w:cs="Source Sans Pro"/>
          <w:sz w:val="22"/>
          <w:szCs w:val="22"/>
        </w:rPr>
        <w:t>a</w:t>
      </w:r>
      <w:r w:rsidR="000E694E" w:rsidRPr="000E694E">
        <w:rPr>
          <w:rFonts w:ascii="Source Sans Pro" w:hAnsi="Source Sans Pro" w:cs="Source Sans Pro"/>
          <w:sz w:val="22"/>
          <w:szCs w:val="22"/>
        </w:rPr>
        <w:t>lstria</w:t>
      </w:r>
      <w:proofErr w:type="spellEnd"/>
      <w:r w:rsidR="000E694E" w:rsidRPr="000E694E">
        <w:rPr>
          <w:rFonts w:ascii="Source Sans Pro" w:hAnsi="Source Sans Pro" w:cs="Source Sans Pro"/>
          <w:sz w:val="22"/>
          <w:szCs w:val="22"/>
        </w:rPr>
        <w:t xml:space="preserve">-Übernahme </w:t>
      </w:r>
      <w:r w:rsidR="000E694E">
        <w:rPr>
          <w:rFonts w:ascii="Source Sans Pro" w:hAnsi="Source Sans Pro" w:cs="Source Sans Pro"/>
          <w:sz w:val="22"/>
          <w:szCs w:val="22"/>
        </w:rPr>
        <w:t xml:space="preserve">auf diese Assetklasse. Danach folgen </w:t>
      </w:r>
      <w:r w:rsidR="00073A63">
        <w:rPr>
          <w:rFonts w:ascii="Source Sans Pro" w:hAnsi="Source Sans Pro" w:cs="Source Sans Pro"/>
          <w:sz w:val="22"/>
          <w:szCs w:val="22"/>
        </w:rPr>
        <w:t xml:space="preserve">mit großem Abstand </w:t>
      </w:r>
      <w:r w:rsidR="000E694E">
        <w:rPr>
          <w:rFonts w:ascii="Source Sans Pro" w:hAnsi="Source Sans Pro" w:cs="Source Sans Pro"/>
          <w:sz w:val="22"/>
          <w:szCs w:val="22"/>
        </w:rPr>
        <w:t>Mixed-</w:t>
      </w:r>
      <w:proofErr w:type="spellStart"/>
      <w:r w:rsidR="009A4503">
        <w:rPr>
          <w:rFonts w:ascii="Source Sans Pro" w:hAnsi="Source Sans Pro" w:cs="Source Sans Pro"/>
          <w:sz w:val="22"/>
          <w:szCs w:val="22"/>
        </w:rPr>
        <w:t>u</w:t>
      </w:r>
      <w:r w:rsidR="00EF0944">
        <w:rPr>
          <w:rFonts w:ascii="Source Sans Pro" w:hAnsi="Source Sans Pro" w:cs="Source Sans Pro"/>
          <w:sz w:val="22"/>
          <w:szCs w:val="22"/>
        </w:rPr>
        <w:t>se</w:t>
      </w:r>
      <w:proofErr w:type="spellEnd"/>
      <w:r w:rsidR="00EF0944">
        <w:rPr>
          <w:rFonts w:ascii="Source Sans Pro" w:hAnsi="Source Sans Pro" w:cs="Source Sans Pro"/>
          <w:sz w:val="22"/>
          <w:szCs w:val="22"/>
        </w:rPr>
        <w:t>-Objekte</w:t>
      </w:r>
      <w:r w:rsidR="000E694E">
        <w:rPr>
          <w:rFonts w:ascii="Source Sans Pro" w:hAnsi="Source Sans Pro" w:cs="Source Sans Pro"/>
          <w:sz w:val="22"/>
          <w:szCs w:val="22"/>
        </w:rPr>
        <w:t xml:space="preserve"> (</w:t>
      </w:r>
      <w:r w:rsidR="00073A63">
        <w:rPr>
          <w:rFonts w:ascii="Source Sans Pro" w:hAnsi="Source Sans Pro" w:cs="Source Sans Pro"/>
          <w:sz w:val="22"/>
          <w:szCs w:val="22"/>
        </w:rPr>
        <w:t>7</w:t>
      </w:r>
      <w:r w:rsidR="000E694E">
        <w:rPr>
          <w:rFonts w:ascii="Source Sans Pro" w:hAnsi="Source Sans Pro" w:cs="Source Sans Pro"/>
          <w:sz w:val="22"/>
          <w:szCs w:val="22"/>
        </w:rPr>
        <w:t xml:space="preserve"> %) und Hotels (4 %).</w:t>
      </w:r>
      <w:r w:rsidR="00013C9D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64E08116" w14:textId="68198B62" w:rsidR="003B63A8" w:rsidRDefault="00073A63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>Die Top-7-Spitzenrendite für Büro-Immobilien ging i</w:t>
      </w:r>
      <w:r w:rsidR="00013C9D">
        <w:rPr>
          <w:rFonts w:ascii="Source Sans Pro" w:hAnsi="Source Sans Pro" w:cs="Source Sans Pro"/>
          <w:sz w:val="22"/>
          <w:szCs w:val="22"/>
        </w:rPr>
        <w:t xml:space="preserve">m Vorjahresvergleich im Schnitt um 0,16 %-Punkte auf 2,69 zurück. Am stärksten nachgegeben hat </w:t>
      </w:r>
      <w:r>
        <w:rPr>
          <w:rFonts w:ascii="Source Sans Pro" w:hAnsi="Source Sans Pro" w:cs="Source Sans Pro"/>
          <w:sz w:val="22"/>
          <w:szCs w:val="22"/>
        </w:rPr>
        <w:t>sie</w:t>
      </w:r>
      <w:r w:rsidR="00013C9D">
        <w:rPr>
          <w:rFonts w:ascii="Source Sans Pro" w:hAnsi="Source Sans Pro" w:cs="Source Sans Pro"/>
          <w:sz w:val="22"/>
          <w:szCs w:val="22"/>
        </w:rPr>
        <w:t xml:space="preserve"> in Köln mit -0,40 %-Punkten auf 2,60 %. </w:t>
      </w:r>
      <w:r w:rsidR="00013C9D" w:rsidRPr="00013C9D">
        <w:rPr>
          <w:rFonts w:ascii="Source Sans Pro" w:hAnsi="Source Sans Pro" w:cs="Source Sans Pro"/>
          <w:sz w:val="22"/>
          <w:szCs w:val="22"/>
        </w:rPr>
        <w:t xml:space="preserve">Die </w:t>
      </w:r>
      <w:r w:rsidR="009A4503">
        <w:rPr>
          <w:rFonts w:ascii="Source Sans Pro" w:hAnsi="Source Sans Pro" w:cs="Source Sans Pro"/>
          <w:sz w:val="22"/>
          <w:szCs w:val="22"/>
        </w:rPr>
        <w:t>Top-7-</w:t>
      </w:r>
      <w:r w:rsidR="00EF0944">
        <w:rPr>
          <w:rFonts w:ascii="Source Sans Pro" w:hAnsi="Source Sans Pro" w:cs="Source Sans Pro"/>
          <w:sz w:val="22"/>
          <w:szCs w:val="22"/>
        </w:rPr>
        <w:t xml:space="preserve">Spitzenrendite bei </w:t>
      </w:r>
      <w:r w:rsidR="00013C9D" w:rsidRPr="00013C9D">
        <w:rPr>
          <w:rFonts w:ascii="Source Sans Pro" w:hAnsi="Source Sans Pro" w:cs="Source Sans Pro"/>
          <w:sz w:val="22"/>
          <w:szCs w:val="22"/>
        </w:rPr>
        <w:t xml:space="preserve">Industrie- und Logistikobjekten fiel </w:t>
      </w:r>
      <w:r w:rsidR="00EF0944">
        <w:rPr>
          <w:rFonts w:ascii="Source Sans Pro" w:hAnsi="Source Sans Pro" w:cs="Source Sans Pro"/>
          <w:sz w:val="22"/>
          <w:szCs w:val="22"/>
        </w:rPr>
        <w:t>im Vorjahresvergleich</w:t>
      </w:r>
      <w:r w:rsidR="00013C9D" w:rsidRPr="00013C9D">
        <w:rPr>
          <w:rFonts w:ascii="Source Sans Pro" w:hAnsi="Source Sans Pro" w:cs="Source Sans Pro"/>
          <w:sz w:val="22"/>
          <w:szCs w:val="22"/>
        </w:rPr>
        <w:t xml:space="preserve"> </w:t>
      </w:r>
      <w:r w:rsidR="00013C9D" w:rsidRPr="007C1429">
        <w:rPr>
          <w:rFonts w:ascii="Source Sans Pro" w:hAnsi="Source Sans Pro" w:cs="Source Sans Pro"/>
          <w:sz w:val="22"/>
          <w:szCs w:val="22"/>
        </w:rPr>
        <w:t>um 0,</w:t>
      </w:r>
      <w:r w:rsidR="007C1429" w:rsidRPr="007C1429">
        <w:rPr>
          <w:rFonts w:ascii="Source Sans Pro" w:hAnsi="Source Sans Pro" w:cs="Source Sans Pro"/>
          <w:sz w:val="22"/>
          <w:szCs w:val="22"/>
        </w:rPr>
        <w:t>45</w:t>
      </w:r>
      <w:r w:rsidR="00013C9D" w:rsidRPr="007C1429">
        <w:rPr>
          <w:rFonts w:ascii="Source Sans Pro" w:hAnsi="Source Sans Pro" w:cs="Source Sans Pro"/>
          <w:sz w:val="22"/>
          <w:szCs w:val="22"/>
        </w:rPr>
        <w:t xml:space="preserve"> %-Punkte auf </w:t>
      </w:r>
      <w:r w:rsidR="007C1429" w:rsidRPr="007C1429">
        <w:rPr>
          <w:rFonts w:ascii="Source Sans Pro" w:hAnsi="Source Sans Pro" w:cs="Source Sans Pro"/>
          <w:sz w:val="22"/>
          <w:szCs w:val="22"/>
        </w:rPr>
        <w:t>3</w:t>
      </w:r>
      <w:r w:rsidR="00013C9D" w:rsidRPr="007C1429">
        <w:rPr>
          <w:rFonts w:ascii="Source Sans Pro" w:hAnsi="Source Sans Pro" w:cs="Source Sans Pro"/>
          <w:sz w:val="22"/>
          <w:szCs w:val="22"/>
        </w:rPr>
        <w:t>,</w:t>
      </w:r>
      <w:r w:rsidR="007C1429" w:rsidRPr="007C1429">
        <w:rPr>
          <w:rFonts w:ascii="Source Sans Pro" w:hAnsi="Source Sans Pro" w:cs="Source Sans Pro"/>
          <w:sz w:val="22"/>
          <w:szCs w:val="22"/>
        </w:rPr>
        <w:t>32</w:t>
      </w:r>
      <w:r w:rsidR="00013C9D" w:rsidRPr="007C1429">
        <w:rPr>
          <w:rFonts w:ascii="Source Sans Pro" w:hAnsi="Source Sans Pro" w:cs="Source Sans Pro"/>
          <w:sz w:val="22"/>
          <w:szCs w:val="22"/>
        </w:rPr>
        <w:t xml:space="preserve"> %.</w:t>
      </w:r>
      <w:r w:rsidR="007C1429" w:rsidRPr="007C1429">
        <w:rPr>
          <w:rFonts w:ascii="Source Sans Pro" w:hAnsi="Source Sans Pro" w:cs="Source Sans Pro"/>
          <w:sz w:val="22"/>
          <w:szCs w:val="22"/>
        </w:rPr>
        <w:t xml:space="preserve"> Den</w:t>
      </w:r>
      <w:r w:rsidR="007C1429">
        <w:rPr>
          <w:rFonts w:ascii="Source Sans Pro" w:hAnsi="Source Sans Pro" w:cs="Source Sans Pro"/>
          <w:sz w:val="22"/>
          <w:szCs w:val="22"/>
        </w:rPr>
        <w:t xml:space="preserve"> deutlichsten Rückgang verzeichnet Stuttgart (-0,70 %-Punkte), gefolgt von Hamburg und Frankfurt (jeweils -0,60 %-Punkte). Die </w:t>
      </w:r>
      <w:r w:rsidR="009A4503">
        <w:rPr>
          <w:rFonts w:ascii="Source Sans Pro" w:hAnsi="Source Sans Pro" w:cs="Source Sans Pro"/>
          <w:sz w:val="22"/>
          <w:szCs w:val="22"/>
        </w:rPr>
        <w:t>Top-7-</w:t>
      </w:r>
      <w:r w:rsidR="007C1429">
        <w:rPr>
          <w:rFonts w:ascii="Source Sans Pro" w:hAnsi="Source Sans Pro" w:cs="Source Sans Pro"/>
          <w:sz w:val="22"/>
          <w:szCs w:val="22"/>
        </w:rPr>
        <w:t xml:space="preserve">Spitzenrendite für Geschäftshäuser verblieb nahezu unverändert bei 2,88 %.   </w:t>
      </w:r>
      <w:r w:rsidR="000E694E">
        <w:rPr>
          <w:rFonts w:ascii="Source Sans Pro" w:hAnsi="Source Sans Pro" w:cs="Source Sans Pro"/>
          <w:sz w:val="22"/>
          <w:szCs w:val="22"/>
        </w:rPr>
        <w:t xml:space="preserve">     </w:t>
      </w:r>
    </w:p>
    <w:p w14:paraId="29F50F45" w14:textId="4E424BC8" w:rsidR="001C32DB" w:rsidRDefault="001C32DB" w:rsidP="000136D7">
      <w:pPr>
        <w:pStyle w:val="EinfAbs"/>
        <w:tabs>
          <w:tab w:val="left" w:pos="200"/>
        </w:tabs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</w:p>
    <w:p w14:paraId="2B1009D3" w14:textId="264372B3" w:rsidR="003D5D91" w:rsidRDefault="00DA4453" w:rsidP="00F5697E">
      <w:pPr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 w:rsidRPr="00DA4453">
        <w:rPr>
          <w:rFonts w:ascii="Source Sans Pro" w:hAnsi="Source Sans Pro" w:cs="Source Sans Pro"/>
          <w:caps/>
          <w:color w:val="0086A8"/>
          <w:sz w:val="22"/>
          <w:szCs w:val="22"/>
        </w:rPr>
        <w:t>Prognose</w:t>
      </w:r>
    </w:p>
    <w:p w14:paraId="13E33D33" w14:textId="6E6FD132" w:rsidR="00C3159C" w:rsidRDefault="001104E2" w:rsidP="00F5697E">
      <w:pPr>
        <w:snapToGrid w:val="0"/>
        <w:spacing w:line="280" w:lineRule="exact"/>
        <w:jc w:val="both"/>
        <w:rPr>
          <w:rFonts w:ascii="Source Sans Pro" w:hAnsi="Source Sans Pro" w:cs="Source Sans Pro"/>
          <w:sz w:val="22"/>
          <w:szCs w:val="22"/>
        </w:rPr>
      </w:pPr>
      <w:r>
        <w:rPr>
          <w:rFonts w:ascii="Source Sans Pro" w:hAnsi="Source Sans Pro" w:cs="Source Sans Pro"/>
          <w:sz w:val="22"/>
          <w:szCs w:val="22"/>
        </w:rPr>
        <w:t xml:space="preserve">Wie sich die Märkte für gewerbliche Immobilieninvestments an den deutschen Top-7-Standorten im </w:t>
      </w:r>
      <w:r w:rsidR="00F40B12">
        <w:rPr>
          <w:rFonts w:ascii="Source Sans Pro" w:hAnsi="Source Sans Pro" w:cs="Source Sans Pro"/>
          <w:sz w:val="22"/>
          <w:szCs w:val="22"/>
        </w:rPr>
        <w:t>we</w:t>
      </w:r>
      <w:r w:rsidR="00E30081">
        <w:rPr>
          <w:rFonts w:ascii="Source Sans Pro" w:hAnsi="Source Sans Pro" w:cs="Source Sans Pro"/>
          <w:sz w:val="22"/>
          <w:szCs w:val="22"/>
        </w:rPr>
        <w:t>i</w:t>
      </w:r>
      <w:r w:rsidR="00F40B12">
        <w:rPr>
          <w:rFonts w:ascii="Source Sans Pro" w:hAnsi="Source Sans Pro" w:cs="Source Sans Pro"/>
          <w:sz w:val="22"/>
          <w:szCs w:val="22"/>
        </w:rPr>
        <w:t>teren Jahresverlauf</w:t>
      </w:r>
      <w:r>
        <w:rPr>
          <w:rFonts w:ascii="Source Sans Pro" w:hAnsi="Source Sans Pro" w:cs="Source Sans Pro"/>
          <w:sz w:val="22"/>
          <w:szCs w:val="22"/>
        </w:rPr>
        <w:t xml:space="preserve"> </w:t>
      </w:r>
      <w:r w:rsidR="00F40B12">
        <w:rPr>
          <w:rFonts w:ascii="Source Sans Pro" w:hAnsi="Source Sans Pro" w:cs="Source Sans Pro"/>
          <w:sz w:val="22"/>
          <w:szCs w:val="22"/>
        </w:rPr>
        <w:t>entwickeln w</w:t>
      </w:r>
      <w:r w:rsidR="00E30081">
        <w:rPr>
          <w:rFonts w:ascii="Source Sans Pro" w:hAnsi="Source Sans Pro" w:cs="Source Sans Pro"/>
          <w:sz w:val="22"/>
          <w:szCs w:val="22"/>
        </w:rPr>
        <w:t>erden</w:t>
      </w:r>
      <w:r w:rsidR="00F40B12">
        <w:rPr>
          <w:rFonts w:ascii="Source Sans Pro" w:hAnsi="Source Sans Pro" w:cs="Source Sans Pro"/>
          <w:sz w:val="22"/>
          <w:szCs w:val="22"/>
        </w:rPr>
        <w:t>,</w:t>
      </w:r>
      <w:r w:rsidR="00C3159C">
        <w:rPr>
          <w:rFonts w:ascii="Source Sans Pro" w:hAnsi="Source Sans Pro" w:cs="Source Sans Pro"/>
          <w:sz w:val="22"/>
          <w:szCs w:val="22"/>
        </w:rPr>
        <w:t xml:space="preserve"> ist </w:t>
      </w:r>
      <w:r w:rsidR="007C1429">
        <w:rPr>
          <w:rFonts w:ascii="Source Sans Pro" w:hAnsi="Source Sans Pro" w:cs="Source Sans Pro"/>
          <w:sz w:val="22"/>
          <w:szCs w:val="22"/>
        </w:rPr>
        <w:t>angesichts des Ukraine-Kriegs</w:t>
      </w:r>
      <w:r w:rsidR="00837E5B">
        <w:rPr>
          <w:rFonts w:ascii="Source Sans Pro" w:hAnsi="Source Sans Pro" w:cs="Source Sans Pro"/>
          <w:sz w:val="22"/>
          <w:szCs w:val="22"/>
        </w:rPr>
        <w:t>, der Inflation</w:t>
      </w:r>
      <w:r w:rsidR="00C3159C">
        <w:rPr>
          <w:rFonts w:ascii="Source Sans Pro" w:hAnsi="Source Sans Pro" w:cs="Source Sans Pro"/>
          <w:sz w:val="22"/>
          <w:szCs w:val="22"/>
        </w:rPr>
        <w:t xml:space="preserve"> und auch der </w:t>
      </w:r>
      <w:r w:rsidR="00EC4845">
        <w:rPr>
          <w:rFonts w:ascii="Source Sans Pro" w:hAnsi="Source Sans Pro" w:cs="Source Sans Pro"/>
          <w:sz w:val="22"/>
          <w:szCs w:val="22"/>
        </w:rPr>
        <w:t>anhaltenden</w:t>
      </w:r>
      <w:r w:rsidR="00C3159C">
        <w:rPr>
          <w:rFonts w:ascii="Source Sans Pro" w:hAnsi="Source Sans Pro" w:cs="Source Sans Pro"/>
          <w:sz w:val="22"/>
          <w:szCs w:val="22"/>
        </w:rPr>
        <w:t xml:space="preserve"> Corona-Lage </w:t>
      </w:r>
      <w:r w:rsidR="007C1429">
        <w:rPr>
          <w:rFonts w:ascii="Source Sans Pro" w:hAnsi="Source Sans Pro" w:cs="Source Sans Pro"/>
          <w:sz w:val="22"/>
          <w:szCs w:val="22"/>
        </w:rPr>
        <w:t>schwer vorher</w:t>
      </w:r>
      <w:r w:rsidR="00C3159C">
        <w:rPr>
          <w:rFonts w:ascii="Source Sans Pro" w:hAnsi="Source Sans Pro" w:cs="Source Sans Pro"/>
          <w:sz w:val="22"/>
          <w:szCs w:val="22"/>
        </w:rPr>
        <w:t>zu</w:t>
      </w:r>
      <w:r w:rsidR="007C1429">
        <w:rPr>
          <w:rFonts w:ascii="Source Sans Pro" w:hAnsi="Source Sans Pro" w:cs="Source Sans Pro"/>
          <w:sz w:val="22"/>
          <w:szCs w:val="22"/>
        </w:rPr>
        <w:t xml:space="preserve">sehen. </w:t>
      </w:r>
      <w:r w:rsidR="007C1429" w:rsidRPr="00C3159C">
        <w:rPr>
          <w:rFonts w:ascii="Source Sans Pro" w:hAnsi="Source Sans Pro" w:cs="Source Sans Pro"/>
          <w:i/>
          <w:sz w:val="22"/>
          <w:szCs w:val="22"/>
        </w:rPr>
        <w:t>„</w:t>
      </w:r>
      <w:r w:rsidR="00E30081" w:rsidRPr="00C3159C">
        <w:rPr>
          <w:rFonts w:ascii="Source Sans Pro" w:hAnsi="Source Sans Pro" w:cs="Source Sans Pro"/>
          <w:i/>
          <w:sz w:val="22"/>
          <w:szCs w:val="22"/>
        </w:rPr>
        <w:t xml:space="preserve">Das Investoreninteresse ist </w:t>
      </w:r>
      <w:r w:rsidR="009C2D11">
        <w:rPr>
          <w:rFonts w:ascii="Source Sans Pro" w:hAnsi="Source Sans Pro" w:cs="Source Sans Pro"/>
          <w:i/>
          <w:sz w:val="22"/>
          <w:szCs w:val="22"/>
        </w:rPr>
        <w:t xml:space="preserve">derzeit </w:t>
      </w:r>
      <w:r w:rsidR="00073A63">
        <w:rPr>
          <w:rFonts w:ascii="Source Sans Pro" w:hAnsi="Source Sans Pro" w:cs="Source Sans Pro"/>
          <w:i/>
          <w:sz w:val="22"/>
          <w:szCs w:val="22"/>
        </w:rPr>
        <w:t>ungebrochen</w:t>
      </w:r>
      <w:r w:rsidR="00E30081" w:rsidRPr="00C3159C">
        <w:rPr>
          <w:rFonts w:ascii="Source Sans Pro" w:hAnsi="Source Sans Pro" w:cs="Source Sans Pro"/>
          <w:i/>
          <w:sz w:val="22"/>
          <w:szCs w:val="22"/>
        </w:rPr>
        <w:t xml:space="preserve">. Wie </w:t>
      </w:r>
      <w:r w:rsidR="00701992" w:rsidRPr="00C3159C">
        <w:rPr>
          <w:rFonts w:ascii="Source Sans Pro" w:hAnsi="Source Sans Pro" w:cs="Source Sans Pro"/>
          <w:i/>
          <w:sz w:val="22"/>
          <w:szCs w:val="22"/>
        </w:rPr>
        <w:t>wir schon zuvor erlebt haben,</w:t>
      </w:r>
      <w:r w:rsidR="00E30081" w:rsidRPr="00C3159C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462200">
        <w:rPr>
          <w:rFonts w:ascii="Source Sans Pro" w:hAnsi="Source Sans Pro" w:cs="Source Sans Pro"/>
          <w:i/>
          <w:sz w:val="22"/>
          <w:szCs w:val="22"/>
        </w:rPr>
        <w:t>setzen</w:t>
      </w:r>
      <w:r w:rsidR="00462200" w:rsidRPr="00C3159C">
        <w:rPr>
          <w:rFonts w:ascii="Source Sans Pro" w:hAnsi="Source Sans Pro" w:cs="Source Sans Pro"/>
          <w:i/>
          <w:sz w:val="22"/>
          <w:szCs w:val="22"/>
        </w:rPr>
        <w:t xml:space="preserve"> </w:t>
      </w:r>
      <w:r w:rsidR="00E30081" w:rsidRPr="00C3159C">
        <w:rPr>
          <w:rFonts w:ascii="Source Sans Pro" w:hAnsi="Source Sans Pro" w:cs="Source Sans Pro"/>
          <w:i/>
          <w:sz w:val="22"/>
          <w:szCs w:val="22"/>
        </w:rPr>
        <w:t xml:space="preserve">Menschen </w:t>
      </w:r>
      <w:r w:rsidR="00701992" w:rsidRPr="00C3159C">
        <w:rPr>
          <w:rFonts w:ascii="Source Sans Pro" w:hAnsi="Source Sans Pro" w:cs="Source Sans Pro"/>
          <w:i/>
          <w:sz w:val="22"/>
          <w:szCs w:val="22"/>
        </w:rPr>
        <w:t xml:space="preserve">in Krisenzeiten </w:t>
      </w:r>
      <w:r w:rsidR="00767018">
        <w:rPr>
          <w:rFonts w:ascii="Source Sans Pro" w:hAnsi="Source Sans Pro" w:cs="Source Sans Pro"/>
          <w:i/>
          <w:sz w:val="22"/>
          <w:szCs w:val="22"/>
        </w:rPr>
        <w:t>auf</w:t>
      </w:r>
      <w:r w:rsidR="00E30081" w:rsidRPr="00C3159C">
        <w:rPr>
          <w:rFonts w:ascii="Source Sans Pro" w:hAnsi="Source Sans Pro" w:cs="Source Sans Pro"/>
          <w:i/>
          <w:sz w:val="22"/>
          <w:szCs w:val="22"/>
        </w:rPr>
        <w:t xml:space="preserve"> Sachwerte</w:t>
      </w:r>
      <w:r w:rsidR="002F786B">
        <w:rPr>
          <w:rFonts w:ascii="Source Sans Pro" w:hAnsi="Source Sans Pro" w:cs="Source Sans Pro"/>
          <w:i/>
          <w:sz w:val="22"/>
          <w:szCs w:val="22"/>
        </w:rPr>
        <w:t xml:space="preserve">, was die Nachfrage auch angesichts politischer Unsicherheiten </w:t>
      </w:r>
      <w:r w:rsidR="00176433">
        <w:rPr>
          <w:rFonts w:ascii="Source Sans Pro" w:hAnsi="Source Sans Pro" w:cs="Source Sans Pro"/>
          <w:i/>
          <w:sz w:val="22"/>
          <w:szCs w:val="22"/>
        </w:rPr>
        <w:t>hochhalten</w:t>
      </w:r>
      <w:r w:rsidR="002F786B">
        <w:rPr>
          <w:rFonts w:ascii="Source Sans Pro" w:hAnsi="Source Sans Pro" w:cs="Source Sans Pro"/>
          <w:i/>
          <w:sz w:val="22"/>
          <w:szCs w:val="22"/>
        </w:rPr>
        <w:t xml:space="preserve"> dürfte</w:t>
      </w:r>
      <w:r w:rsidR="00C3159C">
        <w:rPr>
          <w:rFonts w:ascii="Source Sans Pro" w:hAnsi="Source Sans Pro" w:cs="Source Sans Pro"/>
          <w:i/>
          <w:sz w:val="22"/>
          <w:szCs w:val="22"/>
        </w:rPr>
        <w:t xml:space="preserve">“, </w:t>
      </w:r>
      <w:r w:rsidR="00C3159C" w:rsidRPr="00837E5B">
        <w:rPr>
          <w:rFonts w:ascii="Source Sans Pro" w:hAnsi="Source Sans Pro" w:cs="Source Sans Pro"/>
          <w:sz w:val="22"/>
          <w:szCs w:val="22"/>
        </w:rPr>
        <w:t xml:space="preserve">erläutert </w:t>
      </w:r>
      <w:r w:rsidR="00C3159C" w:rsidRPr="002F786B">
        <w:rPr>
          <w:rFonts w:ascii="Source Sans Pro" w:hAnsi="Source Sans Pro" w:cs="Source Sans Pro"/>
          <w:b/>
          <w:sz w:val="22"/>
          <w:szCs w:val="22"/>
        </w:rPr>
        <w:t>Rehberg</w:t>
      </w:r>
      <w:r w:rsidR="00C3159C" w:rsidRPr="00837E5B">
        <w:rPr>
          <w:rFonts w:ascii="Source Sans Pro" w:hAnsi="Source Sans Pro" w:cs="Source Sans Pro"/>
          <w:sz w:val="22"/>
          <w:szCs w:val="22"/>
        </w:rPr>
        <w:t>, und ergänzt:</w:t>
      </w:r>
      <w:r w:rsidR="00C3159C">
        <w:rPr>
          <w:rFonts w:ascii="Source Sans Pro" w:hAnsi="Source Sans Pro" w:cs="Source Sans Pro"/>
          <w:i/>
          <w:sz w:val="22"/>
          <w:szCs w:val="22"/>
        </w:rPr>
        <w:t xml:space="preserve"> „</w:t>
      </w:r>
      <w:r w:rsidR="00C3159C" w:rsidRPr="00C3159C">
        <w:rPr>
          <w:rFonts w:ascii="Source Sans Pro" w:hAnsi="Source Sans Pro" w:cs="Source Sans Pro"/>
          <w:i/>
          <w:sz w:val="22"/>
          <w:szCs w:val="22"/>
        </w:rPr>
        <w:t xml:space="preserve">Das </w:t>
      </w:r>
      <w:r w:rsidR="00C3159C">
        <w:rPr>
          <w:rFonts w:ascii="Source Sans Pro" w:hAnsi="Source Sans Pro" w:cs="Source Sans Pro"/>
          <w:i/>
          <w:sz w:val="22"/>
          <w:szCs w:val="22"/>
        </w:rPr>
        <w:t xml:space="preserve">bereits </w:t>
      </w:r>
      <w:r w:rsidR="00C3159C" w:rsidRPr="00C3159C">
        <w:rPr>
          <w:rFonts w:ascii="Source Sans Pro" w:hAnsi="Source Sans Pro" w:cs="Source Sans Pro"/>
          <w:i/>
          <w:sz w:val="22"/>
          <w:szCs w:val="22"/>
        </w:rPr>
        <w:t>steigende Zinsniveau könnte Investoren zu schnellen Handlungen motivieren</w:t>
      </w:r>
      <w:r w:rsidR="00C3159C">
        <w:rPr>
          <w:rFonts w:ascii="Source Sans Pro" w:hAnsi="Source Sans Pro" w:cs="Source Sans Pro"/>
          <w:i/>
          <w:sz w:val="22"/>
          <w:szCs w:val="22"/>
        </w:rPr>
        <w:t xml:space="preserve">. </w:t>
      </w:r>
      <w:r w:rsidR="00837E5B">
        <w:rPr>
          <w:rFonts w:ascii="Source Sans Pro" w:hAnsi="Source Sans Pro" w:cs="Source Sans Pro"/>
          <w:i/>
          <w:sz w:val="22"/>
          <w:szCs w:val="22"/>
        </w:rPr>
        <w:t xml:space="preserve">Wenn die EZB wie erwartet in diesem </w:t>
      </w:r>
      <w:r w:rsidR="00073A63">
        <w:rPr>
          <w:rFonts w:ascii="Source Sans Pro" w:hAnsi="Source Sans Pro" w:cs="Source Sans Pro"/>
          <w:i/>
          <w:sz w:val="22"/>
          <w:szCs w:val="22"/>
        </w:rPr>
        <w:t xml:space="preserve">Jahr mit einem Zinsschritt </w:t>
      </w:r>
      <w:r w:rsidR="00837E5B">
        <w:rPr>
          <w:rFonts w:ascii="Source Sans Pro" w:hAnsi="Source Sans Pro" w:cs="Source Sans Pro"/>
          <w:i/>
          <w:sz w:val="22"/>
          <w:szCs w:val="22"/>
        </w:rPr>
        <w:t>nachzieht, könnte dies eine Trendwende bei der Preisgestaltung von Immobilien einleiten</w:t>
      </w:r>
      <w:r w:rsidR="002F786B">
        <w:rPr>
          <w:rFonts w:ascii="Source Sans Pro" w:hAnsi="Source Sans Pro" w:cs="Source Sans Pro"/>
          <w:i/>
          <w:sz w:val="22"/>
          <w:szCs w:val="22"/>
        </w:rPr>
        <w:t>.</w:t>
      </w:r>
      <w:r w:rsidR="00C3159C" w:rsidRPr="00C3159C">
        <w:rPr>
          <w:rFonts w:ascii="Source Sans Pro" w:hAnsi="Source Sans Pro" w:cs="Source Sans Pro"/>
          <w:i/>
          <w:sz w:val="22"/>
          <w:szCs w:val="22"/>
        </w:rPr>
        <w:t>“</w:t>
      </w:r>
      <w:r w:rsidR="00C3159C">
        <w:rPr>
          <w:rFonts w:ascii="Source Sans Pro" w:hAnsi="Source Sans Pro" w:cs="Source Sans Pro"/>
          <w:sz w:val="22"/>
          <w:szCs w:val="22"/>
        </w:rPr>
        <w:t xml:space="preserve"> </w:t>
      </w:r>
    </w:p>
    <w:p w14:paraId="5BD0AAD6" w14:textId="77777777" w:rsidR="001104E2" w:rsidRDefault="001104E2" w:rsidP="00F5697E">
      <w:pPr>
        <w:snapToGrid w:val="0"/>
        <w:spacing w:line="280" w:lineRule="exact"/>
        <w:jc w:val="both"/>
        <w:rPr>
          <w:rFonts w:ascii="Source Sans Pro" w:hAnsi="Source Sans Pro" w:cs="Source Sans Pro"/>
          <w:i/>
          <w:sz w:val="22"/>
          <w:szCs w:val="22"/>
        </w:rPr>
      </w:pPr>
    </w:p>
    <w:p w14:paraId="5CED34B8" w14:textId="7560CFD6" w:rsidR="00161817" w:rsidRPr="00161817" w:rsidRDefault="00161817" w:rsidP="00EF0944">
      <w:pPr>
        <w:overflowPunct/>
        <w:autoSpaceDE/>
        <w:autoSpaceDN/>
        <w:adjustRightInd/>
        <w:textAlignment w:val="auto"/>
        <w:rPr>
          <w:rFonts w:ascii="Source Sans Pro" w:hAnsi="Source Sans Pro" w:cs="Arial"/>
          <w:b/>
          <w:sz w:val="20"/>
        </w:rPr>
      </w:pPr>
      <w:r w:rsidRPr="00161817">
        <w:rPr>
          <w:rFonts w:ascii="Source Sans Pro" w:hAnsi="Source Sans Pro" w:cs="Arial"/>
          <w:b/>
          <w:sz w:val="20"/>
        </w:rPr>
        <w:t>Top bekannte Abschlüsse | Top-7-Standorte | 1. 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1"/>
        <w:tblW w:w="9231" w:type="dxa"/>
        <w:tblLayout w:type="fixed"/>
        <w:tblLook w:val="04A0" w:firstRow="1" w:lastRow="0" w:firstColumn="1" w:lastColumn="0" w:noHBand="0" w:noVBand="1"/>
      </w:tblPr>
      <w:tblGrid>
        <w:gridCol w:w="687"/>
        <w:gridCol w:w="2682"/>
        <w:gridCol w:w="2658"/>
        <w:gridCol w:w="2190"/>
        <w:gridCol w:w="1014"/>
      </w:tblGrid>
      <w:tr w:rsidR="00161817" w:rsidRPr="00161817" w14:paraId="113FCC50" w14:textId="77777777" w:rsidTr="009E6C40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130C696A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Stadt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E34B091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Projekt/Objekt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26669932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Käufer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90FE9E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Verkäufer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028E3657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KP*</w:t>
            </w:r>
          </w:p>
          <w:p w14:paraId="24C76A25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(ca. Mio. €)</w:t>
            </w:r>
          </w:p>
        </w:tc>
      </w:tr>
      <w:tr w:rsidR="008E0A69" w:rsidRPr="00161817" w14:paraId="27C03D98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0E96E9C" w14:textId="3E586529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64553CD" w14:textId="04FD9F7C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Marienturm,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Taunusanlage 9+10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CACC67F" w14:textId="530CD1E5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DWS für den National Pension Service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of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Korea (NPS)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B47ECF9" w14:textId="585902FF" w:rsidR="008E0A69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Aermont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Capital / zu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Perella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Weinberg gehörenden Fonds PWREF II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515AE998" w14:textId="2C408512" w:rsidR="008E0A69" w:rsidRDefault="00462200" w:rsidP="0046220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&gt; 800</w:t>
            </w:r>
          </w:p>
        </w:tc>
      </w:tr>
      <w:tr w:rsidR="00462200" w:rsidRPr="00161817" w14:paraId="3B1D8DB4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D10972E" w14:textId="7B1FADE4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10848B51" w14:textId="25FCF876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Olympia Business Center (OBC), Georg-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Brauchle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>-Ring 23-25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7E16077" w14:textId="2548F1F1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Athos Family Office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C3E9E5B" w14:textId="60C6C2BF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Europa Capital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Bayern Projekt (Joint-Venture)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94DDCD3" w14:textId="0D7A6C7A" w:rsidR="00462200" w:rsidRDefault="00462200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300</w:t>
            </w:r>
          </w:p>
        </w:tc>
      </w:tr>
      <w:tr w:rsidR="009C2D11" w:rsidRPr="00161817" w14:paraId="31B5D213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9B8D225" w14:textId="1F48F400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262C037" w14:textId="3F158B5A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Lauchstädter Straße 5-11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174D1AC" w14:textId="729D88C7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CV Real Estate AG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599CAF90" w14:textId="0B3EE025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JP Morgan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B081FB8" w14:textId="1381F8D2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160</w:t>
            </w:r>
          </w:p>
        </w:tc>
      </w:tr>
      <w:tr w:rsidR="009C2D11" w:rsidRPr="00161817" w14:paraId="79056292" w14:textId="77777777" w:rsidTr="00F40B12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904D20B" w14:textId="6D46F884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MUC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8FAE33D" w14:textId="0EA640E2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Quadriga,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Apianstr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>. 2-20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BEC5C93" w14:textId="56B113CA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Apollo Global Management, LLC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75A83CD4" w14:textId="35A2CC5A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Aroundtown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52329184" w14:textId="3116F2EF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121</w:t>
            </w:r>
          </w:p>
        </w:tc>
      </w:tr>
      <w:tr w:rsidR="009C2D11" w:rsidRPr="00161817" w14:paraId="179EE3DD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23DC6F92" w14:textId="2AAC92F7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BER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AB0F227" w14:textId="7713DC60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Sheraton Berlin Grand Hotel Esplanade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5146B243" w14:textId="4DC28B12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DFI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Cells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03183FE" w14:textId="2B1E38B6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Archer Hotel Capital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/</w:t>
            </w:r>
            <w:r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r w:rsidRPr="00462200">
              <w:rPr>
                <w:rFonts w:ascii="Source Sans Pro" w:hAnsi="Source Sans Pro" w:cs="Arial"/>
                <w:sz w:val="16"/>
                <w:szCs w:val="16"/>
              </w:rPr>
              <w:t>Event Hotels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6A15DF9" w14:textId="2198FF0A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116</w:t>
            </w:r>
          </w:p>
        </w:tc>
      </w:tr>
      <w:tr w:rsidR="00632159" w:rsidRPr="00161817" w14:paraId="12AF04D8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51198D49" w14:textId="5FF4975D" w:rsidR="00632159" w:rsidRDefault="0063215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HAM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32B01FA" w14:textId="77777777" w:rsidR="00632159" w:rsidRPr="00632159" w:rsidRDefault="00632159" w:rsidP="0063215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32159">
              <w:rPr>
                <w:rFonts w:ascii="Source Sans Pro" w:hAnsi="Source Sans Pro" w:cs="Arial"/>
                <w:sz w:val="16"/>
                <w:szCs w:val="16"/>
              </w:rPr>
              <w:t>Grundstück</w:t>
            </w:r>
          </w:p>
          <w:p w14:paraId="5C4E07A1" w14:textId="13F7B501" w:rsidR="00632159" w:rsidRPr="00462200" w:rsidRDefault="00632159" w:rsidP="00632159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32159">
              <w:rPr>
                <w:rFonts w:ascii="Source Sans Pro" w:hAnsi="Source Sans Pro" w:cs="Arial"/>
                <w:sz w:val="16"/>
                <w:szCs w:val="16"/>
              </w:rPr>
              <w:t>Seehafenstraße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38878AB9" w14:textId="495D5F9F" w:rsidR="00632159" w:rsidRPr="00462200" w:rsidRDefault="0063215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32159">
              <w:rPr>
                <w:rFonts w:ascii="Source Sans Pro" w:hAnsi="Source Sans Pro" w:cs="Arial"/>
                <w:sz w:val="16"/>
                <w:szCs w:val="16"/>
              </w:rPr>
              <w:t>Projektentwickler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42E1AFE0" w14:textId="767A315B" w:rsidR="00632159" w:rsidRPr="00462200" w:rsidRDefault="0063215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32159">
              <w:rPr>
                <w:rFonts w:ascii="Source Sans Pro" w:hAnsi="Source Sans Pro" w:cs="Arial"/>
                <w:sz w:val="16"/>
                <w:szCs w:val="16"/>
              </w:rPr>
              <w:t>Corporate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72507F4" w14:textId="53551EC4" w:rsidR="00632159" w:rsidRDefault="00632159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70</w:t>
            </w:r>
          </w:p>
        </w:tc>
      </w:tr>
      <w:tr w:rsidR="009C2D11" w:rsidRPr="00161817" w14:paraId="3C64C2B8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896811B" w14:textId="21FCB499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lastRenderedPageBreak/>
              <w:t>CGN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0E3D65B" w14:textId="0F67923B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Büro-Neubauprojekt </w:t>
            </w:r>
            <w:r>
              <w:rPr>
                <w:rFonts w:ascii="Source Sans Pro" w:hAnsi="Source Sans Pro" w:cs="Arial"/>
                <w:sz w:val="16"/>
                <w:szCs w:val="16"/>
              </w:rPr>
              <w:br/>
            </w:r>
            <w:r w:rsidRPr="00392E9E">
              <w:rPr>
                <w:rFonts w:ascii="Source Sans Pro" w:hAnsi="Source Sans Pro" w:cs="Arial"/>
                <w:sz w:val="16"/>
                <w:szCs w:val="16"/>
              </w:rPr>
              <w:t>Schildergasse 56-58 / Herzogstraße 2-12 / Perlenpfuhl 39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7FA3410A" w14:textId="757A042D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392E9E">
              <w:rPr>
                <w:rFonts w:ascii="Source Sans Pro" w:hAnsi="Source Sans Pro" w:cs="Arial"/>
                <w:sz w:val="16"/>
                <w:szCs w:val="16"/>
              </w:rPr>
              <w:t>Union Investment für "</w:t>
            </w: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UniImmo</w:t>
            </w:r>
            <w:proofErr w:type="spellEnd"/>
            <w:r w:rsidRPr="00392E9E">
              <w:rPr>
                <w:rFonts w:ascii="Source Sans Pro" w:hAnsi="Source Sans Pro" w:cs="Arial"/>
                <w:sz w:val="16"/>
                <w:szCs w:val="16"/>
              </w:rPr>
              <w:t>: Deutschland"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3503109F" w14:textId="4AAE3351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Bauwens</w:t>
            </w:r>
            <w:proofErr w:type="spellEnd"/>
          </w:p>
        </w:tc>
        <w:tc>
          <w:tcPr>
            <w:tcW w:w="1014" w:type="dxa"/>
            <w:shd w:val="clear" w:color="auto" w:fill="auto"/>
            <w:vAlign w:val="center"/>
          </w:tcPr>
          <w:p w14:paraId="51A1847E" w14:textId="0C7ECF74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50</w:t>
            </w:r>
          </w:p>
        </w:tc>
      </w:tr>
      <w:tr w:rsidR="009C2D11" w:rsidRPr="00161817" w14:paraId="4962DD99" w14:textId="77777777" w:rsidTr="00073A63">
        <w:trPr>
          <w:trHeight w:val="140"/>
        </w:trPr>
        <w:tc>
          <w:tcPr>
            <w:tcW w:w="687" w:type="dxa"/>
            <w:shd w:val="clear" w:color="auto" w:fill="AEAAAA" w:themeFill="background2" w:themeFillShade="BF"/>
            <w:vAlign w:val="center"/>
          </w:tcPr>
          <w:p w14:paraId="75742589" w14:textId="77777777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82" w:type="dxa"/>
            <w:shd w:val="clear" w:color="auto" w:fill="AEAAAA" w:themeFill="background2" w:themeFillShade="BF"/>
            <w:vAlign w:val="center"/>
          </w:tcPr>
          <w:p w14:paraId="03D0F1B5" w14:textId="77777777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658" w:type="dxa"/>
            <w:shd w:val="clear" w:color="auto" w:fill="AEAAAA" w:themeFill="background2" w:themeFillShade="BF"/>
            <w:vAlign w:val="center"/>
          </w:tcPr>
          <w:p w14:paraId="01D566D4" w14:textId="77777777" w:rsidR="009C2D11" w:rsidRPr="00392E9E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2190" w:type="dxa"/>
            <w:shd w:val="clear" w:color="auto" w:fill="AEAAAA" w:themeFill="background2" w:themeFillShade="BF"/>
            <w:vAlign w:val="center"/>
          </w:tcPr>
          <w:p w14:paraId="72D67DB9" w14:textId="77777777" w:rsidR="009C2D11" w:rsidRPr="00392E9E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  <w:tc>
          <w:tcPr>
            <w:tcW w:w="1014" w:type="dxa"/>
            <w:shd w:val="clear" w:color="auto" w:fill="AEAAAA" w:themeFill="background2" w:themeFillShade="BF"/>
            <w:vAlign w:val="center"/>
          </w:tcPr>
          <w:p w14:paraId="29A21095" w14:textId="77777777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</w:p>
        </w:tc>
      </w:tr>
      <w:tr w:rsidR="009C2D11" w:rsidRPr="00161817" w14:paraId="5F44FAC1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98977BA" w14:textId="2313E866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9C2F037" w14:textId="1D6B2A24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9C2D11">
              <w:rPr>
                <w:rFonts w:ascii="Source Sans Pro" w:hAnsi="Source Sans Pro" w:cs="Arial"/>
                <w:sz w:val="16"/>
                <w:szCs w:val="16"/>
              </w:rPr>
              <w:t>Kastor, Platz der Einheit 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06863910" w14:textId="2F794117" w:rsidR="009C2D11" w:rsidRPr="00392E9E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Brookfield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647CE70" w14:textId="59C2CCB8" w:rsidR="009C2D11" w:rsidRPr="00392E9E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alstria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office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6BC77E4B" w14:textId="2134A5FB" w:rsidR="009C2D11" w:rsidRDefault="009C2D11" w:rsidP="009C2D11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18092C" w:rsidRPr="00161817" w14:paraId="72F51164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6E275A54" w14:textId="0282839B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STG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6C13D07" w14:textId="63FF7DE4" w:rsidR="0018092C" w:rsidRPr="00632159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Epplestraße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22</w:t>
            </w:r>
            <w:r>
              <w:rPr>
                <w:rFonts w:ascii="Source Sans Pro" w:hAnsi="Source Sans Pro" w:cs="Arial"/>
                <w:sz w:val="16"/>
                <w:szCs w:val="16"/>
              </w:rPr>
              <w:t>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E4F20C3" w14:textId="5B8D7097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Brookfield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6CA8D658" w14:textId="5C253CC0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alstria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office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2433D167" w14:textId="1B98812C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18092C" w:rsidRPr="00161817" w14:paraId="0522854A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4C3D97D4" w14:textId="3EA17412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FFM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1F66CD0" w14:textId="75D6A70D" w:rsidR="0018092C" w:rsidRPr="009C2D11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632159">
              <w:rPr>
                <w:rFonts w:ascii="Source Sans Pro" w:hAnsi="Source Sans Pro" w:cs="Arial"/>
                <w:sz w:val="16"/>
                <w:szCs w:val="16"/>
              </w:rPr>
              <w:t>Solmsstraße 27-37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15B96EBC" w14:textId="5623CB4C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Brookfield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05D9EFDA" w14:textId="363B14BA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alstria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462200">
              <w:rPr>
                <w:rFonts w:ascii="Source Sans Pro" w:hAnsi="Source Sans Pro" w:cs="Arial"/>
                <w:sz w:val="16"/>
                <w:szCs w:val="16"/>
              </w:rPr>
              <w:t>office</w:t>
            </w:r>
            <w:proofErr w:type="spellEnd"/>
            <w:r w:rsidRPr="00462200">
              <w:rPr>
                <w:rFonts w:ascii="Source Sans Pro" w:hAnsi="Source Sans Pro" w:cs="Arial"/>
                <w:sz w:val="16"/>
                <w:szCs w:val="16"/>
              </w:rPr>
              <w:t xml:space="preserve">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14D33199" w14:textId="1396EF8D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18092C" w:rsidRPr="00161817" w14:paraId="3C8AFCAE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AD87A39" w14:textId="24A89246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STG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DD5D2DE" w14:textId="72004CD0" w:rsidR="0018092C" w:rsidRPr="00632159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Vaihinger</w:t>
            </w:r>
            <w:proofErr w:type="spellEnd"/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 Straße 131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6F0779B8" w14:textId="108FA90C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Züblin</w:t>
            </w:r>
            <w:proofErr w:type="spellEnd"/>
          </w:p>
        </w:tc>
        <w:tc>
          <w:tcPr>
            <w:tcW w:w="2190" w:type="dxa"/>
            <w:shd w:val="clear" w:color="auto" w:fill="auto"/>
            <w:vAlign w:val="center"/>
          </w:tcPr>
          <w:p w14:paraId="0CD57757" w14:textId="7254F0F9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alstria</w:t>
            </w:r>
            <w:proofErr w:type="spellEnd"/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office</w:t>
            </w:r>
            <w:proofErr w:type="spellEnd"/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745002DE" w14:textId="3FAD6277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  <w:tr w:rsidR="0018092C" w:rsidRPr="00161817" w14:paraId="21A7221F" w14:textId="77777777" w:rsidTr="000021F4">
        <w:trPr>
          <w:trHeight w:val="552"/>
        </w:trPr>
        <w:tc>
          <w:tcPr>
            <w:tcW w:w="687" w:type="dxa"/>
            <w:shd w:val="clear" w:color="auto" w:fill="auto"/>
            <w:vAlign w:val="center"/>
          </w:tcPr>
          <w:p w14:paraId="71E49D5D" w14:textId="79A7392E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STG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6A75F6E3" w14:textId="1F49A4A1" w:rsidR="0018092C" w:rsidRPr="00632159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Breitwiesenstraße </w:t>
            </w:r>
            <w:r>
              <w:rPr>
                <w:rFonts w:ascii="Source Sans Pro" w:hAnsi="Source Sans Pro" w:cs="Arial"/>
                <w:sz w:val="16"/>
                <w:szCs w:val="16"/>
              </w:rPr>
              <w:t>3</w:t>
            </w:r>
            <w:r w:rsidRPr="00392E9E">
              <w:rPr>
                <w:rFonts w:ascii="Source Sans Pro" w:hAnsi="Source Sans Pro" w:cs="Arial"/>
                <w:sz w:val="16"/>
                <w:szCs w:val="16"/>
              </w:rPr>
              <w:t>-5</w:t>
            </w:r>
          </w:p>
        </w:tc>
        <w:tc>
          <w:tcPr>
            <w:tcW w:w="2658" w:type="dxa"/>
            <w:shd w:val="clear" w:color="auto" w:fill="auto"/>
            <w:vAlign w:val="center"/>
          </w:tcPr>
          <w:p w14:paraId="4A8D5747" w14:textId="673D8555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Brookfield</w:t>
            </w:r>
            <w:proofErr w:type="spellEnd"/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 Asset Management</w:t>
            </w:r>
          </w:p>
        </w:tc>
        <w:tc>
          <w:tcPr>
            <w:tcW w:w="2190" w:type="dxa"/>
            <w:shd w:val="clear" w:color="auto" w:fill="auto"/>
            <w:vAlign w:val="center"/>
          </w:tcPr>
          <w:p w14:paraId="2B5A1F74" w14:textId="3E310DB5" w:rsidR="0018092C" w:rsidRPr="00462200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alstria</w:t>
            </w:r>
            <w:proofErr w:type="spellEnd"/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 </w:t>
            </w:r>
            <w:proofErr w:type="spellStart"/>
            <w:r w:rsidRPr="00392E9E">
              <w:rPr>
                <w:rFonts w:ascii="Source Sans Pro" w:hAnsi="Source Sans Pro" w:cs="Arial"/>
                <w:sz w:val="16"/>
                <w:szCs w:val="16"/>
              </w:rPr>
              <w:t>office</w:t>
            </w:r>
            <w:proofErr w:type="spellEnd"/>
            <w:r w:rsidRPr="00392E9E">
              <w:rPr>
                <w:rFonts w:ascii="Source Sans Pro" w:hAnsi="Source Sans Pro" w:cs="Arial"/>
                <w:sz w:val="16"/>
                <w:szCs w:val="16"/>
              </w:rPr>
              <w:t xml:space="preserve"> REIT-AG</w:t>
            </w:r>
          </w:p>
        </w:tc>
        <w:tc>
          <w:tcPr>
            <w:tcW w:w="1014" w:type="dxa"/>
            <w:shd w:val="clear" w:color="auto" w:fill="auto"/>
            <w:vAlign w:val="center"/>
          </w:tcPr>
          <w:p w14:paraId="3B7564C1" w14:textId="7AE7ADF2" w:rsidR="0018092C" w:rsidRDefault="0018092C" w:rsidP="0018092C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vertraulich</w:t>
            </w:r>
          </w:p>
        </w:tc>
      </w:tr>
    </w:tbl>
    <w:p w14:paraId="42561C64" w14:textId="77777777" w:rsidR="00966A04" w:rsidRDefault="00161817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 w:rsidRPr="00161817">
        <w:rPr>
          <w:rFonts w:ascii="Source Sans Pro" w:hAnsi="Source Sans Pro" w:cs="Arial"/>
          <w:sz w:val="16"/>
          <w:szCs w:val="16"/>
        </w:rPr>
        <w:t>Quelle:</w:t>
      </w:r>
      <w:r w:rsidRPr="00161817">
        <w:rPr>
          <w:rFonts w:ascii="Source Sans Pro" w:hAnsi="Source Sans Pro" w:cs="Arial"/>
          <w:sz w:val="16"/>
          <w:szCs w:val="16"/>
          <w:lang w:val="en-GB"/>
        </w:rPr>
        <w:t xml:space="preserve"> German Property Partners (GPP)</w:t>
      </w:r>
    </w:p>
    <w:p w14:paraId="42791304" w14:textId="24894CDA" w:rsidR="00161817" w:rsidRPr="00EF0944" w:rsidRDefault="00073A63" w:rsidP="00EF0944">
      <w:pPr>
        <w:widowControl w:val="0"/>
        <w:rPr>
          <w:rFonts w:ascii="Source Sans Pro" w:hAnsi="Source Sans Pro" w:cs="Arial"/>
          <w:sz w:val="16"/>
          <w:szCs w:val="16"/>
          <w:lang w:val="en-GB"/>
        </w:rPr>
      </w:pPr>
      <w:r>
        <w:rPr>
          <w:rFonts w:ascii="Source Sans Pro" w:hAnsi="Source Sans Pro" w:cs="Arial"/>
          <w:b/>
          <w:sz w:val="20"/>
          <w:lang w:val="en-GB"/>
        </w:rPr>
        <w:br/>
      </w:r>
      <w:r w:rsidR="00B46BC1">
        <w:rPr>
          <w:rFonts w:ascii="Source Sans Pro" w:hAnsi="Source Sans Pro" w:cs="Arial"/>
          <w:b/>
          <w:sz w:val="20"/>
          <w:lang w:val="en-GB"/>
        </w:rPr>
        <w:t xml:space="preserve">Top-7-Standorte | </w:t>
      </w:r>
      <w:proofErr w:type="gramStart"/>
      <w:r w:rsidR="00B46BC1">
        <w:rPr>
          <w:rFonts w:ascii="Source Sans Pro" w:hAnsi="Source Sans Pro" w:cs="Arial"/>
          <w:b/>
          <w:sz w:val="20"/>
          <w:lang w:val="en-GB"/>
        </w:rPr>
        <w:t>1</w:t>
      </w:r>
      <w:proofErr w:type="gramEnd"/>
      <w:r w:rsidR="00B46BC1">
        <w:rPr>
          <w:rFonts w:ascii="Source Sans Pro" w:hAnsi="Source Sans Pro" w:cs="Arial"/>
          <w:b/>
          <w:sz w:val="20"/>
          <w:lang w:val="en-GB"/>
        </w:rPr>
        <w:t>.</w:t>
      </w:r>
      <w:r w:rsidR="00161817" w:rsidRPr="00161817">
        <w:rPr>
          <w:rFonts w:ascii="Source Sans Pro" w:hAnsi="Source Sans Pro" w:cs="Arial"/>
          <w:b/>
          <w:sz w:val="20"/>
          <w:lang w:val="en-GB"/>
        </w:rPr>
        <w:t xml:space="preserve"> </w:t>
      </w:r>
      <w:r w:rsidR="00161817" w:rsidRPr="00161817">
        <w:rPr>
          <w:rFonts w:ascii="Source Sans Pro" w:hAnsi="Source Sans Pro" w:cs="Arial"/>
          <w:b/>
          <w:sz w:val="20"/>
        </w:rPr>
        <w:t>Quartal 202</w:t>
      </w:r>
      <w:r w:rsidR="00F40B12">
        <w:rPr>
          <w:rFonts w:ascii="Source Sans Pro" w:hAnsi="Source Sans Pro" w:cs="Arial"/>
          <w:b/>
          <w:sz w:val="20"/>
        </w:rPr>
        <w:t>2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39"/>
        <w:gridCol w:w="817"/>
        <w:gridCol w:w="816"/>
        <w:gridCol w:w="933"/>
        <w:gridCol w:w="937"/>
        <w:gridCol w:w="937"/>
        <w:gridCol w:w="932"/>
        <w:gridCol w:w="936"/>
        <w:gridCol w:w="800"/>
      </w:tblGrid>
      <w:tr w:rsidR="00161817" w:rsidRPr="00161817" w14:paraId="22958352" w14:textId="77777777" w:rsidTr="009E6C40">
        <w:tc>
          <w:tcPr>
            <w:tcW w:w="1939" w:type="dxa"/>
          </w:tcPr>
          <w:p w14:paraId="39DB6921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</w:p>
        </w:tc>
        <w:tc>
          <w:tcPr>
            <w:tcW w:w="817" w:type="dxa"/>
          </w:tcPr>
          <w:p w14:paraId="315CE750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HAM</w:t>
            </w:r>
          </w:p>
        </w:tc>
        <w:tc>
          <w:tcPr>
            <w:tcW w:w="816" w:type="dxa"/>
          </w:tcPr>
          <w:p w14:paraId="5422B71C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BER</w:t>
            </w:r>
          </w:p>
        </w:tc>
        <w:tc>
          <w:tcPr>
            <w:tcW w:w="933" w:type="dxa"/>
          </w:tcPr>
          <w:p w14:paraId="52D79F3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DUS</w:t>
            </w:r>
          </w:p>
        </w:tc>
        <w:tc>
          <w:tcPr>
            <w:tcW w:w="937" w:type="dxa"/>
          </w:tcPr>
          <w:p w14:paraId="3503C5FE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CGN</w:t>
            </w:r>
          </w:p>
        </w:tc>
        <w:tc>
          <w:tcPr>
            <w:tcW w:w="937" w:type="dxa"/>
          </w:tcPr>
          <w:p w14:paraId="6CCF5FE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FFM</w:t>
            </w:r>
          </w:p>
        </w:tc>
        <w:tc>
          <w:tcPr>
            <w:tcW w:w="932" w:type="dxa"/>
          </w:tcPr>
          <w:p w14:paraId="6A9F6826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STU</w:t>
            </w:r>
          </w:p>
        </w:tc>
        <w:tc>
          <w:tcPr>
            <w:tcW w:w="936" w:type="dxa"/>
          </w:tcPr>
          <w:p w14:paraId="006B7969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MUC</w:t>
            </w:r>
          </w:p>
        </w:tc>
        <w:tc>
          <w:tcPr>
            <w:tcW w:w="800" w:type="dxa"/>
          </w:tcPr>
          <w:p w14:paraId="361D716F" w14:textId="77777777" w:rsidR="00161817" w:rsidRPr="00161817" w:rsidRDefault="00161817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TOP-7</w:t>
            </w:r>
          </w:p>
        </w:tc>
      </w:tr>
      <w:tr w:rsidR="00161817" w:rsidRPr="00161817" w14:paraId="5211E41C" w14:textId="77777777" w:rsidTr="009E6C40">
        <w:tc>
          <w:tcPr>
            <w:tcW w:w="1939" w:type="dxa"/>
          </w:tcPr>
          <w:p w14:paraId="5CDBB77B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TAV</w:t>
            </w:r>
          </w:p>
          <w:p w14:paraId="741AC997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Mio. €</w:t>
            </w:r>
          </w:p>
        </w:tc>
        <w:tc>
          <w:tcPr>
            <w:tcW w:w="817" w:type="dxa"/>
            <w:vAlign w:val="center"/>
          </w:tcPr>
          <w:p w14:paraId="42B492E0" w14:textId="4C0406A6" w:rsidR="00161817" w:rsidRPr="00161817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1.900</w:t>
            </w:r>
          </w:p>
        </w:tc>
        <w:tc>
          <w:tcPr>
            <w:tcW w:w="816" w:type="dxa"/>
            <w:vAlign w:val="center"/>
          </w:tcPr>
          <w:p w14:paraId="2473804E" w14:textId="6CE7A671" w:rsidR="00161817" w:rsidRPr="000610DA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610DA">
              <w:rPr>
                <w:rFonts w:ascii="Source Sans Pro" w:hAnsi="Source Sans Pro" w:cs="Arial"/>
                <w:sz w:val="16"/>
                <w:szCs w:val="16"/>
              </w:rPr>
              <w:t>2.300</w:t>
            </w:r>
          </w:p>
        </w:tc>
        <w:tc>
          <w:tcPr>
            <w:tcW w:w="933" w:type="dxa"/>
            <w:vAlign w:val="center"/>
          </w:tcPr>
          <w:p w14:paraId="7E0DFD82" w14:textId="06E8777C" w:rsidR="00161817" w:rsidRPr="00EC4845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C4845">
              <w:rPr>
                <w:rFonts w:ascii="Source Sans Pro" w:hAnsi="Source Sans Pro" w:cs="Arial"/>
                <w:sz w:val="16"/>
                <w:szCs w:val="16"/>
              </w:rPr>
              <w:t>1.000</w:t>
            </w:r>
          </w:p>
        </w:tc>
        <w:tc>
          <w:tcPr>
            <w:tcW w:w="937" w:type="dxa"/>
            <w:vAlign w:val="center"/>
          </w:tcPr>
          <w:p w14:paraId="79C367DF" w14:textId="5CBB91D2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300</w:t>
            </w:r>
          </w:p>
        </w:tc>
        <w:tc>
          <w:tcPr>
            <w:tcW w:w="937" w:type="dxa"/>
            <w:vAlign w:val="center"/>
          </w:tcPr>
          <w:p w14:paraId="5874DBC2" w14:textId="346E3560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2.052</w:t>
            </w:r>
          </w:p>
        </w:tc>
        <w:tc>
          <w:tcPr>
            <w:tcW w:w="932" w:type="dxa"/>
            <w:vAlign w:val="center"/>
          </w:tcPr>
          <w:p w14:paraId="161F8429" w14:textId="04C221BE" w:rsidR="00161817" w:rsidRPr="00E06757" w:rsidRDefault="00265CA3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sz w:val="16"/>
                <w:szCs w:val="16"/>
              </w:rPr>
              <w:t>529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21DD4D6" w14:textId="16C2CB37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sz w:val="16"/>
                <w:szCs w:val="16"/>
              </w:rPr>
              <w:t>1.291</w:t>
            </w:r>
          </w:p>
        </w:tc>
        <w:tc>
          <w:tcPr>
            <w:tcW w:w="800" w:type="dxa"/>
            <w:vAlign w:val="center"/>
          </w:tcPr>
          <w:p w14:paraId="5D7AFB91" w14:textId="59EB42F3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b/>
                <w:sz w:val="16"/>
                <w:szCs w:val="16"/>
              </w:rPr>
              <w:t>9.37</w:t>
            </w:r>
            <w:r w:rsidR="00265CA3" w:rsidRPr="00E06757">
              <w:rPr>
                <w:rFonts w:ascii="Source Sans Pro" w:hAnsi="Source Sans Pro" w:cs="Arial"/>
                <w:b/>
                <w:sz w:val="16"/>
                <w:szCs w:val="16"/>
              </w:rPr>
              <w:t>2</w:t>
            </w:r>
          </w:p>
        </w:tc>
      </w:tr>
      <w:tr w:rsidR="00161817" w:rsidRPr="00161817" w14:paraId="6B0F06BC" w14:textId="77777777" w:rsidTr="009E6C40">
        <w:tc>
          <w:tcPr>
            <w:tcW w:w="1939" w:type="dxa"/>
          </w:tcPr>
          <w:p w14:paraId="1368D85F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Veränderung</w:t>
            </w:r>
          </w:p>
          <w:p w14:paraId="384171F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sz w:val="16"/>
                <w:szCs w:val="16"/>
              </w:rPr>
              <w:t>. Vorjahr</w:t>
            </w: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41BD7562" w14:textId="017B33D5" w:rsidR="00161817" w:rsidRPr="00B46BC1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+171</w:t>
            </w:r>
          </w:p>
        </w:tc>
        <w:tc>
          <w:tcPr>
            <w:tcW w:w="816" w:type="dxa"/>
            <w:vAlign w:val="center"/>
          </w:tcPr>
          <w:p w14:paraId="1C4CFEFB" w14:textId="1B2EBFDE" w:rsidR="00161817" w:rsidRPr="000610DA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610DA">
              <w:rPr>
                <w:rFonts w:ascii="Source Sans Pro" w:hAnsi="Source Sans Pro" w:cs="Arial"/>
                <w:sz w:val="16"/>
                <w:szCs w:val="16"/>
              </w:rPr>
              <w:t>+171</w:t>
            </w:r>
          </w:p>
        </w:tc>
        <w:tc>
          <w:tcPr>
            <w:tcW w:w="933" w:type="dxa"/>
            <w:vAlign w:val="center"/>
          </w:tcPr>
          <w:p w14:paraId="50DE9682" w14:textId="4C482BB2" w:rsidR="00161817" w:rsidRPr="00EC4845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C4845">
              <w:rPr>
                <w:rFonts w:ascii="Source Sans Pro" w:hAnsi="Source Sans Pro" w:cs="Arial"/>
                <w:sz w:val="16"/>
                <w:szCs w:val="16"/>
              </w:rPr>
              <w:t>+400</w:t>
            </w:r>
          </w:p>
        </w:tc>
        <w:tc>
          <w:tcPr>
            <w:tcW w:w="937" w:type="dxa"/>
            <w:vAlign w:val="center"/>
          </w:tcPr>
          <w:p w14:paraId="0640E354" w14:textId="4A7E7561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+50</w:t>
            </w:r>
          </w:p>
        </w:tc>
        <w:tc>
          <w:tcPr>
            <w:tcW w:w="937" w:type="dxa"/>
            <w:vAlign w:val="center"/>
          </w:tcPr>
          <w:p w14:paraId="025DC8CA" w14:textId="5445DA19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 xml:space="preserve">+141 </w:t>
            </w:r>
          </w:p>
        </w:tc>
        <w:tc>
          <w:tcPr>
            <w:tcW w:w="932" w:type="dxa"/>
            <w:vAlign w:val="center"/>
          </w:tcPr>
          <w:p w14:paraId="62EC947E" w14:textId="6F7D8BD8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sz w:val="16"/>
                <w:szCs w:val="16"/>
              </w:rPr>
              <w:t>+11</w:t>
            </w:r>
            <w:r w:rsidR="00265CA3" w:rsidRPr="00E06757">
              <w:rPr>
                <w:rFonts w:ascii="Source Sans Pro" w:hAnsi="Source Sans Pro" w:cs="Arial"/>
                <w:sz w:val="16"/>
                <w:szCs w:val="16"/>
              </w:rPr>
              <w:t>6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29099EF0" w14:textId="6E46ACC4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sz w:val="16"/>
                <w:szCs w:val="16"/>
              </w:rPr>
              <w:t>+225</w:t>
            </w:r>
          </w:p>
        </w:tc>
        <w:tc>
          <w:tcPr>
            <w:tcW w:w="800" w:type="dxa"/>
            <w:vAlign w:val="center"/>
          </w:tcPr>
          <w:p w14:paraId="71231CA6" w14:textId="61166CE9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b/>
                <w:sz w:val="16"/>
                <w:szCs w:val="16"/>
              </w:rPr>
              <w:t>+172</w:t>
            </w:r>
          </w:p>
        </w:tc>
      </w:tr>
      <w:tr w:rsidR="00161817" w:rsidRPr="00161817" w14:paraId="7F708548" w14:textId="77777777" w:rsidTr="009E6C40">
        <w:tc>
          <w:tcPr>
            <w:tcW w:w="1939" w:type="dxa"/>
          </w:tcPr>
          <w:p w14:paraId="3A82530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Spitzenrendite* Büro</w:t>
            </w:r>
          </w:p>
          <w:p w14:paraId="34B73F2E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74FF9E2D" w14:textId="147AB4CE" w:rsidR="00161817" w:rsidRPr="000610DA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610DA">
              <w:rPr>
                <w:rFonts w:ascii="Source Sans Pro" w:hAnsi="Source Sans Pro" w:cs="Arial"/>
                <w:sz w:val="16"/>
                <w:szCs w:val="16"/>
              </w:rPr>
              <w:t>2,60</w:t>
            </w:r>
          </w:p>
        </w:tc>
        <w:tc>
          <w:tcPr>
            <w:tcW w:w="816" w:type="dxa"/>
            <w:vAlign w:val="center"/>
          </w:tcPr>
          <w:p w14:paraId="0D6415B8" w14:textId="534E2E96" w:rsidR="00161817" w:rsidRPr="000610DA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610DA">
              <w:rPr>
                <w:rFonts w:ascii="Source Sans Pro" w:hAnsi="Source Sans Pro" w:cs="Arial"/>
                <w:sz w:val="16"/>
                <w:szCs w:val="16"/>
              </w:rPr>
              <w:t>2,60</w:t>
            </w:r>
          </w:p>
        </w:tc>
        <w:tc>
          <w:tcPr>
            <w:tcW w:w="933" w:type="dxa"/>
            <w:vAlign w:val="center"/>
          </w:tcPr>
          <w:p w14:paraId="53A1E093" w14:textId="37A6D588" w:rsidR="00161817" w:rsidRPr="00EC4845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C4845">
              <w:rPr>
                <w:rFonts w:ascii="Source Sans Pro" w:hAnsi="Source Sans Pro" w:cs="Arial"/>
                <w:sz w:val="16"/>
                <w:szCs w:val="16"/>
              </w:rPr>
              <w:t>2,80</w:t>
            </w:r>
          </w:p>
        </w:tc>
        <w:tc>
          <w:tcPr>
            <w:tcW w:w="937" w:type="dxa"/>
            <w:vAlign w:val="center"/>
          </w:tcPr>
          <w:p w14:paraId="0431521B" w14:textId="599FD995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2,60</w:t>
            </w:r>
          </w:p>
        </w:tc>
        <w:tc>
          <w:tcPr>
            <w:tcW w:w="937" w:type="dxa"/>
            <w:vAlign w:val="center"/>
          </w:tcPr>
          <w:p w14:paraId="73277C18" w14:textId="730AB067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2,80</w:t>
            </w:r>
          </w:p>
        </w:tc>
        <w:tc>
          <w:tcPr>
            <w:tcW w:w="932" w:type="dxa"/>
            <w:vAlign w:val="center"/>
          </w:tcPr>
          <w:p w14:paraId="4CD09DF4" w14:textId="64B90505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sz w:val="16"/>
                <w:szCs w:val="16"/>
              </w:rPr>
              <w:t>2,70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486F95" w14:textId="3208492C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sz w:val="16"/>
                <w:szCs w:val="16"/>
              </w:rPr>
              <w:t>2,70</w:t>
            </w:r>
          </w:p>
        </w:tc>
        <w:tc>
          <w:tcPr>
            <w:tcW w:w="800" w:type="dxa"/>
            <w:vAlign w:val="center"/>
          </w:tcPr>
          <w:p w14:paraId="47ED8E15" w14:textId="7A9282D3" w:rsidR="00161817" w:rsidRPr="00E0675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E06757">
              <w:rPr>
                <w:rFonts w:ascii="Source Sans Pro" w:hAnsi="Source Sans Pro" w:cs="Arial"/>
                <w:b/>
                <w:sz w:val="16"/>
                <w:szCs w:val="16"/>
              </w:rPr>
              <w:t>2,69</w:t>
            </w:r>
          </w:p>
        </w:tc>
      </w:tr>
      <w:tr w:rsidR="00161817" w:rsidRPr="00161817" w14:paraId="24583354" w14:textId="77777777" w:rsidTr="009E6C40">
        <w:tc>
          <w:tcPr>
            <w:tcW w:w="1939" w:type="dxa"/>
          </w:tcPr>
          <w:p w14:paraId="1AB60A34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54B227DC" w14:textId="3BDD9F62" w:rsidR="00161817" w:rsidRPr="00161817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-0,10</w:t>
            </w:r>
          </w:p>
        </w:tc>
        <w:tc>
          <w:tcPr>
            <w:tcW w:w="816" w:type="dxa"/>
            <w:vAlign w:val="center"/>
          </w:tcPr>
          <w:p w14:paraId="51AFFAE3" w14:textId="33C09CDD" w:rsidR="00161817" w:rsidRPr="000610DA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610DA">
              <w:rPr>
                <w:rFonts w:ascii="Source Sans Pro" w:hAnsi="Source Sans Pro" w:cs="Arial"/>
                <w:sz w:val="16"/>
                <w:szCs w:val="16"/>
              </w:rPr>
              <w:t>-0,10</w:t>
            </w:r>
          </w:p>
        </w:tc>
        <w:tc>
          <w:tcPr>
            <w:tcW w:w="933" w:type="dxa"/>
            <w:vAlign w:val="center"/>
          </w:tcPr>
          <w:p w14:paraId="6738B9BE" w14:textId="11B9755F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-0,10</w:t>
            </w:r>
          </w:p>
        </w:tc>
        <w:tc>
          <w:tcPr>
            <w:tcW w:w="937" w:type="dxa"/>
            <w:vAlign w:val="center"/>
          </w:tcPr>
          <w:p w14:paraId="063AA1B7" w14:textId="7DBA17C6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-0,40</w:t>
            </w:r>
          </w:p>
        </w:tc>
        <w:tc>
          <w:tcPr>
            <w:tcW w:w="937" w:type="dxa"/>
            <w:vAlign w:val="center"/>
          </w:tcPr>
          <w:p w14:paraId="125AAE58" w14:textId="7781FFB2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-0,10</w:t>
            </w:r>
          </w:p>
        </w:tc>
        <w:tc>
          <w:tcPr>
            <w:tcW w:w="932" w:type="dxa"/>
            <w:vAlign w:val="center"/>
          </w:tcPr>
          <w:p w14:paraId="3BDF16AC" w14:textId="5C444000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-0,25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875A0DE" w14:textId="4F50ECE8" w:rsidR="00161817" w:rsidRPr="00462200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-0,05</w:t>
            </w:r>
          </w:p>
        </w:tc>
        <w:tc>
          <w:tcPr>
            <w:tcW w:w="800" w:type="dxa"/>
            <w:vAlign w:val="center"/>
          </w:tcPr>
          <w:p w14:paraId="53A9636D" w14:textId="2796F78B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-0,16</w:t>
            </w:r>
          </w:p>
        </w:tc>
      </w:tr>
      <w:tr w:rsidR="00161817" w:rsidRPr="00161817" w14:paraId="2D937C1C" w14:textId="77777777" w:rsidTr="009E6C40">
        <w:tc>
          <w:tcPr>
            <w:tcW w:w="1939" w:type="dxa"/>
          </w:tcPr>
          <w:p w14:paraId="66B5D21D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Spitzenrendite* Logistik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684A9001" w14:textId="396A609A" w:rsidR="00161817" w:rsidRPr="00FB551B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3,30</w:t>
            </w:r>
          </w:p>
        </w:tc>
        <w:tc>
          <w:tcPr>
            <w:tcW w:w="816" w:type="dxa"/>
            <w:vAlign w:val="center"/>
          </w:tcPr>
          <w:p w14:paraId="0F835EAB" w14:textId="595FC6F4" w:rsidR="00161817" w:rsidRPr="000610DA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  <w:u w:val="single"/>
              </w:rPr>
            </w:pPr>
            <w:r w:rsidRPr="000610DA">
              <w:rPr>
                <w:rFonts w:ascii="Source Sans Pro" w:hAnsi="Source Sans Pro" w:cs="Arial"/>
                <w:sz w:val="16"/>
                <w:szCs w:val="16"/>
              </w:rPr>
              <w:t>3,40</w:t>
            </w:r>
          </w:p>
        </w:tc>
        <w:tc>
          <w:tcPr>
            <w:tcW w:w="933" w:type="dxa"/>
            <w:vAlign w:val="center"/>
          </w:tcPr>
          <w:p w14:paraId="3DD3739A" w14:textId="388ED36A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3,45</w:t>
            </w:r>
          </w:p>
        </w:tc>
        <w:tc>
          <w:tcPr>
            <w:tcW w:w="937" w:type="dxa"/>
            <w:vAlign w:val="center"/>
          </w:tcPr>
          <w:p w14:paraId="7406BE99" w14:textId="1B3B8B33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3,30</w:t>
            </w:r>
          </w:p>
        </w:tc>
        <w:tc>
          <w:tcPr>
            <w:tcW w:w="937" w:type="dxa"/>
            <w:vAlign w:val="center"/>
          </w:tcPr>
          <w:p w14:paraId="41CAE3C0" w14:textId="331D9953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3,20</w:t>
            </w:r>
          </w:p>
        </w:tc>
        <w:tc>
          <w:tcPr>
            <w:tcW w:w="932" w:type="dxa"/>
            <w:vAlign w:val="center"/>
          </w:tcPr>
          <w:p w14:paraId="1F901372" w14:textId="313DA1C1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3,50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546B5F5" w14:textId="528CF22D" w:rsidR="00161817" w:rsidRPr="00462200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3,10</w:t>
            </w:r>
          </w:p>
        </w:tc>
        <w:tc>
          <w:tcPr>
            <w:tcW w:w="800" w:type="dxa"/>
            <w:vAlign w:val="center"/>
          </w:tcPr>
          <w:p w14:paraId="34BF6507" w14:textId="561AD770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3,32</w:t>
            </w:r>
          </w:p>
        </w:tc>
      </w:tr>
      <w:tr w:rsidR="00161817" w:rsidRPr="00161817" w14:paraId="5A0BD9F2" w14:textId="77777777" w:rsidTr="009E6C40">
        <w:tc>
          <w:tcPr>
            <w:tcW w:w="1939" w:type="dxa"/>
          </w:tcPr>
          <w:p w14:paraId="0E0D0B5A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proofErr w:type="spellStart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ggü</w:t>
            </w:r>
            <w:proofErr w:type="spellEnd"/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. Vorjahr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%-Pkt.</w:t>
            </w:r>
          </w:p>
        </w:tc>
        <w:tc>
          <w:tcPr>
            <w:tcW w:w="817" w:type="dxa"/>
            <w:vAlign w:val="center"/>
          </w:tcPr>
          <w:p w14:paraId="2579329F" w14:textId="1A57DAC7" w:rsidR="00161817" w:rsidRPr="00072A30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-0,60</w:t>
            </w:r>
          </w:p>
        </w:tc>
        <w:tc>
          <w:tcPr>
            <w:tcW w:w="816" w:type="dxa"/>
            <w:vAlign w:val="center"/>
          </w:tcPr>
          <w:p w14:paraId="3597B6B5" w14:textId="6BF12271" w:rsidR="00161817" w:rsidRPr="00161817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-0,35</w:t>
            </w:r>
          </w:p>
        </w:tc>
        <w:tc>
          <w:tcPr>
            <w:tcW w:w="933" w:type="dxa"/>
            <w:vAlign w:val="center"/>
          </w:tcPr>
          <w:p w14:paraId="18491965" w14:textId="123979D4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937" w:type="dxa"/>
            <w:vAlign w:val="center"/>
          </w:tcPr>
          <w:p w14:paraId="475FF0C9" w14:textId="0A80BD57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937" w:type="dxa"/>
            <w:vAlign w:val="center"/>
          </w:tcPr>
          <w:p w14:paraId="46A53898" w14:textId="7F043D99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-0,60</w:t>
            </w:r>
          </w:p>
        </w:tc>
        <w:tc>
          <w:tcPr>
            <w:tcW w:w="932" w:type="dxa"/>
            <w:vAlign w:val="center"/>
          </w:tcPr>
          <w:p w14:paraId="4B78F66F" w14:textId="3A29CD5C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-0,70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7A92EAA5" w14:textId="0F8F4FA0" w:rsidR="00161817" w:rsidRPr="00462200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-0,30</w:t>
            </w:r>
          </w:p>
        </w:tc>
        <w:tc>
          <w:tcPr>
            <w:tcW w:w="800" w:type="dxa"/>
            <w:vAlign w:val="center"/>
          </w:tcPr>
          <w:p w14:paraId="7140B27A" w14:textId="75389700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-0,45</w:t>
            </w:r>
          </w:p>
        </w:tc>
      </w:tr>
      <w:tr w:rsidR="00161817" w:rsidRPr="00161817" w14:paraId="57899BA9" w14:textId="77777777" w:rsidTr="009E6C40">
        <w:tc>
          <w:tcPr>
            <w:tcW w:w="1939" w:type="dxa"/>
          </w:tcPr>
          <w:p w14:paraId="13B4FAD9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210819D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Assetklasse</w:t>
            </w:r>
          </w:p>
        </w:tc>
        <w:tc>
          <w:tcPr>
            <w:tcW w:w="817" w:type="dxa"/>
            <w:vAlign w:val="center"/>
          </w:tcPr>
          <w:p w14:paraId="4ED34F9A" w14:textId="63901E41" w:rsidR="00161817" w:rsidRPr="00161817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16" w:type="dxa"/>
            <w:vAlign w:val="center"/>
          </w:tcPr>
          <w:p w14:paraId="1BA19745" w14:textId="395D8361" w:rsidR="00161817" w:rsidRPr="00161817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3" w:type="dxa"/>
            <w:vAlign w:val="center"/>
          </w:tcPr>
          <w:p w14:paraId="2135011E" w14:textId="1B2A8A7C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0978A794" w14:textId="3BFF84D0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7" w:type="dxa"/>
            <w:vAlign w:val="center"/>
          </w:tcPr>
          <w:p w14:paraId="74C19DC6" w14:textId="3EAB4856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2" w:type="dxa"/>
            <w:vAlign w:val="center"/>
          </w:tcPr>
          <w:p w14:paraId="42CE99EF" w14:textId="0542EF1A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0AF439F9" w14:textId="1CBBF4AF" w:rsidR="00161817" w:rsidRPr="00462200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Büro</w:t>
            </w:r>
          </w:p>
        </w:tc>
        <w:tc>
          <w:tcPr>
            <w:tcW w:w="800" w:type="dxa"/>
            <w:vAlign w:val="center"/>
          </w:tcPr>
          <w:p w14:paraId="5660B842" w14:textId="1994D1C3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Büro</w:t>
            </w:r>
          </w:p>
        </w:tc>
      </w:tr>
      <w:tr w:rsidR="00161817" w:rsidRPr="00161817" w14:paraId="7FF3344D" w14:textId="77777777" w:rsidTr="009E6C40">
        <w:tc>
          <w:tcPr>
            <w:tcW w:w="1939" w:type="dxa"/>
          </w:tcPr>
          <w:p w14:paraId="55257A8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>Stärkste</w:t>
            </w:r>
          </w:p>
          <w:p w14:paraId="19D9BE72" w14:textId="77777777" w:rsidR="00161817" w:rsidRPr="00161817" w:rsidRDefault="00161817" w:rsidP="009E6C40">
            <w:pPr>
              <w:widowControl w:val="0"/>
              <w:jc w:val="both"/>
              <w:rPr>
                <w:rFonts w:ascii="Source Sans Pro" w:hAnsi="Source Sans Pro" w:cs="Arial"/>
                <w:b/>
                <w:sz w:val="16"/>
                <w:szCs w:val="16"/>
              </w:rPr>
            </w:pPr>
            <w:r w:rsidRPr="00161817">
              <w:rPr>
                <w:rFonts w:ascii="Source Sans Pro" w:hAnsi="Source Sans Pro" w:cs="Arial"/>
                <w:b/>
                <w:sz w:val="16"/>
                <w:szCs w:val="16"/>
              </w:rPr>
              <w:t xml:space="preserve">Assetklasse </w:t>
            </w:r>
            <w:r w:rsidRPr="00161817">
              <w:rPr>
                <w:rFonts w:ascii="Source Sans Pro" w:hAnsi="Source Sans Pro" w:cs="Arial"/>
                <w:sz w:val="16"/>
                <w:szCs w:val="16"/>
              </w:rPr>
              <w:t>in %</w:t>
            </w:r>
          </w:p>
        </w:tc>
        <w:tc>
          <w:tcPr>
            <w:tcW w:w="817" w:type="dxa"/>
            <w:vAlign w:val="center"/>
          </w:tcPr>
          <w:p w14:paraId="516BE07F" w14:textId="08910A28" w:rsidR="00161817" w:rsidRPr="00161817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86</w:t>
            </w:r>
          </w:p>
        </w:tc>
        <w:tc>
          <w:tcPr>
            <w:tcW w:w="816" w:type="dxa"/>
            <w:vAlign w:val="center"/>
          </w:tcPr>
          <w:p w14:paraId="3290541C" w14:textId="3A3BC1F8" w:rsidR="00161817" w:rsidRPr="00161817" w:rsidRDefault="000610DA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59</w:t>
            </w:r>
          </w:p>
        </w:tc>
        <w:tc>
          <w:tcPr>
            <w:tcW w:w="933" w:type="dxa"/>
            <w:vAlign w:val="center"/>
          </w:tcPr>
          <w:p w14:paraId="65F78631" w14:textId="7DE0ADE5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 xml:space="preserve">94 </w:t>
            </w:r>
          </w:p>
        </w:tc>
        <w:tc>
          <w:tcPr>
            <w:tcW w:w="937" w:type="dxa"/>
            <w:vAlign w:val="center"/>
          </w:tcPr>
          <w:p w14:paraId="63E405B4" w14:textId="7E0FB71C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63</w:t>
            </w:r>
          </w:p>
        </w:tc>
        <w:tc>
          <w:tcPr>
            <w:tcW w:w="937" w:type="dxa"/>
            <w:vAlign w:val="center"/>
          </w:tcPr>
          <w:p w14:paraId="3DBBA68E" w14:textId="7DEAC789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95</w:t>
            </w:r>
          </w:p>
        </w:tc>
        <w:tc>
          <w:tcPr>
            <w:tcW w:w="932" w:type="dxa"/>
            <w:vAlign w:val="center"/>
          </w:tcPr>
          <w:p w14:paraId="62F15918" w14:textId="7DB460CA" w:rsidR="00161817" w:rsidRPr="00073A63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073A63">
              <w:rPr>
                <w:rFonts w:ascii="Source Sans Pro" w:hAnsi="Source Sans Pro" w:cs="Arial"/>
                <w:sz w:val="16"/>
                <w:szCs w:val="16"/>
              </w:rPr>
              <w:t>88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5FF3E0CF" w14:textId="3062D599" w:rsidR="00161817" w:rsidRPr="00462200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sz w:val="16"/>
                <w:szCs w:val="16"/>
              </w:rPr>
            </w:pPr>
            <w:r w:rsidRPr="00462200">
              <w:rPr>
                <w:rFonts w:ascii="Source Sans Pro" w:hAnsi="Source Sans Pro" w:cs="Arial"/>
                <w:sz w:val="16"/>
                <w:szCs w:val="16"/>
              </w:rPr>
              <w:t>71</w:t>
            </w:r>
          </w:p>
        </w:tc>
        <w:tc>
          <w:tcPr>
            <w:tcW w:w="800" w:type="dxa"/>
            <w:vAlign w:val="center"/>
          </w:tcPr>
          <w:p w14:paraId="2A043F0A" w14:textId="5B8B097B" w:rsidR="00161817" w:rsidRPr="00161817" w:rsidRDefault="00EC4845" w:rsidP="009E6C40">
            <w:pPr>
              <w:widowControl w:val="0"/>
              <w:jc w:val="center"/>
              <w:rPr>
                <w:rFonts w:ascii="Source Sans Pro" w:hAnsi="Source Sans Pro" w:cs="Arial"/>
                <w:b/>
                <w:sz w:val="16"/>
                <w:szCs w:val="16"/>
              </w:rPr>
            </w:pPr>
            <w:r>
              <w:rPr>
                <w:rFonts w:ascii="Source Sans Pro" w:hAnsi="Source Sans Pro" w:cs="Arial"/>
                <w:b/>
                <w:sz w:val="16"/>
                <w:szCs w:val="16"/>
              </w:rPr>
              <w:t>80</w:t>
            </w:r>
          </w:p>
        </w:tc>
      </w:tr>
    </w:tbl>
    <w:p w14:paraId="24F7C797" w14:textId="5003AE93" w:rsidR="00DA733A" w:rsidRP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Arial"/>
          <w:sz w:val="16"/>
          <w:szCs w:val="16"/>
        </w:rPr>
      </w:pPr>
      <w:r w:rsidRPr="00161817">
        <w:rPr>
          <w:rFonts w:ascii="Source Sans Pro" w:hAnsi="Source Sans Pro" w:cs="Arial"/>
          <w:sz w:val="16"/>
          <w:szCs w:val="16"/>
        </w:rPr>
        <w:t>* Nettoanfangsrendite; Quelle: German Property Partners (GPP)</w:t>
      </w:r>
    </w:p>
    <w:p w14:paraId="384D0EB4" w14:textId="77777777" w:rsidR="00161817" w:rsidRDefault="00161817" w:rsidP="00DA733A">
      <w:pPr>
        <w:pStyle w:val="EinfAbs"/>
        <w:tabs>
          <w:tab w:val="left" w:pos="200"/>
        </w:tabs>
        <w:jc w:val="both"/>
        <w:rPr>
          <w:rFonts w:ascii="Source Sans Pro" w:hAnsi="Source Sans Pro" w:cs="Source Sans Pro"/>
          <w:sz w:val="22"/>
          <w:szCs w:val="22"/>
        </w:rPr>
      </w:pPr>
    </w:p>
    <w:p w14:paraId="50B0AF24" w14:textId="04CDDE4D" w:rsidR="00DA733A" w:rsidRPr="00966A04" w:rsidRDefault="002B63FD" w:rsidP="00966A04">
      <w:pPr>
        <w:overflowPunct/>
        <w:autoSpaceDE/>
        <w:autoSpaceDN/>
        <w:adjustRightInd/>
        <w:textAlignment w:val="auto"/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</w:pPr>
      <w:bookmarkStart w:id="0" w:name="_GoBack"/>
      <w:r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>ÜBER GERMAN PROPERTY PARTNERS</w:t>
      </w:r>
      <w:r w:rsidR="00DA733A" w:rsidRPr="006456EA">
        <w:rPr>
          <w:rFonts w:ascii="Source Sans Pro SemiBold" w:hAnsi="Source Sans Pro SemiBold" w:cs="Source Sans Pro SemiBold"/>
          <w:b/>
          <w:bCs/>
          <w:caps/>
          <w:color w:val="0087A8"/>
          <w:sz w:val="18"/>
          <w:szCs w:val="18"/>
        </w:rPr>
        <w:t xml:space="preserve"> </w:t>
      </w:r>
    </w:p>
    <w:p w14:paraId="47B60849" w14:textId="77777777" w:rsidR="00E1280F" w:rsidRPr="00E1280F" w:rsidRDefault="00BA49EB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hyperlink r:id="rId7" w:history="1">
        <w:r w:rsidR="00E1280F" w:rsidRPr="00E1280F">
          <w:rPr>
            <w:rFonts w:ascii="Source Sans Pro SemiBold" w:hAnsi="Source Sans Pro SemiBold" w:cs="Source Sans Pro SemiBold"/>
            <w:bCs/>
            <w:caps/>
            <w:color w:val="0087A8"/>
            <w:sz w:val="18"/>
            <w:szCs w:val="18"/>
          </w:rPr>
          <w:t>German Property Partners</w:t>
        </w:r>
      </w:hyperlink>
      <w:r w:rsidR="00E1280F"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(GPP) ist ein deutschlandweites Netzwerk lokal führender Gewerbe-Immobiliendienstleister. Hierzu gehören Grossmann &amp; Berger, Anteon Immobilien, GREIF &amp; CONTZEN Immobilien, blackolive und E &amp; G Real Estate. Es zeichnet sich durch tiefe Marktkenntnisse vor Ort, langjährig für die Partnerunternehmen tätige Immobilienberater und das persönliche Engagement der Gesellschafter und Geschäftsführer aus. </w:t>
      </w:r>
    </w:p>
    <w:p w14:paraId="0E6D674A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6C5C800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Das Netzwerk verfügt in den Top-7-Städten Hamburg, Berlin, Düsseldorf, Köln|Bonn, Frankfurt, Stuttgart und München über eigene Standorte und bietet Dienstleistungen in den Bereichen Immobilien-Investments, gewerbliche Vermietung, unternehmerisches Immobilienmanagement (CREM), Immobilienbewertung und Research an. Bank-, Finanzierungs- und Verwaltungs-Dienstleistungen runden das Leistungsspektrum ab. </w:t>
      </w:r>
    </w:p>
    <w:p w14:paraId="24310FE5" w14:textId="77777777" w:rsidR="00E1280F" w:rsidRPr="00E1280F" w:rsidRDefault="00E1280F" w:rsidP="00E1280F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</w:p>
    <w:p w14:paraId="348F1577" w14:textId="77777777" w:rsidR="00F40B12" w:rsidRPr="00E1280F" w:rsidRDefault="00F40B12" w:rsidP="00F40B12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</w:pP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Aktuell sind mehr als 42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 Immobilienspezialisten für das Netzwerk tätig. 202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1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vermittelte GPP deutschlandweit rund 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640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.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00 m² Gewerbefläche und betreute ein Transaktionsvolumen in Höhe von rund 2,</w:t>
      </w:r>
      <w:r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>6</w:t>
      </w:r>
      <w:r w:rsidRPr="00E1280F">
        <w:rPr>
          <w:rFonts w:ascii="Source Sans Pro SemiBold" w:hAnsi="Source Sans Pro SemiBold" w:cs="Source Sans Pro SemiBold"/>
          <w:bCs/>
          <w:caps/>
          <w:color w:val="0087A8"/>
          <w:sz w:val="18"/>
          <w:szCs w:val="18"/>
        </w:rPr>
        <w:t xml:space="preserve"> Mrd. €.</w:t>
      </w:r>
    </w:p>
    <w:p w14:paraId="03D0C7E2" w14:textId="6011ECBB" w:rsidR="00DA733A" w:rsidRPr="006456EA" w:rsidRDefault="00DA733A" w:rsidP="00DA733A">
      <w:pPr>
        <w:pStyle w:val="EinfAbs"/>
        <w:tabs>
          <w:tab w:val="left" w:pos="200"/>
        </w:tabs>
        <w:spacing w:line="220" w:lineRule="exact"/>
        <w:jc w:val="both"/>
        <w:rPr>
          <w:rFonts w:ascii="Source Sans Pro" w:hAnsi="Source Sans Pro" w:cs="Source Sans Pro"/>
          <w:color w:val="0087A8"/>
          <w:sz w:val="18"/>
          <w:szCs w:val="18"/>
        </w:rPr>
      </w:pPr>
    </w:p>
    <w:p w14:paraId="3267071B" w14:textId="05540F4C" w:rsidR="00D56A51" w:rsidRDefault="00BA49EB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hyperlink r:id="rId8" w:history="1">
        <w:r w:rsidR="00D56A51" w:rsidRPr="00F505E8">
          <w:rPr>
            <w:rStyle w:val="Hyperlink"/>
            <w:rFonts w:ascii="Source Sans Pro SemiBold" w:hAnsi="Source Sans Pro SemiBold" w:cs="Source Sans Pro SemiBold"/>
            <w:b/>
            <w:bCs/>
            <w:sz w:val="18"/>
            <w:szCs w:val="18"/>
          </w:rPr>
          <w:t>www.germanpropertypartners.de</w:t>
        </w:r>
      </w:hyperlink>
    </w:p>
    <w:bookmarkEnd w:id="0"/>
    <w:p w14:paraId="468FAFF6" w14:textId="33FAAA60" w:rsidR="005C25D5" w:rsidRPr="00D56A51" w:rsidRDefault="00290672" w:rsidP="00D56A51">
      <w:pPr>
        <w:pStyle w:val="EinfAbs"/>
        <w:tabs>
          <w:tab w:val="left" w:pos="200"/>
        </w:tabs>
        <w:spacing w:line="220" w:lineRule="exact"/>
        <w:jc w:val="both"/>
        <w:rPr>
          <w:rFonts w:ascii="Source Sans Pro SemiBold" w:hAnsi="Source Sans Pro SemiBold" w:cs="Source Sans Pro"/>
          <w:b/>
          <w:bCs/>
          <w:color w:val="0087A8"/>
          <w:sz w:val="18"/>
          <w:szCs w:val="18"/>
        </w:rPr>
      </w:pPr>
      <w:r w:rsidRPr="00290672">
        <w:rPr>
          <w:rFonts w:ascii="Source Sans Pro SemiBold" w:hAnsi="Source Sans Pro SemiBold" w:cs="Source Sans Pro SemiBold"/>
          <w:bCs/>
          <w:sz w:val="14"/>
          <w:szCs w:val="14"/>
        </w:rPr>
        <w:lastRenderedPageBreak/>
        <w:t>Die</w:t>
      </w:r>
      <w:r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 xml:space="preserve"> </w:t>
      </w:r>
      <w:r w:rsidR="00DA733A" w:rsidRPr="00917410">
        <w:rPr>
          <w:rFonts w:ascii="Source Sans Pro SemiBold" w:hAnsi="Source Sans Pro SemiBold" w:cs="Source Sans Pro SemiBold"/>
          <w:b/>
          <w:bCs/>
          <w:caps/>
          <w:sz w:val="14"/>
          <w:szCs w:val="14"/>
        </w:rPr>
        <w:t>Datenschutzerklärung</w:t>
      </w:r>
      <w:r w:rsidR="00DA733A" w:rsidRPr="00917410">
        <w:rPr>
          <w:rFonts w:ascii="Source Sans Pro" w:hAnsi="Source Sans Pro" w:cs="Source Sans Pro"/>
          <w:sz w:val="14"/>
          <w:szCs w:val="14"/>
        </w:rPr>
        <w:t xml:space="preserve"> von German Property Partners finden Sie auf der GPP-Website: www.germanpropertypartners.de/datenschutz. Wenn Sie künftig keine Informationen der GPP-Pressestelle mehr erhalten möchten, senden Sie bitte eine E-Mail an presse@germanpropertypartners.de mit dem Betreff „Abmeldung aus Presseverteiler“. </w:t>
      </w:r>
    </w:p>
    <w:sectPr w:rsidR="005C25D5" w:rsidRPr="00D56A51" w:rsidSect="001B786B">
      <w:headerReference w:type="default" r:id="rId9"/>
      <w:footerReference w:type="default" r:id="rId10"/>
      <w:headerReference w:type="first" r:id="rId11"/>
      <w:footerReference w:type="first" r:id="rId12"/>
      <w:pgSz w:w="11900" w:h="16820" w:code="9"/>
      <w:pgMar w:top="2552" w:right="1304" w:bottom="567" w:left="1304" w:header="885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06DBE0" w14:textId="77777777" w:rsidR="00E27DEF" w:rsidRDefault="00E27DEF">
      <w:r>
        <w:separator/>
      </w:r>
    </w:p>
  </w:endnote>
  <w:endnote w:type="continuationSeparator" w:id="0">
    <w:p w14:paraId="63E8188B" w14:textId="77777777" w:rsidR="00E27DEF" w:rsidRDefault="00E2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altName w:val="Cambria Math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HelveticaNeueLT Pro 55 Roman">
    <w:altName w:val="Arial"/>
    <w:charset w:val="4D"/>
    <w:family w:val="swiss"/>
    <w:pitch w:val="variable"/>
    <w:sig w:usb0="A00000AF" w:usb1="5000204A" w:usb2="00000000" w:usb3="00000000" w:csb0="00000093" w:csb1="00000000"/>
  </w:font>
  <w:font w:name="DengXian Light">
    <w:altName w:val="Microsoft JhengHei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FC666" w14:textId="0B1390D1" w:rsidR="001B786B" w:rsidRDefault="001B786B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08A74C44" w14:textId="77777777" w:rsidR="006F154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6A8"/>
        <w:sz w:val="18"/>
        <w:szCs w:val="18"/>
      </w:rPr>
    </w:pPr>
  </w:p>
  <w:p w14:paraId="1F725FAF" w14:textId="77777777" w:rsidR="006F154A" w:rsidRPr="006456EA" w:rsidRDefault="006F154A" w:rsidP="001B786B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</w:p>
  <w:p w14:paraId="3E5BA6C5" w14:textId="3AF9FC70" w:rsidR="005644BE" w:rsidRPr="006456EA" w:rsidRDefault="005644BE" w:rsidP="005644BE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BA49EB">
      <w:rPr>
        <w:rStyle w:val="Seitenzahl"/>
        <w:rFonts w:ascii="Source Sans Pro" w:hAnsi="Source Sans Pro" w:cs="Arial"/>
        <w:noProof/>
        <w:color w:val="0087A8"/>
        <w:sz w:val="18"/>
        <w:szCs w:val="18"/>
      </w:rPr>
      <w:t>2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I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BA49EB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5D199B7F" w14:textId="64D43374" w:rsidR="005644BE" w:rsidRPr="006456EA" w:rsidRDefault="005644BE" w:rsidP="005644BE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9B008F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9B008F">
      <w:rPr>
        <w:rFonts w:ascii="Source Sans Pro" w:hAnsi="Source Sans Pro" w:cs="Source Sans Pro"/>
        <w:color w:val="0087A8"/>
        <w:sz w:val="18"/>
        <w:szCs w:val="18"/>
      </w:rPr>
      <w:t>49 40 350802</w:t>
    </w:r>
    <w:r w:rsidR="00282ED8">
      <w:rPr>
        <w:rFonts w:ascii="Source Sans Pro" w:hAnsi="Source Sans Pro" w:cs="Source Sans Pro"/>
        <w:color w:val="0087A8"/>
        <w:sz w:val="18"/>
        <w:szCs w:val="18"/>
      </w:rPr>
      <w:t>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6F9C1B3C" w14:textId="1406C3DE" w:rsidR="00C41C74" w:rsidRPr="005644BE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6A8"/>
        <w:sz w:val="18"/>
        <w:szCs w:val="18"/>
      </w:rPr>
    </w:pPr>
    <w:r w:rsidRPr="00965DEB">
      <w:rPr>
        <w:noProof/>
      </w:rPr>
      <w:drawing>
        <wp:anchor distT="0" distB="0" distL="114300" distR="114300" simplePos="0" relativeHeight="251676672" behindDoc="0" locked="0" layoutInCell="1" allowOverlap="1" wp14:anchorId="74B63C0B" wp14:editId="0C6711F5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9" name="Grafik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5644BE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  <w:r w:rsidR="00077E8A">
      <w:rPr>
        <w:rStyle w:val="Seitenzahl"/>
      </w:rPr>
      <w:tab/>
    </w:r>
    <w:r w:rsidR="00077E8A"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78D04753" w:rsidR="00C41C74" w:rsidRPr="001B786B" w:rsidRDefault="00C41C74" w:rsidP="001B786B">
    <w:pPr>
      <w:pStyle w:val="Fuzeile"/>
      <w:spacing w:line="220" w:lineRule="exact"/>
      <w:rPr>
        <w:rStyle w:val="Seitenzahl"/>
        <w:rFonts w:ascii="Source Sans Pro" w:hAnsi="Source Sans Pro"/>
        <w:color w:val="0086A8"/>
        <w:sz w:val="18"/>
        <w:szCs w:val="18"/>
      </w:rPr>
    </w:pPr>
  </w:p>
  <w:p w14:paraId="00991498" w14:textId="7EDB1560" w:rsidR="00C41C74" w:rsidRPr="006456EA" w:rsidRDefault="00C41C74" w:rsidP="00C35841">
    <w:pPr>
      <w:pStyle w:val="Fuzeile"/>
      <w:spacing w:line="220" w:lineRule="exact"/>
      <w:rPr>
        <w:rStyle w:val="Seitenzahl"/>
        <w:rFonts w:ascii="Source Sans Pro" w:hAnsi="Source Sans Pro" w:cs="Arial"/>
        <w:color w:val="0087A8"/>
        <w:sz w:val="18"/>
        <w:szCs w:val="18"/>
      </w:rPr>
    </w:pP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PAGE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2E5673">
      <w:rPr>
        <w:rStyle w:val="Seitenzahl"/>
        <w:rFonts w:ascii="Source Sans Pro" w:hAnsi="Source Sans Pro" w:cs="Arial"/>
        <w:noProof/>
        <w:color w:val="0087A8"/>
        <w:sz w:val="18"/>
        <w:szCs w:val="18"/>
      </w:rPr>
      <w:t>1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="00B862DB" w:rsidRPr="006456EA">
      <w:rPr>
        <w:rStyle w:val="Seitenzahl"/>
        <w:rFonts w:ascii="Source Sans Pro" w:hAnsi="Source Sans Pro" w:cs="Arial"/>
        <w:color w:val="0087A8"/>
        <w:sz w:val="18"/>
        <w:szCs w:val="18"/>
      </w:rPr>
      <w:t>I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t xml:space="preserve"> 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begin"/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instrText xml:space="preserve"> NUMPAGES </w:instrTex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separate"/>
    </w:r>
    <w:r w:rsidR="002E5673">
      <w:rPr>
        <w:rStyle w:val="Seitenzahl"/>
        <w:rFonts w:ascii="Source Sans Pro" w:hAnsi="Source Sans Pro" w:cs="Arial"/>
        <w:noProof/>
        <w:color w:val="0087A8"/>
        <w:sz w:val="18"/>
        <w:szCs w:val="18"/>
      </w:rPr>
      <w:t>4</w:t>
    </w:r>
    <w:r w:rsidRPr="006456EA">
      <w:rPr>
        <w:rStyle w:val="Seitenzahl"/>
        <w:rFonts w:ascii="Source Sans Pro" w:hAnsi="Source Sans Pro" w:cs="Arial"/>
        <w:color w:val="0087A8"/>
        <w:sz w:val="18"/>
        <w:szCs w:val="18"/>
      </w:rPr>
      <w:fldChar w:fldCharType="end"/>
    </w:r>
  </w:p>
  <w:p w14:paraId="664ECE5C" w14:textId="66F57D6E" w:rsidR="001E1829" w:rsidRPr="006456EA" w:rsidRDefault="001E1829" w:rsidP="00C846F6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>PRESSEKONTAKT:</w:t>
    </w:r>
    <w:r w:rsidR="00C846F6" w:rsidRPr="006456EA">
      <w:rPr>
        <w:rFonts w:ascii="Source Sans Pro SemiBold" w:hAnsi="Source Sans Pro SemiBold" w:cs="Source Sans Pro SemiBold"/>
        <w:b/>
        <w:bCs/>
        <w:caps/>
        <w:color w:val="0087A8"/>
        <w:sz w:val="18"/>
        <w:szCs w:val="18"/>
      </w:rPr>
      <w:tab/>
    </w:r>
    <w:proofErr w:type="gramStart"/>
    <w:r w:rsidR="00C35841" w:rsidRPr="006456EA">
      <w:rPr>
        <w:rFonts w:ascii="Source Sans Pro" w:hAnsi="Source Sans Pro" w:cs="Source Sans Pro"/>
        <w:color w:val="0087A8"/>
        <w:sz w:val="18"/>
        <w:szCs w:val="18"/>
      </w:rPr>
      <w:t>T  +</w:t>
    </w:r>
    <w:proofErr w:type="gramEnd"/>
    <w:r w:rsidR="003D5215">
      <w:rPr>
        <w:rFonts w:ascii="Source Sans Pro" w:hAnsi="Source Sans Pro" w:cs="Source Sans Pro"/>
        <w:color w:val="0087A8"/>
        <w:sz w:val="18"/>
        <w:szCs w:val="18"/>
      </w:rPr>
      <w:t>49 40 350802-</w:t>
    </w:r>
    <w:r w:rsidR="00F40B12">
      <w:rPr>
        <w:rFonts w:ascii="Source Sans Pro" w:hAnsi="Source Sans Pro" w:cs="Source Sans Pro"/>
        <w:color w:val="0087A8"/>
        <w:sz w:val="18"/>
        <w:szCs w:val="18"/>
      </w:rPr>
      <w:t>588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 xml:space="preserve"> </w:t>
    </w:r>
  </w:p>
  <w:p w14:paraId="5F7CBAE8" w14:textId="64DE11DF" w:rsidR="001E1829" w:rsidRPr="006456EA" w:rsidRDefault="00965DEB" w:rsidP="001B786B">
    <w:pPr>
      <w:pStyle w:val="EinfAbs"/>
      <w:tabs>
        <w:tab w:val="left" w:pos="2268"/>
      </w:tabs>
      <w:spacing w:line="220" w:lineRule="exact"/>
      <w:rPr>
        <w:rFonts w:ascii="Source Sans Pro" w:hAnsi="Source Sans Pro" w:cs="Source Sans Pro"/>
        <w:color w:val="0087A8"/>
        <w:sz w:val="18"/>
        <w:szCs w:val="18"/>
      </w:rPr>
    </w:pPr>
    <w:r>
      <w:rPr>
        <w:rFonts w:ascii="Source Sans Pro" w:hAnsi="Source Sans Pro" w:cs="Arial"/>
        <w:noProof/>
        <w:color w:val="0087A8"/>
        <w:sz w:val="18"/>
        <w:szCs w:val="18"/>
      </w:rPr>
      <w:drawing>
        <wp:anchor distT="0" distB="0" distL="114300" distR="114300" simplePos="0" relativeHeight="251673600" behindDoc="0" locked="0" layoutInCell="1" allowOverlap="1" wp14:anchorId="5D69998A" wp14:editId="68FB5133">
          <wp:simplePos x="0" y="0"/>
          <wp:positionH relativeFrom="page">
            <wp:posOffset>4788535</wp:posOffset>
          </wp:positionH>
          <wp:positionV relativeFrom="page">
            <wp:posOffset>10196195</wp:posOffset>
          </wp:positionV>
          <wp:extent cx="1947600" cy="100800"/>
          <wp:effectExtent l="0" t="0" r="0" b="1270"/>
          <wp:wrapNone/>
          <wp:docPr id="47" name="Grafi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Grafik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B12">
      <w:rPr>
        <w:rFonts w:ascii="Source Sans Pro" w:hAnsi="Source Sans Pro" w:cs="Source Sans Pro"/>
        <w:color w:val="0087A8"/>
        <w:sz w:val="18"/>
        <w:szCs w:val="18"/>
      </w:rPr>
      <w:t>Corinna Fühner</w:t>
    </w:r>
    <w:r w:rsidR="00C35841" w:rsidRPr="006456EA">
      <w:rPr>
        <w:rFonts w:ascii="Source Sans Pro" w:hAnsi="Source Sans Pro" w:cs="Source Sans Pro"/>
        <w:color w:val="0087A8"/>
        <w:sz w:val="18"/>
        <w:szCs w:val="18"/>
      </w:rPr>
      <w:tab/>
      <w:t>presse@germanpropertypartners.de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1D2D" w14:textId="77777777" w:rsidR="00E27DEF" w:rsidRDefault="00E27DEF">
      <w:r>
        <w:separator/>
      </w:r>
    </w:p>
  </w:footnote>
  <w:footnote w:type="continuationSeparator" w:id="0">
    <w:p w14:paraId="76B94CF8" w14:textId="77777777" w:rsidR="00E27DEF" w:rsidRDefault="00E27D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C9AE73" w14:textId="5A8CA290" w:rsidR="004D2CD0" w:rsidRDefault="00965DEB" w:rsidP="004D2CD0">
    <w:pPr>
      <w:pStyle w:val="Kopfzeile"/>
      <w:tabs>
        <w:tab w:val="clear" w:pos="4536"/>
        <w:tab w:val="clear" w:pos="9072"/>
        <w:tab w:val="left" w:pos="7938"/>
      </w:tabs>
      <w:ind w:right="-2043"/>
    </w:pPr>
    <w:r w:rsidRPr="00965DEB">
      <w:rPr>
        <w:noProof/>
      </w:rPr>
      <w:drawing>
        <wp:anchor distT="0" distB="0" distL="114300" distR="114300" simplePos="0" relativeHeight="251675648" behindDoc="0" locked="0" layoutInCell="1" allowOverlap="1" wp14:anchorId="08033756" wp14:editId="605ECF66">
          <wp:simplePos x="0" y="0"/>
          <wp:positionH relativeFrom="page">
            <wp:posOffset>5995035</wp:posOffset>
          </wp:positionH>
          <wp:positionV relativeFrom="page">
            <wp:posOffset>100965</wp:posOffset>
          </wp:positionV>
          <wp:extent cx="828000" cy="1065600"/>
          <wp:effectExtent l="0" t="0" r="0" b="1270"/>
          <wp:wrapNone/>
          <wp:docPr id="48" name="Grafik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CD0">
      <w:tab/>
    </w:r>
  </w:p>
  <w:p w14:paraId="1736273E" w14:textId="0051BB57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</w:p>
  <w:p w14:paraId="138C2CDC" w14:textId="18B83CBB" w:rsidR="00C41C74" w:rsidRDefault="00BB0F85" w:rsidP="001E5503">
    <w:pPr>
      <w:pStyle w:val="Kopfzeile"/>
      <w:tabs>
        <w:tab w:val="clear" w:pos="4536"/>
        <w:tab w:val="clear" w:pos="9072"/>
        <w:tab w:val="left" w:pos="7938"/>
      </w:tabs>
      <w:ind w:right="-1985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36E0A73C" wp14:editId="0C60B6D8">
              <wp:simplePos x="0" y="0"/>
              <wp:positionH relativeFrom="column">
                <wp:posOffset>-26035</wp:posOffset>
              </wp:positionH>
              <wp:positionV relativeFrom="page">
                <wp:posOffset>1332865</wp:posOffset>
              </wp:positionV>
              <wp:extent cx="685800" cy="601345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09444D80" id="Rectangle 5" o:spid="_x0000_s1026" style="position:absolute;margin-left:-2.05pt;margin-top:104.95pt;width:54pt;height:47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" o:allowincell="f" filled="f" stroked="f" strokeweight="0">
              <w10:wrap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5C617" w14:textId="0096DDD3" w:rsidR="00C41C74" w:rsidRDefault="007B33CE" w:rsidP="009F28F5">
    <w:pPr>
      <w:pStyle w:val="Kopfzeile"/>
      <w:tabs>
        <w:tab w:val="clear" w:pos="4536"/>
        <w:tab w:val="clear" w:pos="9072"/>
        <w:tab w:val="left" w:pos="7938"/>
      </w:tabs>
      <w:ind w:right="-2043"/>
    </w:pPr>
    <w:r>
      <w:rPr>
        <w:noProof/>
      </w:rPr>
      <w:drawing>
        <wp:anchor distT="0" distB="0" distL="114300" distR="114300" simplePos="0" relativeHeight="251654143" behindDoc="0" locked="0" layoutInCell="1" allowOverlap="1" wp14:anchorId="5CC17046" wp14:editId="66798E8E">
          <wp:simplePos x="0" y="0"/>
          <wp:positionH relativeFrom="page">
            <wp:posOffset>5995035</wp:posOffset>
          </wp:positionH>
          <wp:positionV relativeFrom="page">
            <wp:posOffset>102235</wp:posOffset>
          </wp:positionV>
          <wp:extent cx="828000" cy="1065600"/>
          <wp:effectExtent l="0" t="0" r="0" b="127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Grafik 3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71E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0" allowOverlap="1" wp14:anchorId="7A25BCC8" wp14:editId="12A8C88E">
              <wp:simplePos x="0" y="0"/>
              <wp:positionH relativeFrom="page">
                <wp:posOffset>828040</wp:posOffset>
              </wp:positionH>
              <wp:positionV relativeFrom="page">
                <wp:posOffset>617220</wp:posOffset>
              </wp:positionV>
              <wp:extent cx="3333600" cy="288000"/>
              <wp:effectExtent l="0" t="0" r="6985" b="4445"/>
              <wp:wrapNone/>
              <wp:docPr id="1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600" cy="28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5B4E771" w14:textId="77777777" w:rsidR="000E6577" w:rsidRDefault="000E6577" w:rsidP="000E6577">
                          <w:pPr>
                            <w:pStyle w:val="EinfAbs"/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t>PRESSEMITTEILUNG</w:t>
                          </w:r>
                          <w:r>
                            <w:rPr>
                              <w:rFonts w:ascii="Source Sans Pro" w:hAnsi="Source Sans Pro" w:cs="Source Sans Pro"/>
                              <w:sz w:val="32"/>
                              <w:szCs w:val="32"/>
                            </w:rPr>
                            <w:br/>
                          </w:r>
                        </w:p>
                        <w:p w14:paraId="10D6939D" w14:textId="4BFF8C44" w:rsidR="00E775AC" w:rsidRPr="00B922EE" w:rsidRDefault="00E775AC" w:rsidP="00E775AC">
                          <w:pPr>
                            <w:pStyle w:val="AbsenderArial2"/>
                            <w:spacing w:line="240" w:lineRule="auto"/>
                            <w:rPr>
                              <w:rFonts w:ascii="HelveticaNeueLT Pro 55 Roman" w:hAnsi="HelveticaNeueLT Pro 55 Roman" w:cs="Arial"/>
                              <w:b w:val="0"/>
                              <w:color w:val="002639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5BCC8" id="Rectangle 6" o:spid="_x0000_s1026" style="position:absolute;margin-left:65.2pt;margin-top:48.6pt;width:262.5pt;height:22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" o:allowincell="f" filled="f" stroked="f" strokeweight="0">
              <v:textbox inset="0,0,0,0">
                <w:txbxContent>
                  <w:p w14:paraId="25B4E771" w14:textId="77777777" w:rsidR="000E6577" w:rsidRDefault="000E6577" w:rsidP="000E6577">
                    <w:pPr>
                      <w:pStyle w:val="EinfAbs"/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</w:pP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t>PRESSEMITTEILUNG</w:t>
                    </w:r>
                    <w:r>
                      <w:rPr>
                        <w:rFonts w:ascii="Source Sans Pro" w:hAnsi="Source Sans Pro" w:cs="Source Sans Pro"/>
                        <w:sz w:val="32"/>
                        <w:szCs w:val="32"/>
                      </w:rPr>
                      <w:br/>
                    </w:r>
                  </w:p>
                  <w:p w14:paraId="10D6939D" w14:textId="4BFF8C44" w:rsidR="00E775AC" w:rsidRPr="00B922EE" w:rsidRDefault="00E775AC" w:rsidP="00E775AC">
                    <w:pPr>
                      <w:pStyle w:val="AbsenderArial2"/>
                      <w:spacing w:line="240" w:lineRule="auto"/>
                      <w:rPr>
                        <w:rFonts w:ascii="HelveticaNeueLT Pro 55 Roman" w:hAnsi="HelveticaNeueLT Pro 55 Roman" w:cs="Arial"/>
                        <w:b w:val="0"/>
                        <w:color w:val="002639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9F28F5">
      <w:tab/>
    </w:r>
  </w:p>
  <w:p w14:paraId="3EAD45CF" w14:textId="5FC2DEDD" w:rsidR="004D2CD0" w:rsidRDefault="004D2CD0" w:rsidP="0005029E">
    <w:r>
      <w:tab/>
    </w:r>
  </w:p>
  <w:p w14:paraId="185BEDCB" w14:textId="4F512084" w:rsidR="004D2CD0" w:rsidRDefault="004D2CD0" w:rsidP="004D2CD0">
    <w:pPr>
      <w:pStyle w:val="Kopfzeile"/>
      <w:tabs>
        <w:tab w:val="clear" w:pos="4536"/>
        <w:tab w:val="clear" w:pos="9072"/>
        <w:tab w:val="left" w:pos="7938"/>
      </w:tabs>
      <w:ind w:right="-1985"/>
    </w:pPr>
    <w:r>
      <w:tab/>
    </w:r>
  </w:p>
  <w:p w14:paraId="19BE4530" w14:textId="5BD8E383" w:rsidR="004D2CD0" w:rsidRDefault="004D2CD0" w:rsidP="004D2CD0">
    <w:pPr>
      <w:pStyle w:val="Kopfzeile"/>
      <w:tabs>
        <w:tab w:val="clear" w:pos="4536"/>
        <w:tab w:val="clear" w:pos="9072"/>
        <w:tab w:val="left" w:pos="6265"/>
      </w:tabs>
      <w:ind w:right="-2043"/>
    </w:pPr>
  </w:p>
  <w:p w14:paraId="3370FE02" w14:textId="755B0682" w:rsidR="00C41C74" w:rsidRPr="00DA6836" w:rsidRDefault="00DA6836" w:rsidP="00FC69D9">
    <w:pPr>
      <w:pStyle w:val="Kopfzeile"/>
      <w:tabs>
        <w:tab w:val="clear" w:pos="4536"/>
        <w:tab w:val="clear" w:pos="9072"/>
        <w:tab w:val="left" w:pos="7230"/>
        <w:tab w:val="left" w:pos="8445"/>
      </w:tabs>
      <w:ind w:right="-2043"/>
      <w:rPr>
        <w:b/>
      </w:rPr>
    </w:pPr>
    <w:r>
      <w:tab/>
    </w:r>
  </w:p>
  <w:p w14:paraId="10CD55B7" w14:textId="6876FB57" w:rsidR="00C41C74" w:rsidRDefault="00F5697E">
    <w:pPr>
      <w:pStyle w:val="Kopfzeile"/>
      <w:tabs>
        <w:tab w:val="clear" w:pos="4536"/>
        <w:tab w:val="clear" w:pos="9072"/>
        <w:tab w:val="left" w:pos="6265"/>
      </w:tabs>
      <w:ind w:right="-2043"/>
      <w:rPr>
        <w:rFonts w:ascii="Arial" w:hAnsi="Arial"/>
        <w:sz w:val="15"/>
      </w:rPr>
    </w:pPr>
    <w:r>
      <w:rPr>
        <w:rFonts w:ascii="Arial" w:hAnsi="Arial"/>
        <w:sz w:val="15"/>
      </w:rPr>
      <w:softHyphen/>
    </w:r>
    <w:r>
      <w:rPr>
        <w:rFonts w:ascii="Arial" w:hAnsi="Arial"/>
        <w:sz w:val="15"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85"/>
    <w:rsid w:val="00001F24"/>
    <w:rsid w:val="000021F4"/>
    <w:rsid w:val="00004E93"/>
    <w:rsid w:val="000136D7"/>
    <w:rsid w:val="00013C9D"/>
    <w:rsid w:val="00013D73"/>
    <w:rsid w:val="00020AC9"/>
    <w:rsid w:val="00027EA3"/>
    <w:rsid w:val="00032028"/>
    <w:rsid w:val="000440EB"/>
    <w:rsid w:val="0005029E"/>
    <w:rsid w:val="000610DA"/>
    <w:rsid w:val="000663B5"/>
    <w:rsid w:val="00066A8A"/>
    <w:rsid w:val="00072A30"/>
    <w:rsid w:val="00073A63"/>
    <w:rsid w:val="00077E8A"/>
    <w:rsid w:val="00082C59"/>
    <w:rsid w:val="00091562"/>
    <w:rsid w:val="0009382E"/>
    <w:rsid w:val="000A4FBB"/>
    <w:rsid w:val="000A6A78"/>
    <w:rsid w:val="000B310B"/>
    <w:rsid w:val="000C3A22"/>
    <w:rsid w:val="000D5A87"/>
    <w:rsid w:val="000D7B09"/>
    <w:rsid w:val="000D7FD3"/>
    <w:rsid w:val="000E194E"/>
    <w:rsid w:val="000E4F2C"/>
    <w:rsid w:val="000E6577"/>
    <w:rsid w:val="000E694E"/>
    <w:rsid w:val="000F57F1"/>
    <w:rsid w:val="001104E2"/>
    <w:rsid w:val="00110E37"/>
    <w:rsid w:val="00113D8C"/>
    <w:rsid w:val="00120624"/>
    <w:rsid w:val="0012156C"/>
    <w:rsid w:val="00131DC5"/>
    <w:rsid w:val="001340F8"/>
    <w:rsid w:val="00146388"/>
    <w:rsid w:val="00150092"/>
    <w:rsid w:val="001550FE"/>
    <w:rsid w:val="00155828"/>
    <w:rsid w:val="00156AF6"/>
    <w:rsid w:val="00161817"/>
    <w:rsid w:val="00162CC4"/>
    <w:rsid w:val="001647B3"/>
    <w:rsid w:val="00166ED2"/>
    <w:rsid w:val="00176433"/>
    <w:rsid w:val="0018092C"/>
    <w:rsid w:val="00184BB0"/>
    <w:rsid w:val="001963BB"/>
    <w:rsid w:val="001A22F5"/>
    <w:rsid w:val="001B786B"/>
    <w:rsid w:val="001C32DB"/>
    <w:rsid w:val="001C518B"/>
    <w:rsid w:val="001E1829"/>
    <w:rsid w:val="001E5503"/>
    <w:rsid w:val="001F218D"/>
    <w:rsid w:val="001F35E1"/>
    <w:rsid w:val="00200C83"/>
    <w:rsid w:val="002014F7"/>
    <w:rsid w:val="00202DD3"/>
    <w:rsid w:val="0022694F"/>
    <w:rsid w:val="00235393"/>
    <w:rsid w:val="00264A0A"/>
    <w:rsid w:val="00265CA3"/>
    <w:rsid w:val="0028070D"/>
    <w:rsid w:val="00282ED8"/>
    <w:rsid w:val="00290672"/>
    <w:rsid w:val="002A09C2"/>
    <w:rsid w:val="002A480D"/>
    <w:rsid w:val="002A7D58"/>
    <w:rsid w:val="002B63FD"/>
    <w:rsid w:val="002B749A"/>
    <w:rsid w:val="002C52C5"/>
    <w:rsid w:val="002E1C45"/>
    <w:rsid w:val="002E5673"/>
    <w:rsid w:val="002F461A"/>
    <w:rsid w:val="002F786B"/>
    <w:rsid w:val="00306932"/>
    <w:rsid w:val="003152C9"/>
    <w:rsid w:val="00315870"/>
    <w:rsid w:val="00316196"/>
    <w:rsid w:val="003250ED"/>
    <w:rsid w:val="00341D84"/>
    <w:rsid w:val="003424EC"/>
    <w:rsid w:val="0034454C"/>
    <w:rsid w:val="00355438"/>
    <w:rsid w:val="00355ED1"/>
    <w:rsid w:val="00363075"/>
    <w:rsid w:val="00366AF3"/>
    <w:rsid w:val="00371640"/>
    <w:rsid w:val="00374F87"/>
    <w:rsid w:val="00392E9E"/>
    <w:rsid w:val="003948FA"/>
    <w:rsid w:val="003A463F"/>
    <w:rsid w:val="003B63A8"/>
    <w:rsid w:val="003D36F0"/>
    <w:rsid w:val="003D5215"/>
    <w:rsid w:val="003D5D91"/>
    <w:rsid w:val="003E772C"/>
    <w:rsid w:val="003F293B"/>
    <w:rsid w:val="003F5E07"/>
    <w:rsid w:val="0040331F"/>
    <w:rsid w:val="00403C95"/>
    <w:rsid w:val="0041188F"/>
    <w:rsid w:val="00423DAC"/>
    <w:rsid w:val="00425DBF"/>
    <w:rsid w:val="00430DA2"/>
    <w:rsid w:val="004329C6"/>
    <w:rsid w:val="004343B1"/>
    <w:rsid w:val="00434EB9"/>
    <w:rsid w:val="00436DD0"/>
    <w:rsid w:val="00453F14"/>
    <w:rsid w:val="00456442"/>
    <w:rsid w:val="00462200"/>
    <w:rsid w:val="00474099"/>
    <w:rsid w:val="00491CBC"/>
    <w:rsid w:val="004A2A30"/>
    <w:rsid w:val="004A2D54"/>
    <w:rsid w:val="004A60FB"/>
    <w:rsid w:val="004B5CB6"/>
    <w:rsid w:val="004C616B"/>
    <w:rsid w:val="004D2CD0"/>
    <w:rsid w:val="004D30FB"/>
    <w:rsid w:val="004F1EDD"/>
    <w:rsid w:val="004F77D4"/>
    <w:rsid w:val="00500981"/>
    <w:rsid w:val="00501428"/>
    <w:rsid w:val="005045E7"/>
    <w:rsid w:val="00510C33"/>
    <w:rsid w:val="005122A0"/>
    <w:rsid w:val="0054038E"/>
    <w:rsid w:val="0054593A"/>
    <w:rsid w:val="00554C9F"/>
    <w:rsid w:val="00557B57"/>
    <w:rsid w:val="005644BE"/>
    <w:rsid w:val="0057524E"/>
    <w:rsid w:val="00575A55"/>
    <w:rsid w:val="005A5999"/>
    <w:rsid w:val="005C25D5"/>
    <w:rsid w:val="005D0D0E"/>
    <w:rsid w:val="005D449F"/>
    <w:rsid w:val="005D73BE"/>
    <w:rsid w:val="005E1C97"/>
    <w:rsid w:val="005E6515"/>
    <w:rsid w:val="005F1F6B"/>
    <w:rsid w:val="005F3B7B"/>
    <w:rsid w:val="0060257F"/>
    <w:rsid w:val="00604F63"/>
    <w:rsid w:val="00605989"/>
    <w:rsid w:val="00613713"/>
    <w:rsid w:val="006224FB"/>
    <w:rsid w:val="0063115F"/>
    <w:rsid w:val="00632159"/>
    <w:rsid w:val="006363DA"/>
    <w:rsid w:val="006432C0"/>
    <w:rsid w:val="006456EA"/>
    <w:rsid w:val="00653983"/>
    <w:rsid w:val="006609C2"/>
    <w:rsid w:val="0066478F"/>
    <w:rsid w:val="00675E89"/>
    <w:rsid w:val="00695F46"/>
    <w:rsid w:val="006A3C35"/>
    <w:rsid w:val="006A6D11"/>
    <w:rsid w:val="006B2259"/>
    <w:rsid w:val="006B3ECE"/>
    <w:rsid w:val="006C5754"/>
    <w:rsid w:val="006D6526"/>
    <w:rsid w:val="006E06BE"/>
    <w:rsid w:val="006E674D"/>
    <w:rsid w:val="006E6770"/>
    <w:rsid w:val="006F154A"/>
    <w:rsid w:val="00701992"/>
    <w:rsid w:val="0070363C"/>
    <w:rsid w:val="00712023"/>
    <w:rsid w:val="007144E9"/>
    <w:rsid w:val="00714A1F"/>
    <w:rsid w:val="00717328"/>
    <w:rsid w:val="0072073D"/>
    <w:rsid w:val="00742C04"/>
    <w:rsid w:val="0074571D"/>
    <w:rsid w:val="00750A05"/>
    <w:rsid w:val="00767018"/>
    <w:rsid w:val="00771C92"/>
    <w:rsid w:val="00795586"/>
    <w:rsid w:val="00797DA3"/>
    <w:rsid w:val="007A4844"/>
    <w:rsid w:val="007B33CE"/>
    <w:rsid w:val="007B7B81"/>
    <w:rsid w:val="007C1429"/>
    <w:rsid w:val="007C5441"/>
    <w:rsid w:val="007D1495"/>
    <w:rsid w:val="007D5A52"/>
    <w:rsid w:val="007D5CA1"/>
    <w:rsid w:val="007D75C8"/>
    <w:rsid w:val="007E2C66"/>
    <w:rsid w:val="007F1021"/>
    <w:rsid w:val="007F2DBB"/>
    <w:rsid w:val="007F7E7C"/>
    <w:rsid w:val="00821A81"/>
    <w:rsid w:val="00825F63"/>
    <w:rsid w:val="008322D8"/>
    <w:rsid w:val="00837E5B"/>
    <w:rsid w:val="00851067"/>
    <w:rsid w:val="00856A7C"/>
    <w:rsid w:val="008739E7"/>
    <w:rsid w:val="00874645"/>
    <w:rsid w:val="00881685"/>
    <w:rsid w:val="008844D9"/>
    <w:rsid w:val="00891C3A"/>
    <w:rsid w:val="00895E64"/>
    <w:rsid w:val="008A3A3B"/>
    <w:rsid w:val="008A7188"/>
    <w:rsid w:val="008E0A69"/>
    <w:rsid w:val="008F2058"/>
    <w:rsid w:val="00904B69"/>
    <w:rsid w:val="009064CE"/>
    <w:rsid w:val="00912233"/>
    <w:rsid w:val="00914021"/>
    <w:rsid w:val="00917410"/>
    <w:rsid w:val="009264D0"/>
    <w:rsid w:val="0093360A"/>
    <w:rsid w:val="009358D3"/>
    <w:rsid w:val="00955433"/>
    <w:rsid w:val="00955764"/>
    <w:rsid w:val="00957A6F"/>
    <w:rsid w:val="009649C2"/>
    <w:rsid w:val="00965DEB"/>
    <w:rsid w:val="00966A04"/>
    <w:rsid w:val="009738DE"/>
    <w:rsid w:val="00980BEB"/>
    <w:rsid w:val="00980D94"/>
    <w:rsid w:val="00982F7B"/>
    <w:rsid w:val="009843D4"/>
    <w:rsid w:val="009867A7"/>
    <w:rsid w:val="0099076D"/>
    <w:rsid w:val="0099690F"/>
    <w:rsid w:val="00996D38"/>
    <w:rsid w:val="009A10C6"/>
    <w:rsid w:val="009A4503"/>
    <w:rsid w:val="009B008F"/>
    <w:rsid w:val="009C2D11"/>
    <w:rsid w:val="009C3FDE"/>
    <w:rsid w:val="009C4CE9"/>
    <w:rsid w:val="009F28F5"/>
    <w:rsid w:val="00A07846"/>
    <w:rsid w:val="00A17CA6"/>
    <w:rsid w:val="00A22C2C"/>
    <w:rsid w:val="00A22FBF"/>
    <w:rsid w:val="00A346EF"/>
    <w:rsid w:val="00A54087"/>
    <w:rsid w:val="00A57024"/>
    <w:rsid w:val="00A61757"/>
    <w:rsid w:val="00A63939"/>
    <w:rsid w:val="00A65690"/>
    <w:rsid w:val="00A65FB0"/>
    <w:rsid w:val="00A66A23"/>
    <w:rsid w:val="00A743C6"/>
    <w:rsid w:val="00A8148C"/>
    <w:rsid w:val="00A831E7"/>
    <w:rsid w:val="00A85640"/>
    <w:rsid w:val="00A91DC1"/>
    <w:rsid w:val="00A9412B"/>
    <w:rsid w:val="00AB69AD"/>
    <w:rsid w:val="00AC6B15"/>
    <w:rsid w:val="00AD2569"/>
    <w:rsid w:val="00AD4124"/>
    <w:rsid w:val="00AE0761"/>
    <w:rsid w:val="00AE07A3"/>
    <w:rsid w:val="00AE0E7B"/>
    <w:rsid w:val="00AE2412"/>
    <w:rsid w:val="00AE318F"/>
    <w:rsid w:val="00AF0066"/>
    <w:rsid w:val="00AF237D"/>
    <w:rsid w:val="00AF27B7"/>
    <w:rsid w:val="00AF63B5"/>
    <w:rsid w:val="00B005BD"/>
    <w:rsid w:val="00B03444"/>
    <w:rsid w:val="00B04F23"/>
    <w:rsid w:val="00B14C16"/>
    <w:rsid w:val="00B14E68"/>
    <w:rsid w:val="00B23669"/>
    <w:rsid w:val="00B24860"/>
    <w:rsid w:val="00B33789"/>
    <w:rsid w:val="00B46BC1"/>
    <w:rsid w:val="00B56AFB"/>
    <w:rsid w:val="00B576A5"/>
    <w:rsid w:val="00B862DB"/>
    <w:rsid w:val="00B922EE"/>
    <w:rsid w:val="00B9596E"/>
    <w:rsid w:val="00BA2FA0"/>
    <w:rsid w:val="00BA3D8E"/>
    <w:rsid w:val="00BA40B4"/>
    <w:rsid w:val="00BA49EB"/>
    <w:rsid w:val="00BB0F85"/>
    <w:rsid w:val="00BC0132"/>
    <w:rsid w:val="00BC0598"/>
    <w:rsid w:val="00BD0526"/>
    <w:rsid w:val="00BD2784"/>
    <w:rsid w:val="00BD46B2"/>
    <w:rsid w:val="00BF11C6"/>
    <w:rsid w:val="00C11004"/>
    <w:rsid w:val="00C111FE"/>
    <w:rsid w:val="00C1497F"/>
    <w:rsid w:val="00C20B9C"/>
    <w:rsid w:val="00C2509E"/>
    <w:rsid w:val="00C2778C"/>
    <w:rsid w:val="00C27F6A"/>
    <w:rsid w:val="00C3159C"/>
    <w:rsid w:val="00C35841"/>
    <w:rsid w:val="00C41C74"/>
    <w:rsid w:val="00C43C76"/>
    <w:rsid w:val="00C47B63"/>
    <w:rsid w:val="00C47F8B"/>
    <w:rsid w:val="00C50567"/>
    <w:rsid w:val="00C742DD"/>
    <w:rsid w:val="00C846F6"/>
    <w:rsid w:val="00C96048"/>
    <w:rsid w:val="00C96214"/>
    <w:rsid w:val="00C9797F"/>
    <w:rsid w:val="00CA1FB9"/>
    <w:rsid w:val="00CA73C1"/>
    <w:rsid w:val="00CA79D7"/>
    <w:rsid w:val="00CB7BE6"/>
    <w:rsid w:val="00CC0E23"/>
    <w:rsid w:val="00CC40B9"/>
    <w:rsid w:val="00CD7E39"/>
    <w:rsid w:val="00CE2EFB"/>
    <w:rsid w:val="00CE5A10"/>
    <w:rsid w:val="00D02FD8"/>
    <w:rsid w:val="00D10832"/>
    <w:rsid w:val="00D11A3A"/>
    <w:rsid w:val="00D3104C"/>
    <w:rsid w:val="00D42152"/>
    <w:rsid w:val="00D43D89"/>
    <w:rsid w:val="00D50FDD"/>
    <w:rsid w:val="00D513E4"/>
    <w:rsid w:val="00D53B8E"/>
    <w:rsid w:val="00D56A51"/>
    <w:rsid w:val="00D602AC"/>
    <w:rsid w:val="00D70824"/>
    <w:rsid w:val="00D760A9"/>
    <w:rsid w:val="00D760CF"/>
    <w:rsid w:val="00D925B8"/>
    <w:rsid w:val="00D949D0"/>
    <w:rsid w:val="00DA3B66"/>
    <w:rsid w:val="00DA4453"/>
    <w:rsid w:val="00DA6836"/>
    <w:rsid w:val="00DA733A"/>
    <w:rsid w:val="00DB2417"/>
    <w:rsid w:val="00DC05A3"/>
    <w:rsid w:val="00DC6A0C"/>
    <w:rsid w:val="00E03DB3"/>
    <w:rsid w:val="00E06757"/>
    <w:rsid w:val="00E1280F"/>
    <w:rsid w:val="00E178A3"/>
    <w:rsid w:val="00E17B2C"/>
    <w:rsid w:val="00E26EA1"/>
    <w:rsid w:val="00E27DEF"/>
    <w:rsid w:val="00E30081"/>
    <w:rsid w:val="00E32743"/>
    <w:rsid w:val="00E342C7"/>
    <w:rsid w:val="00E354F6"/>
    <w:rsid w:val="00E4317C"/>
    <w:rsid w:val="00E53D4C"/>
    <w:rsid w:val="00E609ED"/>
    <w:rsid w:val="00E63703"/>
    <w:rsid w:val="00E64DDC"/>
    <w:rsid w:val="00E704C6"/>
    <w:rsid w:val="00E775AC"/>
    <w:rsid w:val="00E77A47"/>
    <w:rsid w:val="00E77B98"/>
    <w:rsid w:val="00E8471E"/>
    <w:rsid w:val="00E91E8C"/>
    <w:rsid w:val="00E942DA"/>
    <w:rsid w:val="00E94EF3"/>
    <w:rsid w:val="00E959E9"/>
    <w:rsid w:val="00E95E00"/>
    <w:rsid w:val="00E97167"/>
    <w:rsid w:val="00EB1611"/>
    <w:rsid w:val="00EB468A"/>
    <w:rsid w:val="00EC01E6"/>
    <w:rsid w:val="00EC3DC1"/>
    <w:rsid w:val="00EC4845"/>
    <w:rsid w:val="00EC6CC2"/>
    <w:rsid w:val="00ED1C27"/>
    <w:rsid w:val="00ED5CDF"/>
    <w:rsid w:val="00ED6DCA"/>
    <w:rsid w:val="00EF0944"/>
    <w:rsid w:val="00EF7BE7"/>
    <w:rsid w:val="00F05141"/>
    <w:rsid w:val="00F07267"/>
    <w:rsid w:val="00F167CB"/>
    <w:rsid w:val="00F16AA1"/>
    <w:rsid w:val="00F2164E"/>
    <w:rsid w:val="00F22F9A"/>
    <w:rsid w:val="00F240EB"/>
    <w:rsid w:val="00F315FE"/>
    <w:rsid w:val="00F31FE6"/>
    <w:rsid w:val="00F40B12"/>
    <w:rsid w:val="00F45BB8"/>
    <w:rsid w:val="00F53F80"/>
    <w:rsid w:val="00F5697E"/>
    <w:rsid w:val="00F673A2"/>
    <w:rsid w:val="00F71A10"/>
    <w:rsid w:val="00F72A3E"/>
    <w:rsid w:val="00F74B67"/>
    <w:rsid w:val="00F7577B"/>
    <w:rsid w:val="00F91726"/>
    <w:rsid w:val="00FB3B53"/>
    <w:rsid w:val="00FB551B"/>
    <w:rsid w:val="00FC69D9"/>
    <w:rsid w:val="00FD28C1"/>
    <w:rsid w:val="00FD7412"/>
    <w:rsid w:val="00FF1703"/>
    <w:rsid w:val="00FF1EF9"/>
    <w:rsid w:val="00FF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22746E54"/>
  <w15:chartTrackingRefBased/>
  <w15:docId w15:val="{BD8A4DCD-E9B6-4CF3-BD97-B28BB205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ind w:left="1134" w:hanging="1134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240"/>
      <w:ind w:left="1134" w:hanging="1134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240"/>
      <w:ind w:left="1134" w:hanging="1134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ind w:left="2552" w:hanging="851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spacing w:before="240" w:after="240"/>
      <w:ind w:left="1418" w:hanging="1418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spacing w:before="240" w:after="240"/>
      <w:ind w:left="1418" w:hanging="1418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spacing w:before="240" w:after="240"/>
      <w:ind w:left="1418" w:hanging="1418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spacing w:before="240" w:after="240"/>
      <w:ind w:left="1418" w:hanging="1418"/>
      <w:outlineLvl w:val="7"/>
    </w:pPr>
    <w:rPr>
      <w:rFonts w:ascii="Arial" w:hAnsi="Arial"/>
      <w:b/>
    </w:rPr>
  </w:style>
  <w:style w:type="paragraph" w:styleId="berschrift9">
    <w:name w:val="heading 9"/>
    <w:basedOn w:val="Standard"/>
    <w:next w:val="Standard"/>
    <w:qFormat/>
    <w:pPr>
      <w:spacing w:before="240" w:after="240"/>
      <w:ind w:left="1418" w:hanging="1418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rFonts w:ascii="Arial" w:hAnsi="Arial"/>
      <w:b/>
      <w:sz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">
    <w:name w:val="H_Fließtext"/>
    <w:pPr>
      <w:overflowPunct w:val="0"/>
      <w:autoSpaceDE w:val="0"/>
      <w:autoSpaceDN w:val="0"/>
      <w:adjustRightInd w:val="0"/>
      <w:spacing w:line="280" w:lineRule="exact"/>
      <w:textAlignment w:val="baseline"/>
    </w:pPr>
    <w:rPr>
      <w:sz w:val="22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0"/>
    </w:rPr>
  </w:style>
  <w:style w:type="paragraph" w:customStyle="1" w:styleId="HFlietextfett">
    <w:name w:val="H_Fließtext fett"/>
    <w:basedOn w:val="HFlietext"/>
    <w:rPr>
      <w:b/>
    </w:rPr>
  </w:style>
  <w:style w:type="paragraph" w:customStyle="1" w:styleId="AbsenderArial2">
    <w:name w:val="Absender_Arial2"/>
    <w:basedOn w:val="Standard"/>
    <w:pPr>
      <w:spacing w:after="85" w:line="190" w:lineRule="exact"/>
    </w:pPr>
    <w:rPr>
      <w:rFonts w:ascii="Arial" w:hAnsi="Arial"/>
      <w:b/>
      <w:sz w:val="15"/>
    </w:rPr>
  </w:style>
  <w:style w:type="character" w:styleId="Seitenzahl">
    <w:name w:val="page number"/>
    <w:basedOn w:val="Absatz-Standardschriftart"/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B9596E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575A55"/>
  </w:style>
  <w:style w:type="character" w:styleId="Hyperlink">
    <w:name w:val="Hyperlink"/>
    <w:uiPriority w:val="99"/>
    <w:unhideWhenUsed/>
    <w:rsid w:val="0072073D"/>
    <w:rPr>
      <w:color w:val="0563C1"/>
      <w:u w:val="single"/>
    </w:rPr>
  </w:style>
  <w:style w:type="paragraph" w:customStyle="1" w:styleId="EinfAbs">
    <w:name w:val="[Einf. Abs.]"/>
    <w:basedOn w:val="Standard"/>
    <w:uiPriority w:val="99"/>
    <w:rsid w:val="00E775AC"/>
    <w:pPr>
      <w:overflowPunct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8168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881685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59"/>
    <w:rsid w:val="004A2D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1817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1817"/>
    <w:rPr>
      <w:rFonts w:asciiTheme="minorHAnsi" w:eastAsiaTheme="minorHAnsi" w:hAnsiTheme="minorHAnsi" w:cstheme="minorBidi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16181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1402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052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0526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052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rmanpropertypartners.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ermanpropertypartners.de/de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OFB-Brief Frankfurt</vt:lpstr>
    </vt:vector>
  </TitlesOfParts>
  <Company/>
  <LinksUpToDate>false</LinksUpToDate>
  <CharactersWithSpaces>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OFB-Brief Frankfurt</dc:title>
  <dc:subject/>
  <dc:creator>Keller, Yvonne</dc:creator>
  <cp:keywords/>
  <cp:lastModifiedBy>Corinna Fühner</cp:lastModifiedBy>
  <cp:revision>48</cp:revision>
  <cp:lastPrinted>2022-03-30T15:12:00Z</cp:lastPrinted>
  <dcterms:created xsi:type="dcterms:W3CDTF">2022-01-11T08:02:00Z</dcterms:created>
  <dcterms:modified xsi:type="dcterms:W3CDTF">2022-04-01T11:22:00Z</dcterms:modified>
</cp:coreProperties>
</file>