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4A334" w14:textId="737C64A8" w:rsidR="007D4174" w:rsidRPr="00157FCC" w:rsidRDefault="007D4174" w:rsidP="00D355D7">
      <w:pPr>
        <w:pStyle w:val="Heading5"/>
        <w:spacing w:line="276" w:lineRule="auto"/>
        <w:ind w:left="0"/>
        <w:rPr>
          <w:rFonts w:ascii="Georgia" w:hAnsi="Georgia"/>
          <w:color w:val="000000"/>
          <w:szCs w:val="36"/>
          <w:u w:color="000000"/>
          <w:lang w:val="de-DE"/>
        </w:rPr>
      </w:pPr>
      <w:r w:rsidRPr="00157FCC">
        <w:rPr>
          <w:rFonts w:ascii="Georgia" w:hAnsi="Georgia"/>
          <w:color w:val="000000"/>
          <w:szCs w:val="36"/>
          <w:u w:color="000000"/>
          <w:lang w:val="de-DE"/>
        </w:rPr>
        <w:t>Pressemitteilung</w:t>
      </w:r>
    </w:p>
    <w:p w14:paraId="6465BC1C" w14:textId="77777777" w:rsidR="007D4174" w:rsidRPr="00157FCC" w:rsidRDefault="007D4174" w:rsidP="00D355D7">
      <w:pPr>
        <w:pStyle w:val="BodyTextIndent2"/>
        <w:spacing w:line="276" w:lineRule="auto"/>
        <w:ind w:left="709"/>
        <w:jc w:val="left"/>
        <w:rPr>
          <w:rFonts w:ascii="Georgia" w:hAnsi="Georgia"/>
          <w:sz w:val="36"/>
          <w:szCs w:val="36"/>
          <w:u w:color="000000"/>
        </w:rPr>
      </w:pPr>
    </w:p>
    <w:p w14:paraId="7E6E4C11" w14:textId="2DCEC9C9" w:rsidR="00E5607B" w:rsidRDefault="00892575" w:rsidP="00D355D7">
      <w:pPr>
        <w:spacing w:line="276" w:lineRule="auto"/>
        <w:rPr>
          <w:rFonts w:ascii="Georgia" w:hAnsi="Georgia" w:cs="Georgia"/>
          <w:b/>
          <w:bCs/>
          <w:sz w:val="40"/>
          <w:szCs w:val="40"/>
        </w:rPr>
      </w:pPr>
      <w:r w:rsidRPr="45AEC8BB">
        <w:rPr>
          <w:rFonts w:ascii="Georgia" w:hAnsi="Georgia" w:cs="Georgia"/>
          <w:b/>
          <w:bCs/>
          <w:sz w:val="40"/>
          <w:szCs w:val="40"/>
        </w:rPr>
        <w:t>Insolvenzen und Private Equity prägten 2025 den M&amp;A-Markt im Gesundheitswesen</w:t>
      </w:r>
    </w:p>
    <w:p w14:paraId="616BEBF7" w14:textId="77777777" w:rsidR="00892575" w:rsidRDefault="00892575" w:rsidP="00D355D7">
      <w:pPr>
        <w:spacing w:line="276" w:lineRule="auto"/>
        <w:rPr>
          <w:rFonts w:ascii="Georgia" w:hAnsi="Georgia" w:cs="Georgia"/>
          <w:b/>
          <w:bCs/>
          <w:sz w:val="40"/>
          <w:szCs w:val="40"/>
        </w:rPr>
      </w:pPr>
    </w:p>
    <w:p w14:paraId="1A16E53D" w14:textId="3EA62526" w:rsidR="00E5607B" w:rsidRPr="00892575" w:rsidRDefault="00892575" w:rsidP="45AEC8BB">
      <w:pPr>
        <w:spacing w:line="276" w:lineRule="auto"/>
        <w:rPr>
          <w:rFonts w:ascii="Arial" w:hAnsi="Arial" w:cs="Arial"/>
          <w:b/>
          <w:bCs/>
          <w:sz w:val="22"/>
          <w:szCs w:val="22"/>
        </w:rPr>
      </w:pPr>
      <w:r w:rsidRPr="646C2E0A">
        <w:rPr>
          <w:rFonts w:ascii="Arial" w:hAnsi="Arial" w:cs="Arial"/>
          <w:b/>
          <w:bCs/>
          <w:sz w:val="22"/>
          <w:szCs w:val="22"/>
        </w:rPr>
        <w:t xml:space="preserve">Transaktionsmonitor Gesundheitswesen 2025 von PwC: 240 Deals im Jahr 2025 – stabiles Niveau zum Vorjahr / Klinikmarkt weiter von Insolvenzwelle geprägt, freigemeinnützige </w:t>
      </w:r>
      <w:r w:rsidR="00493CB9" w:rsidRPr="646C2E0A">
        <w:rPr>
          <w:rFonts w:ascii="Arial" w:hAnsi="Arial" w:cs="Arial"/>
          <w:b/>
          <w:bCs/>
          <w:sz w:val="22"/>
          <w:szCs w:val="22"/>
        </w:rPr>
        <w:t xml:space="preserve">und private Krankenhausgruppen sowie Kommunen selektiv als Käufer </w:t>
      </w:r>
      <w:r w:rsidRPr="646C2E0A">
        <w:rPr>
          <w:rFonts w:ascii="Arial" w:hAnsi="Arial" w:cs="Arial"/>
          <w:b/>
          <w:bCs/>
          <w:sz w:val="22"/>
          <w:szCs w:val="22"/>
        </w:rPr>
        <w:t>/ MVZ-Markt 59 von 68 Transaktionen mit Private-Equity-Beteiligung / Pflegesektor auf Höchststand mit 79 Deals, davon 30 aus Insolvenz / Deal-Volumen bei Pflegeimmobilien steigt um 18 Prozent</w:t>
      </w:r>
    </w:p>
    <w:p w14:paraId="179B7AAC" w14:textId="77777777" w:rsidR="00892575" w:rsidRPr="004100C7" w:rsidRDefault="00892575" w:rsidP="00892575">
      <w:pPr>
        <w:spacing w:line="276" w:lineRule="auto"/>
        <w:rPr>
          <w:rFonts w:ascii="Georgia" w:hAnsi="Georgia" w:cs="Georgia"/>
          <w:b/>
          <w:iCs/>
          <w:color w:val="FF0000"/>
          <w:sz w:val="22"/>
          <w:szCs w:val="22"/>
        </w:rPr>
      </w:pPr>
    </w:p>
    <w:p w14:paraId="3EE6A840" w14:textId="0E720C49" w:rsidR="00D552B7" w:rsidRPr="005579B3" w:rsidRDefault="7CA8E382" w:rsidP="00E5607B">
      <w:pPr>
        <w:spacing w:line="276" w:lineRule="auto"/>
        <w:rPr>
          <w:rFonts w:ascii="Arial" w:hAnsi="Arial" w:cs="Arial"/>
          <w:color w:val="FF0000"/>
          <w:sz w:val="22"/>
          <w:szCs w:val="22"/>
        </w:rPr>
      </w:pPr>
      <w:r w:rsidRPr="213D8F16">
        <w:rPr>
          <w:rFonts w:ascii="Arial" w:hAnsi="Arial" w:cs="Arial"/>
          <w:sz w:val="22"/>
          <w:szCs w:val="22"/>
        </w:rPr>
        <w:t>Frankfurt a</w:t>
      </w:r>
      <w:r w:rsidRPr="213D8F16">
        <w:rPr>
          <w:rFonts w:asciiTheme="minorHAnsi" w:eastAsiaTheme="minorEastAsia" w:hAnsiTheme="minorHAnsi" w:cstheme="minorBidi"/>
          <w:sz w:val="22"/>
          <w:szCs w:val="22"/>
        </w:rPr>
        <w:t>m Main</w:t>
      </w:r>
      <w:r w:rsidR="1380951D" w:rsidRPr="213D8F16">
        <w:rPr>
          <w:rFonts w:asciiTheme="minorHAnsi" w:eastAsiaTheme="minorEastAsia" w:hAnsiTheme="minorHAnsi" w:cstheme="minorBidi"/>
          <w:sz w:val="22"/>
          <w:szCs w:val="22"/>
        </w:rPr>
        <w:t xml:space="preserve">, </w:t>
      </w:r>
      <w:r w:rsidR="563E43CE" w:rsidRPr="213D8F16">
        <w:rPr>
          <w:rFonts w:asciiTheme="minorHAnsi" w:eastAsiaTheme="minorEastAsia" w:hAnsiTheme="minorHAnsi" w:cstheme="minorBidi"/>
          <w:sz w:val="22"/>
          <w:szCs w:val="22"/>
        </w:rPr>
        <w:t>28</w:t>
      </w:r>
      <w:r w:rsidR="1380951D" w:rsidRPr="213D8F16">
        <w:rPr>
          <w:rFonts w:asciiTheme="minorHAnsi" w:eastAsiaTheme="minorEastAsia" w:hAnsiTheme="minorHAnsi" w:cstheme="minorBidi"/>
          <w:sz w:val="22"/>
          <w:szCs w:val="22"/>
        </w:rPr>
        <w:t xml:space="preserve">. </w:t>
      </w:r>
      <w:r w:rsidR="73A2FDF0" w:rsidRPr="213D8F16">
        <w:rPr>
          <w:rFonts w:asciiTheme="minorHAnsi" w:eastAsiaTheme="minorEastAsia" w:hAnsiTheme="minorHAnsi" w:cstheme="minorBidi"/>
          <w:sz w:val="22"/>
          <w:szCs w:val="22"/>
        </w:rPr>
        <w:t>Mai</w:t>
      </w:r>
      <w:r w:rsidR="57FC1D2B" w:rsidRPr="213D8F16">
        <w:rPr>
          <w:rFonts w:asciiTheme="minorHAnsi" w:eastAsiaTheme="minorEastAsia" w:hAnsiTheme="minorHAnsi" w:cstheme="minorBidi"/>
          <w:sz w:val="22"/>
          <w:szCs w:val="22"/>
        </w:rPr>
        <w:t xml:space="preserve"> 202</w:t>
      </w:r>
      <w:r w:rsidR="7C408E5E" w:rsidRPr="213D8F16">
        <w:rPr>
          <w:rFonts w:asciiTheme="minorHAnsi" w:eastAsiaTheme="minorEastAsia" w:hAnsiTheme="minorHAnsi" w:cstheme="minorBidi"/>
          <w:sz w:val="22"/>
          <w:szCs w:val="22"/>
        </w:rPr>
        <w:t>6</w:t>
      </w:r>
      <w:r w:rsidR="1380951D" w:rsidRPr="213D8F16">
        <w:rPr>
          <w:rFonts w:asciiTheme="minorHAnsi" w:eastAsiaTheme="minorEastAsia" w:hAnsiTheme="minorHAnsi" w:cstheme="minorBidi"/>
          <w:sz w:val="22"/>
          <w:szCs w:val="22"/>
        </w:rPr>
        <w:t xml:space="preserve"> </w:t>
      </w:r>
    </w:p>
    <w:p w14:paraId="49257B4C" w14:textId="77777777" w:rsidR="00D552B7" w:rsidRDefault="00D552B7" w:rsidP="00E5607B">
      <w:pPr>
        <w:spacing w:line="276" w:lineRule="auto"/>
        <w:rPr>
          <w:rFonts w:ascii="Georgia" w:hAnsi="Georgia" w:cs="Georgia"/>
          <w:i/>
          <w:iCs/>
          <w:color w:val="FF0000"/>
          <w:sz w:val="22"/>
          <w:szCs w:val="22"/>
        </w:rPr>
      </w:pPr>
    </w:p>
    <w:p w14:paraId="3C8E197A" w14:textId="153C3E37" w:rsidR="00892575" w:rsidRDefault="00892575" w:rsidP="45AEC8BB">
      <w:pPr>
        <w:spacing w:line="276" w:lineRule="auto"/>
        <w:rPr>
          <w:rFonts w:ascii="Arial" w:hAnsi="Arial" w:cs="Arial"/>
          <w:sz w:val="22"/>
          <w:szCs w:val="22"/>
        </w:rPr>
      </w:pPr>
      <w:r w:rsidRPr="646C2E0A">
        <w:rPr>
          <w:rFonts w:ascii="Arial" w:hAnsi="Arial" w:cs="Arial"/>
          <w:sz w:val="22"/>
          <w:szCs w:val="22"/>
        </w:rPr>
        <w:t xml:space="preserve">Der deutsche Gesundheitsmarkt blieb 2025 unter Druck. </w:t>
      </w:r>
      <w:r w:rsidR="00493CB9" w:rsidRPr="646C2E0A">
        <w:rPr>
          <w:rFonts w:ascii="Arial" w:hAnsi="Arial" w:cs="Arial"/>
          <w:sz w:val="22"/>
          <w:szCs w:val="22"/>
        </w:rPr>
        <w:t xml:space="preserve">Die beschlossene Krankenhausreform, die sich abzeichnende Gesundheitsreform und Fachkräftemangel </w:t>
      </w:r>
      <w:r w:rsidRPr="646C2E0A">
        <w:rPr>
          <w:rFonts w:ascii="Arial" w:hAnsi="Arial" w:cs="Arial"/>
          <w:sz w:val="22"/>
          <w:szCs w:val="22"/>
        </w:rPr>
        <w:t>belasteten Betreiber über alle Segmente hinweg. Inflationsbedingt gestiegene Personal- und Energiekosten verschär</w:t>
      </w:r>
      <w:r w:rsidR="2A226EDD" w:rsidRPr="646C2E0A">
        <w:rPr>
          <w:rFonts w:ascii="Arial" w:hAnsi="Arial" w:cs="Arial"/>
          <w:sz w:val="22"/>
          <w:szCs w:val="22"/>
        </w:rPr>
        <w:t>f</w:t>
      </w:r>
      <w:r w:rsidR="0755435C" w:rsidRPr="646C2E0A">
        <w:rPr>
          <w:rFonts w:ascii="Arial" w:hAnsi="Arial" w:cs="Arial"/>
          <w:sz w:val="22"/>
          <w:szCs w:val="22"/>
        </w:rPr>
        <w:t>t</w:t>
      </w:r>
      <w:r w:rsidRPr="646C2E0A">
        <w:rPr>
          <w:rFonts w:ascii="Arial" w:hAnsi="Arial" w:cs="Arial"/>
          <w:sz w:val="22"/>
          <w:szCs w:val="22"/>
        </w:rPr>
        <w:t xml:space="preserve">en die Situation. Trotzdem blieb der M&amp;A-Markt im Gesundheitswesen aktiv: 240 Deals verzeichnet der „Transaktionsmonitor Gesundheitswesen 2025“ von PwC für das Jahr 2025. Die </w:t>
      </w:r>
      <w:r w:rsidR="00E44AFE" w:rsidRPr="646C2E0A">
        <w:rPr>
          <w:rFonts w:ascii="Arial" w:hAnsi="Arial" w:cs="Arial"/>
          <w:sz w:val="22"/>
          <w:szCs w:val="22"/>
        </w:rPr>
        <w:t xml:space="preserve">Anzahl der Deals </w:t>
      </w:r>
      <w:r w:rsidRPr="646C2E0A">
        <w:rPr>
          <w:rFonts w:ascii="Arial" w:hAnsi="Arial" w:cs="Arial"/>
          <w:sz w:val="22"/>
          <w:szCs w:val="22"/>
        </w:rPr>
        <w:t xml:space="preserve">blieb damit fast exakt auf dem Vorjahresniveau (2024:237 Deals). </w:t>
      </w:r>
    </w:p>
    <w:p w14:paraId="306666B4" w14:textId="77777777" w:rsidR="00892575" w:rsidRDefault="00892575" w:rsidP="00892575">
      <w:pPr>
        <w:spacing w:line="276" w:lineRule="auto"/>
        <w:rPr>
          <w:rFonts w:ascii="Arial" w:hAnsi="Arial" w:cs="Arial"/>
          <w:iCs/>
          <w:sz w:val="22"/>
          <w:szCs w:val="22"/>
        </w:rPr>
      </w:pPr>
    </w:p>
    <w:p w14:paraId="5CFD1DB6" w14:textId="5DB1649E" w:rsidR="00892575" w:rsidRPr="001E3BBF" w:rsidRDefault="00892575" w:rsidP="45AEC8BB">
      <w:pPr>
        <w:spacing w:line="276" w:lineRule="auto"/>
        <w:rPr>
          <w:rFonts w:ascii="Arial" w:hAnsi="Arial" w:cs="Arial"/>
          <w:sz w:val="22"/>
          <w:szCs w:val="22"/>
        </w:rPr>
      </w:pPr>
      <w:r w:rsidRPr="45AEC8BB">
        <w:rPr>
          <w:rFonts w:ascii="Arial" w:hAnsi="Arial" w:cs="Arial"/>
          <w:sz w:val="22"/>
          <w:szCs w:val="22"/>
        </w:rPr>
        <w:t xml:space="preserve">Die 240 Transaktionen verteilen sich wie folgt: 79 Deals entfielen auf Pflegebetriebe (rund 33 Prozent), 68 auf niedergelassene Leistungserbringer und Labore (rund 28 Prozent), 48 auf Pflegeimmobilien (20 Prozent), 33 auf Krankenhäuser und Fachkliniken (rund 14 Prozent) sowie 12 auf den Bereich stationäre und ambulante Rehabilitation (5 Prozent). Die PwC-Analyse erfasst alle Deals aus öffentlich zugänglichen Quellen für das zurückliegende Jahr. </w:t>
      </w:r>
    </w:p>
    <w:p w14:paraId="6A8242B9" w14:textId="77777777" w:rsidR="00892575" w:rsidRPr="00892575" w:rsidRDefault="00892575" w:rsidP="00892575">
      <w:pPr>
        <w:spacing w:line="276" w:lineRule="auto"/>
        <w:rPr>
          <w:rFonts w:ascii="Arial" w:hAnsi="Arial" w:cs="Arial"/>
          <w:iCs/>
          <w:sz w:val="22"/>
          <w:szCs w:val="22"/>
        </w:rPr>
      </w:pPr>
    </w:p>
    <w:p w14:paraId="09EDFC65" w14:textId="768373E6" w:rsidR="00892575" w:rsidRDefault="00892575" w:rsidP="646C2E0A">
      <w:pPr>
        <w:spacing w:line="276" w:lineRule="auto"/>
        <w:rPr>
          <w:rFonts w:ascii="Arial" w:hAnsi="Arial" w:cs="Arial"/>
          <w:b/>
          <w:bCs/>
          <w:sz w:val="22"/>
          <w:szCs w:val="22"/>
        </w:rPr>
      </w:pPr>
      <w:r w:rsidRPr="646C2E0A">
        <w:rPr>
          <w:rFonts w:ascii="Arial" w:hAnsi="Arial" w:cs="Arial"/>
          <w:b/>
          <w:bCs/>
          <w:sz w:val="22"/>
          <w:szCs w:val="22"/>
        </w:rPr>
        <w:t>Insolvenzwelle im Klinikmarkt</w:t>
      </w:r>
    </w:p>
    <w:p w14:paraId="27C34616" w14:textId="77777777" w:rsidR="00892575" w:rsidRDefault="00892575" w:rsidP="00892575">
      <w:pPr>
        <w:spacing w:line="276" w:lineRule="auto"/>
        <w:rPr>
          <w:rFonts w:ascii="Arial" w:hAnsi="Arial" w:cs="Arial"/>
          <w:iCs/>
          <w:sz w:val="22"/>
          <w:szCs w:val="22"/>
        </w:rPr>
      </w:pPr>
    </w:p>
    <w:p w14:paraId="63AD6DB3" w14:textId="09F74B13" w:rsidR="00892575" w:rsidRDefault="00892575" w:rsidP="45AEC8BB">
      <w:pPr>
        <w:spacing w:line="276" w:lineRule="auto"/>
        <w:rPr>
          <w:rFonts w:ascii="Arial" w:hAnsi="Arial" w:cs="Arial"/>
          <w:sz w:val="22"/>
          <w:szCs w:val="22"/>
        </w:rPr>
      </w:pPr>
      <w:r w:rsidRPr="646C2E0A">
        <w:rPr>
          <w:rFonts w:ascii="Arial" w:hAnsi="Arial" w:cs="Arial"/>
          <w:sz w:val="22"/>
          <w:szCs w:val="22"/>
        </w:rPr>
        <w:t xml:space="preserve">Im Krankenhaussektor blieb der Restrukturierungsdruck hoch: 66 Prozent der Allgemeinkrankenhäuser ab 100 Betten schrieben 2024 – aus diesem Jahr sind die </w:t>
      </w:r>
      <w:bookmarkStart w:id="0" w:name="_Int_zJ76tdrr"/>
      <w:proofErr w:type="gramStart"/>
      <w:r w:rsidRPr="646C2E0A">
        <w:rPr>
          <w:rFonts w:ascii="Arial" w:hAnsi="Arial" w:cs="Arial"/>
          <w:sz w:val="22"/>
          <w:szCs w:val="22"/>
        </w:rPr>
        <w:t>aktuellsten</w:t>
      </w:r>
      <w:bookmarkEnd w:id="0"/>
      <w:proofErr w:type="gramEnd"/>
      <w:r w:rsidRPr="646C2E0A">
        <w:rPr>
          <w:rFonts w:ascii="Arial" w:hAnsi="Arial" w:cs="Arial"/>
          <w:sz w:val="22"/>
          <w:szCs w:val="22"/>
        </w:rPr>
        <w:t xml:space="preserve"> Daten – Verluste. Das ist ein Anstieg um fünf Prozentpunkte gegenüber dem Vorjahr. Für 2025 erwarten 70 Prozent der Häuser einen Jahresfehlbetrag. </w:t>
      </w:r>
    </w:p>
    <w:p w14:paraId="7C168391" w14:textId="77777777" w:rsidR="00892575" w:rsidRDefault="00892575" w:rsidP="00892575">
      <w:pPr>
        <w:spacing w:line="276" w:lineRule="auto"/>
        <w:rPr>
          <w:rFonts w:ascii="Arial" w:hAnsi="Arial" w:cs="Arial"/>
          <w:iCs/>
          <w:sz w:val="22"/>
          <w:szCs w:val="22"/>
        </w:rPr>
      </w:pPr>
    </w:p>
    <w:p w14:paraId="11BE28E8" w14:textId="010B53A5" w:rsidR="00892575" w:rsidRDefault="00892575" w:rsidP="45AEC8BB">
      <w:pPr>
        <w:spacing w:line="276" w:lineRule="auto"/>
        <w:rPr>
          <w:rFonts w:ascii="Arial" w:hAnsi="Arial" w:cs="Arial"/>
          <w:sz w:val="22"/>
          <w:szCs w:val="22"/>
        </w:rPr>
      </w:pPr>
      <w:r w:rsidRPr="646C2E0A">
        <w:rPr>
          <w:rFonts w:ascii="Arial" w:hAnsi="Arial" w:cs="Arial"/>
          <w:sz w:val="22"/>
          <w:szCs w:val="22"/>
        </w:rPr>
        <w:t>Vor allem die Insolvenz der DRK Trägergesellschaft Süd-West betraf im Jahr 2025 mehrere Standorte. Sie gingen sukzessive an verschiedene Träger: das Krankenhaus Neuwied an die Marienhaus-Gruppe, Hachenburg an das Evangelische Krankenhaus Dierdorf/Selters und drei psychiatrische Einrichtungen an VALEARA (GENUI). Die St. Franziskus-Stiftung Münster übernahm eine Mehrheitsbeteiligung vom Erzbistum Köln am Verbund Katholischer Kliniken Düsseldorf mit rund 50 Fachkliniken</w:t>
      </w:r>
      <w:r w:rsidR="005579B3" w:rsidRPr="646C2E0A">
        <w:rPr>
          <w:rFonts w:ascii="Arial" w:hAnsi="Arial" w:cs="Arial"/>
          <w:sz w:val="22"/>
          <w:szCs w:val="22"/>
        </w:rPr>
        <w:t xml:space="preserve"> und Kompetenzzentren</w:t>
      </w:r>
      <w:r w:rsidRPr="646C2E0A">
        <w:rPr>
          <w:rFonts w:ascii="Arial" w:hAnsi="Arial" w:cs="Arial"/>
          <w:sz w:val="22"/>
          <w:szCs w:val="22"/>
        </w:rPr>
        <w:t xml:space="preserve">. Private-Equity-Investoren traten bei nur fünf der 33 </w:t>
      </w:r>
      <w:r w:rsidR="00902FF5" w:rsidRPr="646C2E0A">
        <w:rPr>
          <w:rFonts w:ascii="Arial" w:hAnsi="Arial" w:cs="Arial"/>
          <w:sz w:val="22"/>
          <w:szCs w:val="22"/>
        </w:rPr>
        <w:t xml:space="preserve">Krankenhaustransaktionen </w:t>
      </w:r>
      <w:r w:rsidRPr="646C2E0A">
        <w:rPr>
          <w:rFonts w:ascii="Arial" w:hAnsi="Arial" w:cs="Arial"/>
          <w:sz w:val="22"/>
          <w:szCs w:val="22"/>
        </w:rPr>
        <w:t>als Käufer auf.</w:t>
      </w:r>
    </w:p>
    <w:p w14:paraId="180BE69B" w14:textId="77777777" w:rsidR="00892575" w:rsidRDefault="00892575" w:rsidP="00892575">
      <w:pPr>
        <w:spacing w:line="276" w:lineRule="auto"/>
        <w:rPr>
          <w:rFonts w:ascii="Arial" w:hAnsi="Arial" w:cs="Arial"/>
          <w:iCs/>
          <w:sz w:val="22"/>
          <w:szCs w:val="22"/>
        </w:rPr>
      </w:pPr>
    </w:p>
    <w:p w14:paraId="3AB7B6EA" w14:textId="45DD0965" w:rsidR="00892575" w:rsidRPr="00892575" w:rsidRDefault="00892575" w:rsidP="646C2E0A">
      <w:pPr>
        <w:spacing w:line="276" w:lineRule="auto"/>
        <w:rPr>
          <w:rFonts w:ascii="Arial" w:hAnsi="Arial" w:cs="Arial"/>
          <w:sz w:val="22"/>
          <w:szCs w:val="22"/>
        </w:rPr>
      </w:pPr>
      <w:r w:rsidRPr="646C2E0A">
        <w:rPr>
          <w:rFonts w:ascii="Arial" w:hAnsi="Arial" w:cs="Arial"/>
          <w:sz w:val="22"/>
          <w:szCs w:val="22"/>
        </w:rPr>
        <w:t>Dr. Alexander von Friesen, Partner Corporate Finance und M&amp;A sowie Head of Healthcare &amp; Consumer bei PwC Deutschland, sagt: „</w:t>
      </w:r>
      <w:r w:rsidR="00B75DAE" w:rsidRPr="646C2E0A">
        <w:rPr>
          <w:rFonts w:ascii="Arial" w:hAnsi="Arial" w:cs="Arial"/>
          <w:sz w:val="22"/>
          <w:szCs w:val="22"/>
        </w:rPr>
        <w:t>Freigemeinnützige und private Krankenhausgruppen sowie kommunale Träger</w:t>
      </w:r>
      <w:r w:rsidR="259421E9" w:rsidRPr="646C2E0A">
        <w:rPr>
          <w:rFonts w:ascii="Arial" w:hAnsi="Arial" w:cs="Arial"/>
          <w:sz w:val="22"/>
          <w:szCs w:val="22"/>
        </w:rPr>
        <w:t xml:space="preserve"> </w:t>
      </w:r>
      <w:r w:rsidRPr="646C2E0A">
        <w:rPr>
          <w:rFonts w:ascii="Arial" w:hAnsi="Arial" w:cs="Arial"/>
          <w:sz w:val="22"/>
          <w:szCs w:val="22"/>
        </w:rPr>
        <w:t>nutzen das Marktumfeld zur selektiven regionalen Konsolidierung. Zugleich haben insolvente Häuser zunehmend Schwierigkeiten, neue Träger zu finden, und stellen ihren Betrieb komplett ein.“ Als Alternative zur Schließung etablierten sich, so von Friesen, Transformationspfade – etwa die Umwandlung in ein ambulantes Gesundheitszentrum oder die Spezialisierung als Fachklinik.</w:t>
      </w:r>
    </w:p>
    <w:p w14:paraId="14B32FD8" w14:textId="77777777" w:rsidR="00892575" w:rsidRPr="00892575" w:rsidRDefault="00892575" w:rsidP="00892575">
      <w:pPr>
        <w:spacing w:line="276" w:lineRule="auto"/>
        <w:rPr>
          <w:rFonts w:ascii="Arial" w:hAnsi="Arial" w:cs="Arial"/>
          <w:iCs/>
          <w:sz w:val="22"/>
          <w:szCs w:val="22"/>
        </w:rPr>
      </w:pPr>
    </w:p>
    <w:p w14:paraId="08F8BDF4" w14:textId="77777777" w:rsidR="00892575" w:rsidRPr="00892575" w:rsidRDefault="00892575" w:rsidP="00892575">
      <w:pPr>
        <w:spacing w:line="276" w:lineRule="auto"/>
        <w:rPr>
          <w:rFonts w:ascii="Arial" w:hAnsi="Arial" w:cs="Arial"/>
          <w:b/>
          <w:bCs/>
          <w:iCs/>
          <w:sz w:val="22"/>
          <w:szCs w:val="22"/>
        </w:rPr>
      </w:pPr>
      <w:r w:rsidRPr="00892575">
        <w:rPr>
          <w:rFonts w:ascii="Arial" w:hAnsi="Arial" w:cs="Arial"/>
          <w:b/>
          <w:bCs/>
          <w:iCs/>
          <w:sz w:val="22"/>
          <w:szCs w:val="22"/>
        </w:rPr>
        <w:t>Private Equity erreicht Rekordanteil bei MVZ-Transaktionen</w:t>
      </w:r>
    </w:p>
    <w:p w14:paraId="209BB0E6" w14:textId="77777777" w:rsidR="00892575" w:rsidRPr="00892575" w:rsidRDefault="00892575" w:rsidP="00892575">
      <w:pPr>
        <w:spacing w:line="276" w:lineRule="auto"/>
        <w:rPr>
          <w:rFonts w:ascii="Arial" w:hAnsi="Arial" w:cs="Arial"/>
          <w:iCs/>
          <w:sz w:val="22"/>
          <w:szCs w:val="22"/>
        </w:rPr>
      </w:pPr>
    </w:p>
    <w:p w14:paraId="1AF8FBC5" w14:textId="75E6D2FA" w:rsidR="00892575" w:rsidRDefault="00892575" w:rsidP="45AEC8BB">
      <w:pPr>
        <w:spacing w:line="276" w:lineRule="auto"/>
        <w:rPr>
          <w:rFonts w:ascii="Arial" w:hAnsi="Arial" w:cs="Arial"/>
          <w:sz w:val="22"/>
          <w:szCs w:val="22"/>
        </w:rPr>
      </w:pPr>
      <w:r w:rsidRPr="646C2E0A">
        <w:rPr>
          <w:rFonts w:ascii="Arial" w:hAnsi="Arial" w:cs="Arial"/>
          <w:sz w:val="22"/>
          <w:szCs w:val="22"/>
        </w:rPr>
        <w:t xml:space="preserve">Bei den niedergelassenen Leistungserbringern und Laboren stieg die Zahl der Transaktionen mit Private-Equity-Beteiligung deutlich: von 40 im Jahr 2024 auf nun 59 von insgesamt 68 Deals. Folgende Deals stachen heraus: GENUI veräußerte die auf Psychosomatik und Psychotherapie spezialisierte VALEARA-Gruppe an Luxempart. Carlyle stieg mit rund 250 Millionen Euro bei der Augenheilkundeplattform Sanoptis ein </w:t>
      </w:r>
      <w:r w:rsidR="00602AEF" w:rsidRPr="646C2E0A">
        <w:rPr>
          <w:rFonts w:ascii="Arial" w:hAnsi="Arial" w:cs="Arial"/>
          <w:sz w:val="22"/>
          <w:szCs w:val="22"/>
        </w:rPr>
        <w:t xml:space="preserve">Mit </w:t>
      </w:r>
      <w:r w:rsidRPr="646C2E0A">
        <w:rPr>
          <w:rFonts w:ascii="Arial" w:hAnsi="Arial" w:cs="Arial"/>
          <w:sz w:val="22"/>
          <w:szCs w:val="22"/>
        </w:rPr>
        <w:t xml:space="preserve">der Übernahme von Stingray Healthcare </w:t>
      </w:r>
      <w:r w:rsidR="003179F2" w:rsidRPr="646C2E0A">
        <w:rPr>
          <w:rFonts w:ascii="Arial" w:hAnsi="Arial" w:cs="Arial"/>
          <w:sz w:val="22"/>
          <w:szCs w:val="22"/>
        </w:rPr>
        <w:t xml:space="preserve">(auch in Deutschland aktiv) </w:t>
      </w:r>
      <w:r w:rsidRPr="646C2E0A">
        <w:rPr>
          <w:rFonts w:ascii="Arial" w:hAnsi="Arial" w:cs="Arial"/>
          <w:sz w:val="22"/>
          <w:szCs w:val="22"/>
        </w:rPr>
        <w:t xml:space="preserve">durch Amethyst Radiotherapy (Fremman Capital) schlossen sich zwei der drei größten europäischen Plattformen für Krebsbehandlung zusammen. </w:t>
      </w:r>
      <w:r w:rsidR="00E77BC5" w:rsidRPr="646C2E0A">
        <w:rPr>
          <w:rFonts w:ascii="Arial" w:hAnsi="Arial" w:cs="Arial"/>
          <w:sz w:val="22"/>
          <w:szCs w:val="22"/>
        </w:rPr>
        <w:t>Sanecum (Adiuva Capital) konnte mit der Übernahme der Radiologische Allianz Hamburg mit 20 Einrichtungen und rund 300 Mitarbeitenden einen wesentlichen Zukauf in der Radiologie verbuchen.</w:t>
      </w:r>
    </w:p>
    <w:p w14:paraId="05AC5160" w14:textId="77777777" w:rsidR="00892575" w:rsidRDefault="00892575" w:rsidP="00892575">
      <w:pPr>
        <w:spacing w:line="276" w:lineRule="auto"/>
        <w:rPr>
          <w:rFonts w:ascii="Arial" w:hAnsi="Arial" w:cs="Arial"/>
          <w:iCs/>
          <w:sz w:val="22"/>
          <w:szCs w:val="22"/>
        </w:rPr>
      </w:pPr>
    </w:p>
    <w:p w14:paraId="52D03B95" w14:textId="3B8CBA35" w:rsidR="00E77BC5" w:rsidRPr="00892575" w:rsidRDefault="00E77BC5" w:rsidP="646C2E0A">
      <w:pPr>
        <w:spacing w:line="276" w:lineRule="auto"/>
        <w:rPr>
          <w:rFonts w:ascii="Arial" w:hAnsi="Arial" w:cs="Arial"/>
          <w:sz w:val="22"/>
          <w:szCs w:val="22"/>
        </w:rPr>
      </w:pPr>
      <w:r w:rsidRPr="646C2E0A">
        <w:rPr>
          <w:rFonts w:ascii="Arial" w:hAnsi="Arial" w:cs="Arial"/>
          <w:sz w:val="22"/>
          <w:szCs w:val="22"/>
        </w:rPr>
        <w:t xml:space="preserve">Ob es </w:t>
      </w:r>
      <w:bookmarkStart w:id="1" w:name="_Int_ng1ueIzV"/>
      <w:proofErr w:type="gramStart"/>
      <w:r w:rsidRPr="646C2E0A">
        <w:rPr>
          <w:rFonts w:ascii="Arial" w:hAnsi="Arial" w:cs="Arial"/>
          <w:sz w:val="22"/>
          <w:szCs w:val="22"/>
        </w:rPr>
        <w:t>in 2026</w:t>
      </w:r>
      <w:bookmarkEnd w:id="1"/>
      <w:proofErr w:type="gramEnd"/>
      <w:r w:rsidRPr="646C2E0A">
        <w:rPr>
          <w:rFonts w:ascii="Arial" w:hAnsi="Arial" w:cs="Arial"/>
          <w:sz w:val="22"/>
          <w:szCs w:val="22"/>
        </w:rPr>
        <w:t xml:space="preserve"> zu größeren Exits von Private Equity im MVZ-Markt kommen wird, wird bleibt abzuwarten. Ein EuGH-Urteil vom Dezember 2024 erlaubt EU-Mitgliedstaaten, Finanzinvestorenbeteiligungen an Rechtsanwaltsgesellschaften einzuschränken. Das Urteil könnte als Referenzrahmen für eine mögliche Übertragbarkeit auf den Gesundheitssektor dienen. „Anders als in der Vergangenheit bremsen diesbezügliche regulatorische Unsicherheiten das Geschäft aber aktuell eher nicht“, kommentiert PwC-Experte Dr. Alexander von Friesen, „dagegen werden die möglichen negativen Auswirkungen der aktuellen Vorschläge für Einsparungen im ambulanten Bereich zur Stabilisierung der GKV-Beiträge und die anstehende GoÄ Reform sehr genau analysiert. Andererseits wird der Zwang, sich effizient auch unter Zuhilfenahme von Digitalisierung aufzustellen, zu weiterer Konsolidierung führen und größere Einheiten begünstigen“.</w:t>
      </w:r>
    </w:p>
    <w:p w14:paraId="7B7A12A2" w14:textId="77777777" w:rsidR="00892575" w:rsidRPr="00892575" w:rsidRDefault="00892575" w:rsidP="00892575">
      <w:pPr>
        <w:spacing w:line="276" w:lineRule="auto"/>
        <w:rPr>
          <w:rFonts w:ascii="Arial" w:hAnsi="Arial" w:cs="Arial"/>
          <w:iCs/>
          <w:sz w:val="22"/>
          <w:szCs w:val="22"/>
        </w:rPr>
      </w:pPr>
    </w:p>
    <w:p w14:paraId="1529D4A7" w14:textId="1913CD17" w:rsidR="00892575" w:rsidRDefault="00892575" w:rsidP="00892575">
      <w:pPr>
        <w:spacing w:line="276" w:lineRule="auto"/>
        <w:rPr>
          <w:rFonts w:ascii="Arial" w:hAnsi="Arial" w:cs="Arial"/>
          <w:b/>
          <w:bCs/>
          <w:iCs/>
          <w:sz w:val="22"/>
          <w:szCs w:val="22"/>
        </w:rPr>
      </w:pPr>
      <w:r w:rsidRPr="00E546C6">
        <w:rPr>
          <w:rFonts w:ascii="Arial" w:hAnsi="Arial" w:cs="Arial"/>
          <w:b/>
          <w:bCs/>
          <w:iCs/>
          <w:sz w:val="22"/>
          <w:szCs w:val="22"/>
        </w:rPr>
        <w:t xml:space="preserve">Pflege bleibt stärkster Transaktionsbereich </w:t>
      </w:r>
      <w:r w:rsidR="00E546C6">
        <w:rPr>
          <w:rFonts w:ascii="Arial" w:hAnsi="Arial" w:cs="Arial"/>
          <w:b/>
          <w:bCs/>
          <w:iCs/>
          <w:sz w:val="22"/>
          <w:szCs w:val="22"/>
        </w:rPr>
        <w:t xml:space="preserve">– </w:t>
      </w:r>
      <w:r w:rsidRPr="00E546C6">
        <w:rPr>
          <w:rFonts w:ascii="Arial" w:hAnsi="Arial" w:cs="Arial"/>
          <w:b/>
          <w:bCs/>
          <w:iCs/>
          <w:sz w:val="22"/>
          <w:szCs w:val="22"/>
        </w:rPr>
        <w:t>Pflegeimmobilien legen zu</w:t>
      </w:r>
    </w:p>
    <w:p w14:paraId="28D4B3E4" w14:textId="77777777" w:rsidR="00E546C6" w:rsidRPr="00E546C6" w:rsidRDefault="00E546C6" w:rsidP="00892575">
      <w:pPr>
        <w:spacing w:line="276" w:lineRule="auto"/>
        <w:rPr>
          <w:rFonts w:ascii="Arial" w:hAnsi="Arial" w:cs="Arial"/>
          <w:b/>
          <w:bCs/>
          <w:iCs/>
          <w:sz w:val="22"/>
          <w:szCs w:val="22"/>
        </w:rPr>
      </w:pPr>
    </w:p>
    <w:p w14:paraId="04F1CF71" w14:textId="77777777" w:rsidR="00E546C6" w:rsidRDefault="00892575" w:rsidP="45AEC8BB">
      <w:pPr>
        <w:spacing w:line="276" w:lineRule="auto"/>
        <w:rPr>
          <w:rFonts w:ascii="Arial" w:hAnsi="Arial" w:cs="Arial"/>
          <w:sz w:val="22"/>
          <w:szCs w:val="22"/>
        </w:rPr>
      </w:pPr>
      <w:r w:rsidRPr="45AEC8BB">
        <w:rPr>
          <w:rFonts w:ascii="Arial" w:hAnsi="Arial" w:cs="Arial"/>
          <w:sz w:val="22"/>
          <w:szCs w:val="22"/>
        </w:rPr>
        <w:t xml:space="preserve">Der Pflegesektor verzeichnete 2025 mit 79 Transaktionen einen Höchststand. 30 Deals entfielen auf Insolvenzen. </w:t>
      </w:r>
      <w:r w:rsidR="00E546C6" w:rsidRPr="45AEC8BB">
        <w:rPr>
          <w:rFonts w:ascii="Arial" w:hAnsi="Arial" w:cs="Arial"/>
          <w:sz w:val="22"/>
          <w:szCs w:val="22"/>
        </w:rPr>
        <w:t xml:space="preserve">Zu den Deals im Einzelnen: </w:t>
      </w:r>
      <w:r w:rsidRPr="45AEC8BB">
        <w:rPr>
          <w:rFonts w:ascii="Arial" w:hAnsi="Arial" w:cs="Arial"/>
          <w:sz w:val="22"/>
          <w:szCs w:val="22"/>
        </w:rPr>
        <w:t xml:space="preserve">Die Argentum Pflege Gruppe ging mit 22 Einrichtungen und rund 1.600 Mitarbeitenden an Lafayette Mittelstand Capital. Die opseo-Gruppe (Apheon/Sofina) baute ihre Position in der Intensivpflege durch die Übernahmen der CCC-Intensivpflege-Gruppe und der Lebenswert weiter aus. </w:t>
      </w:r>
      <w:r w:rsidR="00E546C6" w:rsidRPr="45AEC8BB">
        <w:rPr>
          <w:rFonts w:ascii="Arial" w:hAnsi="Arial" w:cs="Arial"/>
          <w:sz w:val="22"/>
          <w:szCs w:val="22"/>
        </w:rPr>
        <w:t>D</w:t>
      </w:r>
      <w:r w:rsidRPr="45AEC8BB">
        <w:rPr>
          <w:rFonts w:ascii="Arial" w:hAnsi="Arial" w:cs="Arial"/>
          <w:sz w:val="22"/>
          <w:szCs w:val="22"/>
        </w:rPr>
        <w:t xml:space="preserve">ie Insolvenz des </w:t>
      </w:r>
      <w:r w:rsidR="00E546C6" w:rsidRPr="45AEC8BB">
        <w:rPr>
          <w:rFonts w:ascii="Arial" w:hAnsi="Arial" w:cs="Arial"/>
          <w:sz w:val="22"/>
          <w:szCs w:val="22"/>
        </w:rPr>
        <w:t xml:space="preserve">mit Risikokapital </w:t>
      </w:r>
      <w:r w:rsidRPr="45AEC8BB">
        <w:rPr>
          <w:rFonts w:ascii="Arial" w:hAnsi="Arial" w:cs="Arial"/>
          <w:sz w:val="22"/>
          <w:szCs w:val="22"/>
        </w:rPr>
        <w:t xml:space="preserve">finanzierten Anbieters Kenbi führte zur Aufspaltung: Die Pflegewerk-Gruppe übernahm 29 Standorte, die Pflegeunion Düsseldorf und Lebensblick Mobile Pflege weitere 13. </w:t>
      </w:r>
    </w:p>
    <w:p w14:paraId="35517A30" w14:textId="77777777" w:rsidR="00E546C6" w:rsidRDefault="00E546C6" w:rsidP="00892575">
      <w:pPr>
        <w:spacing w:line="276" w:lineRule="auto"/>
        <w:rPr>
          <w:rFonts w:ascii="Arial" w:hAnsi="Arial" w:cs="Arial"/>
          <w:iCs/>
          <w:sz w:val="22"/>
          <w:szCs w:val="22"/>
        </w:rPr>
      </w:pPr>
    </w:p>
    <w:p w14:paraId="00CFD1A1" w14:textId="0CE21AD1" w:rsidR="00892575" w:rsidRPr="00892575" w:rsidRDefault="00E546C6" w:rsidP="646C2E0A">
      <w:pPr>
        <w:spacing w:line="276" w:lineRule="auto"/>
        <w:rPr>
          <w:rFonts w:ascii="Arial" w:hAnsi="Arial" w:cs="Arial"/>
          <w:sz w:val="22"/>
          <w:szCs w:val="22"/>
        </w:rPr>
      </w:pPr>
      <w:r w:rsidRPr="646C2E0A">
        <w:rPr>
          <w:rFonts w:ascii="Arial" w:hAnsi="Arial" w:cs="Arial"/>
          <w:sz w:val="22"/>
          <w:szCs w:val="22"/>
        </w:rPr>
        <w:lastRenderedPageBreak/>
        <w:t>Auch i</w:t>
      </w:r>
      <w:r w:rsidR="00892575" w:rsidRPr="646C2E0A">
        <w:rPr>
          <w:rFonts w:ascii="Arial" w:hAnsi="Arial" w:cs="Arial"/>
          <w:sz w:val="22"/>
          <w:szCs w:val="22"/>
        </w:rPr>
        <w:t>m Immobiliensegment stieg das Transaktionsvolumen 2025 gegenüber dem Vorjahr</w:t>
      </w:r>
      <w:r w:rsidRPr="646C2E0A">
        <w:rPr>
          <w:rFonts w:ascii="Arial" w:hAnsi="Arial" w:cs="Arial"/>
          <w:sz w:val="22"/>
          <w:szCs w:val="22"/>
        </w:rPr>
        <w:t xml:space="preserve"> um </w:t>
      </w:r>
      <w:r w:rsidR="00892575" w:rsidRPr="646C2E0A">
        <w:rPr>
          <w:rFonts w:ascii="Arial" w:hAnsi="Arial" w:cs="Arial"/>
          <w:sz w:val="22"/>
          <w:szCs w:val="22"/>
        </w:rPr>
        <w:t>18 Prozent. Die Freie und Hansestadt Hamburg erwarb über die städtische Konzernholding HGV das Portfolio „PFLEGEN UND WOHNEN Hamburg</w:t>
      </w:r>
      <w:r w:rsidRPr="646C2E0A">
        <w:rPr>
          <w:rFonts w:ascii="Arial" w:hAnsi="Arial" w:cs="Arial"/>
          <w:sz w:val="22"/>
          <w:szCs w:val="22"/>
        </w:rPr>
        <w:t>“</w:t>
      </w:r>
      <w:r w:rsidR="00892575" w:rsidRPr="646C2E0A">
        <w:rPr>
          <w:rFonts w:ascii="Arial" w:hAnsi="Arial" w:cs="Arial"/>
          <w:sz w:val="22"/>
          <w:szCs w:val="22"/>
        </w:rPr>
        <w:t xml:space="preserve"> von der Deutschen Wohnen für rund 380 Millionen Euro zurück</w:t>
      </w:r>
      <w:r w:rsidRPr="646C2E0A">
        <w:rPr>
          <w:rFonts w:ascii="Arial" w:hAnsi="Arial" w:cs="Arial"/>
          <w:sz w:val="22"/>
          <w:szCs w:val="22"/>
        </w:rPr>
        <w:t>. Dies betrifft</w:t>
      </w:r>
      <w:r w:rsidR="00892575" w:rsidRPr="646C2E0A">
        <w:rPr>
          <w:rFonts w:ascii="Arial" w:hAnsi="Arial" w:cs="Arial"/>
          <w:sz w:val="22"/>
          <w:szCs w:val="22"/>
        </w:rPr>
        <w:t xml:space="preserve"> 13 Pflegeheimstandorte mit rund 2.400 Pflegeplätzen.</w:t>
      </w:r>
    </w:p>
    <w:p w14:paraId="3FA9C17D" w14:textId="77777777" w:rsidR="00892575" w:rsidRPr="00892575" w:rsidRDefault="00892575" w:rsidP="00892575">
      <w:pPr>
        <w:spacing w:line="276" w:lineRule="auto"/>
        <w:rPr>
          <w:rFonts w:ascii="Arial" w:hAnsi="Arial" w:cs="Arial"/>
          <w:iCs/>
          <w:sz w:val="22"/>
          <w:szCs w:val="22"/>
        </w:rPr>
      </w:pPr>
    </w:p>
    <w:p w14:paraId="3F6C4627" w14:textId="1AC1DFB5" w:rsidR="00892575" w:rsidRDefault="00E546C6" w:rsidP="00892575">
      <w:pPr>
        <w:spacing w:line="276" w:lineRule="auto"/>
        <w:rPr>
          <w:rFonts w:ascii="Arial" w:hAnsi="Arial" w:cs="Arial"/>
          <w:iCs/>
          <w:sz w:val="22"/>
          <w:szCs w:val="22"/>
        </w:rPr>
      </w:pPr>
      <w:r w:rsidRPr="00892575">
        <w:rPr>
          <w:rFonts w:ascii="Arial" w:hAnsi="Arial" w:cs="Arial"/>
          <w:iCs/>
          <w:sz w:val="22"/>
          <w:szCs w:val="22"/>
        </w:rPr>
        <w:t>Benjamin Schrödl, Partner Real Assets Mergers &amp; Acquisitions bei PwC Deutschland</w:t>
      </w:r>
      <w:r>
        <w:rPr>
          <w:rFonts w:ascii="Arial" w:hAnsi="Arial" w:cs="Arial"/>
          <w:iCs/>
          <w:sz w:val="22"/>
          <w:szCs w:val="22"/>
        </w:rPr>
        <w:t xml:space="preserve">, ordnet ein: </w:t>
      </w:r>
      <w:r w:rsidR="00892575" w:rsidRPr="00892575">
        <w:rPr>
          <w:rFonts w:ascii="Arial" w:hAnsi="Arial" w:cs="Arial"/>
          <w:iCs/>
          <w:sz w:val="22"/>
          <w:szCs w:val="22"/>
        </w:rPr>
        <w:t>„Bei Pflegeimmobilien ist die Preisfindungsphase weitgehend abgeschlossen. Käufer- und Verkäufererwartungen haben sich angenähert, die Spitzenrenditen blieben 2025 stabil.</w:t>
      </w:r>
      <w:r>
        <w:rPr>
          <w:rFonts w:ascii="Arial" w:hAnsi="Arial" w:cs="Arial"/>
          <w:iCs/>
          <w:sz w:val="22"/>
          <w:szCs w:val="22"/>
        </w:rPr>
        <w:t xml:space="preserve">“ Dies </w:t>
      </w:r>
      <w:r w:rsidR="00892575" w:rsidRPr="00892575">
        <w:rPr>
          <w:rFonts w:ascii="Arial" w:hAnsi="Arial" w:cs="Arial"/>
          <w:iCs/>
          <w:sz w:val="22"/>
          <w:szCs w:val="22"/>
        </w:rPr>
        <w:t>erklär</w:t>
      </w:r>
      <w:r>
        <w:rPr>
          <w:rFonts w:ascii="Arial" w:hAnsi="Arial" w:cs="Arial"/>
          <w:iCs/>
          <w:sz w:val="22"/>
          <w:szCs w:val="22"/>
        </w:rPr>
        <w:t>e</w:t>
      </w:r>
      <w:r w:rsidR="00892575" w:rsidRPr="00892575">
        <w:rPr>
          <w:rFonts w:ascii="Arial" w:hAnsi="Arial" w:cs="Arial"/>
          <w:iCs/>
          <w:sz w:val="22"/>
          <w:szCs w:val="22"/>
        </w:rPr>
        <w:t xml:space="preserve"> das deutlich höhere Transaktionsvolumen. </w:t>
      </w:r>
      <w:r>
        <w:rPr>
          <w:rFonts w:ascii="Arial" w:hAnsi="Arial" w:cs="Arial"/>
          <w:iCs/>
          <w:sz w:val="22"/>
          <w:szCs w:val="22"/>
        </w:rPr>
        <w:t>Der PwC-Experte ergänzt: „</w:t>
      </w:r>
      <w:r w:rsidR="00892575" w:rsidRPr="00892575">
        <w:rPr>
          <w:rFonts w:ascii="Arial" w:hAnsi="Arial" w:cs="Arial"/>
          <w:iCs/>
          <w:sz w:val="22"/>
          <w:szCs w:val="22"/>
        </w:rPr>
        <w:t xml:space="preserve">Das Betreiberrisiko bleibt der zentrale limitierende Faktor, weil </w:t>
      </w:r>
      <w:r>
        <w:rPr>
          <w:rFonts w:ascii="Arial" w:hAnsi="Arial" w:cs="Arial"/>
          <w:iCs/>
          <w:sz w:val="22"/>
          <w:szCs w:val="22"/>
        </w:rPr>
        <w:t>die regulierten Refinanzierungssysteme den</w:t>
      </w:r>
      <w:r w:rsidR="00892575" w:rsidRPr="00892575">
        <w:rPr>
          <w:rFonts w:ascii="Arial" w:hAnsi="Arial" w:cs="Arial"/>
          <w:iCs/>
          <w:sz w:val="22"/>
          <w:szCs w:val="22"/>
        </w:rPr>
        <w:t xml:space="preserve"> Fachkräftemangel und hohe Personalkosten nur eingeschränkt auffangen.</w:t>
      </w:r>
      <w:r>
        <w:rPr>
          <w:rFonts w:ascii="Arial" w:hAnsi="Arial" w:cs="Arial"/>
          <w:iCs/>
          <w:sz w:val="22"/>
          <w:szCs w:val="22"/>
        </w:rPr>
        <w:t xml:space="preserve">“ </w:t>
      </w:r>
      <w:r w:rsidR="00892575" w:rsidRPr="00892575">
        <w:rPr>
          <w:rFonts w:ascii="Arial" w:hAnsi="Arial" w:cs="Arial"/>
          <w:iCs/>
          <w:sz w:val="22"/>
          <w:szCs w:val="22"/>
        </w:rPr>
        <w:t xml:space="preserve">Schrödl verweist auf erste Transaktionen Anfang 2026, die die fortschreitende Konsolidierung bestätigen: die Übernahme der </w:t>
      </w:r>
      <w:proofErr w:type="spellStart"/>
      <w:r w:rsidR="00892575" w:rsidRPr="00892575">
        <w:rPr>
          <w:rFonts w:ascii="Arial" w:hAnsi="Arial" w:cs="Arial"/>
          <w:iCs/>
          <w:sz w:val="22"/>
          <w:szCs w:val="22"/>
        </w:rPr>
        <w:t>Vitanas</w:t>
      </w:r>
      <w:proofErr w:type="spellEnd"/>
      <w:r w:rsidR="00892575" w:rsidRPr="00892575">
        <w:rPr>
          <w:rFonts w:ascii="Arial" w:hAnsi="Arial" w:cs="Arial"/>
          <w:iCs/>
          <w:sz w:val="22"/>
          <w:szCs w:val="22"/>
        </w:rPr>
        <w:t xml:space="preserve"> durch </w:t>
      </w:r>
      <w:proofErr w:type="spellStart"/>
      <w:r w:rsidR="00892575" w:rsidRPr="00892575">
        <w:rPr>
          <w:rFonts w:ascii="Arial" w:hAnsi="Arial" w:cs="Arial"/>
          <w:iCs/>
          <w:sz w:val="22"/>
          <w:szCs w:val="22"/>
        </w:rPr>
        <w:t>Domidep</w:t>
      </w:r>
      <w:proofErr w:type="spellEnd"/>
      <w:r w:rsidR="00892575" w:rsidRPr="00892575">
        <w:rPr>
          <w:rFonts w:ascii="Arial" w:hAnsi="Arial" w:cs="Arial"/>
          <w:iCs/>
          <w:sz w:val="22"/>
          <w:szCs w:val="22"/>
        </w:rPr>
        <w:t xml:space="preserve"> (I </w:t>
      </w:r>
      <w:proofErr w:type="spellStart"/>
      <w:r w:rsidR="00892575" w:rsidRPr="00892575">
        <w:rPr>
          <w:rFonts w:ascii="Arial" w:hAnsi="Arial" w:cs="Arial"/>
          <w:iCs/>
          <w:sz w:val="22"/>
          <w:szCs w:val="22"/>
        </w:rPr>
        <w:t>Squared</w:t>
      </w:r>
      <w:proofErr w:type="spellEnd"/>
      <w:r w:rsidR="00892575" w:rsidRPr="00892575">
        <w:rPr>
          <w:rFonts w:ascii="Arial" w:hAnsi="Arial" w:cs="Arial"/>
          <w:iCs/>
          <w:sz w:val="22"/>
          <w:szCs w:val="22"/>
        </w:rPr>
        <w:t xml:space="preserve"> Capital) und den Erwerb von DKV-Einrichtungen durch die Münchner Augustinum Gruppe.</w:t>
      </w:r>
    </w:p>
    <w:p w14:paraId="3A493550" w14:textId="77777777" w:rsidR="00E546C6" w:rsidRPr="00892575" w:rsidRDefault="00E546C6" w:rsidP="00892575">
      <w:pPr>
        <w:spacing w:line="276" w:lineRule="auto"/>
        <w:rPr>
          <w:rFonts w:ascii="Arial" w:hAnsi="Arial" w:cs="Arial"/>
          <w:iCs/>
          <w:sz w:val="22"/>
          <w:szCs w:val="22"/>
        </w:rPr>
      </w:pPr>
    </w:p>
    <w:p w14:paraId="37CC0AE1" w14:textId="64E66EB9" w:rsidR="00892575" w:rsidRPr="00E546C6" w:rsidRDefault="00892575" w:rsidP="45AEC8BB">
      <w:pPr>
        <w:spacing w:line="276" w:lineRule="auto"/>
        <w:rPr>
          <w:rFonts w:ascii="Arial" w:hAnsi="Arial" w:cs="Arial"/>
          <w:b/>
          <w:bCs/>
          <w:sz w:val="22"/>
          <w:szCs w:val="22"/>
        </w:rPr>
      </w:pPr>
      <w:r w:rsidRPr="646C2E0A">
        <w:rPr>
          <w:rFonts w:ascii="Arial" w:hAnsi="Arial" w:cs="Arial"/>
          <w:b/>
          <w:bCs/>
          <w:sz w:val="22"/>
          <w:szCs w:val="22"/>
        </w:rPr>
        <w:t>Digitale Gesundheit: KIS-Markt im Umbruch nach SAP-Rückzug</w:t>
      </w:r>
    </w:p>
    <w:p w14:paraId="66BA671A" w14:textId="77777777" w:rsidR="00E546C6" w:rsidRDefault="00E546C6" w:rsidP="00892575">
      <w:pPr>
        <w:spacing w:line="276" w:lineRule="auto"/>
        <w:rPr>
          <w:rFonts w:ascii="Arial" w:hAnsi="Arial" w:cs="Arial"/>
          <w:iCs/>
          <w:sz w:val="22"/>
          <w:szCs w:val="22"/>
        </w:rPr>
      </w:pPr>
    </w:p>
    <w:p w14:paraId="29CA22DF" w14:textId="7B9CDA15" w:rsidR="00892575" w:rsidRPr="00892575" w:rsidRDefault="61992761" w:rsidP="45AEC8BB">
      <w:pPr>
        <w:spacing w:line="276" w:lineRule="auto"/>
        <w:rPr>
          <w:rFonts w:ascii="Arial" w:hAnsi="Arial" w:cs="Arial"/>
          <w:sz w:val="22"/>
          <w:szCs w:val="22"/>
        </w:rPr>
      </w:pPr>
      <w:r w:rsidRPr="213D8F16">
        <w:rPr>
          <w:rFonts w:ascii="Arial" w:hAnsi="Arial" w:cs="Arial"/>
          <w:sz w:val="22"/>
          <w:szCs w:val="22"/>
        </w:rPr>
        <w:t>Bei den</w:t>
      </w:r>
      <w:r w:rsidR="7C713F7C" w:rsidRPr="213D8F16">
        <w:rPr>
          <w:rFonts w:ascii="Arial" w:hAnsi="Arial" w:cs="Arial"/>
          <w:sz w:val="22"/>
          <w:szCs w:val="22"/>
        </w:rPr>
        <w:t xml:space="preserve"> digitalen Leistungserbringer</w:t>
      </w:r>
      <w:r w:rsidRPr="213D8F16">
        <w:rPr>
          <w:rFonts w:ascii="Arial" w:hAnsi="Arial" w:cs="Arial"/>
          <w:sz w:val="22"/>
          <w:szCs w:val="22"/>
        </w:rPr>
        <w:t>n</w:t>
      </w:r>
      <w:r w:rsidR="7C713F7C" w:rsidRPr="213D8F16">
        <w:rPr>
          <w:rFonts w:ascii="Arial" w:hAnsi="Arial" w:cs="Arial"/>
          <w:sz w:val="22"/>
          <w:szCs w:val="22"/>
        </w:rPr>
        <w:t xml:space="preserve"> </w:t>
      </w:r>
      <w:r w:rsidR="73A2FDF0" w:rsidRPr="213D8F16">
        <w:rPr>
          <w:rFonts w:ascii="Arial" w:hAnsi="Arial" w:cs="Arial"/>
          <w:sz w:val="22"/>
          <w:szCs w:val="22"/>
        </w:rPr>
        <w:t>blieb</w:t>
      </w:r>
      <w:r w:rsidR="7C713F7C" w:rsidRPr="213D8F16">
        <w:rPr>
          <w:rFonts w:ascii="Arial" w:hAnsi="Arial" w:cs="Arial"/>
          <w:sz w:val="22"/>
          <w:szCs w:val="22"/>
        </w:rPr>
        <w:t xml:space="preserve"> </w:t>
      </w:r>
      <w:r w:rsidRPr="213D8F16">
        <w:rPr>
          <w:rFonts w:ascii="Arial" w:hAnsi="Arial" w:cs="Arial"/>
          <w:sz w:val="22"/>
          <w:szCs w:val="22"/>
        </w:rPr>
        <w:t>der Markt</w:t>
      </w:r>
      <w:r w:rsidR="73A2FDF0" w:rsidRPr="213D8F16">
        <w:rPr>
          <w:rFonts w:ascii="Arial" w:hAnsi="Arial" w:cs="Arial"/>
          <w:sz w:val="22"/>
          <w:szCs w:val="22"/>
        </w:rPr>
        <w:t xml:space="preserve"> im Jahr 2025</w:t>
      </w:r>
      <w:r w:rsidRPr="213D8F16">
        <w:rPr>
          <w:rFonts w:ascii="Arial" w:hAnsi="Arial" w:cs="Arial"/>
          <w:sz w:val="22"/>
          <w:szCs w:val="22"/>
        </w:rPr>
        <w:t xml:space="preserve"> </w:t>
      </w:r>
      <w:r w:rsidR="7C713F7C" w:rsidRPr="213D8F16">
        <w:rPr>
          <w:rFonts w:ascii="Arial" w:hAnsi="Arial" w:cs="Arial"/>
          <w:sz w:val="22"/>
          <w:szCs w:val="22"/>
        </w:rPr>
        <w:t xml:space="preserve">von breit gestreuten Finanzierungen geprägt. </w:t>
      </w:r>
      <w:r w:rsidRPr="213D8F16">
        <w:rPr>
          <w:rFonts w:ascii="Arial" w:hAnsi="Arial" w:cs="Arial"/>
          <w:sz w:val="22"/>
          <w:szCs w:val="22"/>
        </w:rPr>
        <w:t>So erhielt d</w:t>
      </w:r>
      <w:r w:rsidR="7C713F7C" w:rsidRPr="213D8F16">
        <w:rPr>
          <w:rFonts w:ascii="Arial" w:hAnsi="Arial" w:cs="Arial"/>
          <w:sz w:val="22"/>
          <w:szCs w:val="22"/>
        </w:rPr>
        <w:t>ie Berliner Plattform Amboss mit 240 Millionen Euro die größte deutsche Digital-Health-Finanzierung des Jahres. Sequoia investierte 30 Millionen Euro in Avelios Medical zur Entwicklung eines neuen Krankenhausinformationssystems (KIS). Anfang 2026 stieg auch SAP bei Avelios ein – parallel zur Einstellung des Moduls „</w:t>
      </w:r>
      <w:commentRangeStart w:id="2"/>
      <w:commentRangeStart w:id="3"/>
      <w:commentRangeStart w:id="4"/>
      <w:r w:rsidR="7C713F7C" w:rsidRPr="213D8F16">
        <w:rPr>
          <w:rFonts w:ascii="Arial" w:hAnsi="Arial" w:cs="Arial"/>
          <w:sz w:val="22"/>
          <w:szCs w:val="22"/>
        </w:rPr>
        <w:t>SAP für Healthcare</w:t>
      </w:r>
      <w:commentRangeEnd w:id="2"/>
      <w:r w:rsidR="005C6E0C">
        <w:rPr>
          <w:rStyle w:val="CommentReference"/>
        </w:rPr>
        <w:commentReference w:id="2"/>
      </w:r>
      <w:commentRangeEnd w:id="3"/>
      <w:r w:rsidR="005C6E0C">
        <w:rPr>
          <w:rStyle w:val="CommentReference"/>
        </w:rPr>
        <w:commentReference w:id="3"/>
      </w:r>
      <w:commentRangeEnd w:id="4"/>
      <w:r w:rsidR="005C6E0C">
        <w:rPr>
          <w:rStyle w:val="CommentReference"/>
        </w:rPr>
        <w:commentReference w:id="4"/>
      </w:r>
      <w:r w:rsidRPr="213D8F16">
        <w:rPr>
          <w:rFonts w:ascii="Arial" w:hAnsi="Arial" w:cs="Arial"/>
          <w:sz w:val="22"/>
          <w:szCs w:val="22"/>
        </w:rPr>
        <w:t>“</w:t>
      </w:r>
      <w:r w:rsidR="7C713F7C" w:rsidRPr="213D8F16">
        <w:rPr>
          <w:rFonts w:ascii="Arial" w:hAnsi="Arial" w:cs="Arial"/>
          <w:sz w:val="22"/>
          <w:szCs w:val="22"/>
        </w:rPr>
        <w:t xml:space="preserve">, die viele Kliniken zum Wechsel </w:t>
      </w:r>
      <w:r w:rsidRPr="213D8F16">
        <w:rPr>
          <w:rFonts w:ascii="Arial" w:hAnsi="Arial" w:cs="Arial"/>
          <w:sz w:val="22"/>
          <w:szCs w:val="22"/>
        </w:rPr>
        <w:t>ihres</w:t>
      </w:r>
      <w:r w:rsidR="7C713F7C" w:rsidRPr="213D8F16">
        <w:rPr>
          <w:rFonts w:ascii="Arial" w:hAnsi="Arial" w:cs="Arial"/>
          <w:sz w:val="22"/>
          <w:szCs w:val="22"/>
        </w:rPr>
        <w:t xml:space="preserve"> KIS</w:t>
      </w:r>
      <w:r w:rsidR="2855A243" w:rsidRPr="213D8F16">
        <w:rPr>
          <w:rFonts w:ascii="Arial" w:hAnsi="Arial" w:cs="Arial"/>
          <w:sz w:val="22"/>
          <w:szCs w:val="22"/>
        </w:rPr>
        <w:t xml:space="preserve"> i.s.h.med </w:t>
      </w:r>
      <w:r w:rsidR="7C713F7C" w:rsidRPr="213D8F16">
        <w:rPr>
          <w:rFonts w:ascii="Arial" w:hAnsi="Arial" w:cs="Arial"/>
          <w:sz w:val="22"/>
          <w:szCs w:val="22"/>
        </w:rPr>
        <w:t xml:space="preserve">zwingt. </w:t>
      </w:r>
      <w:r w:rsidR="0087FD4B" w:rsidRPr="213D8F16">
        <w:rPr>
          <w:rFonts w:ascii="Arial" w:hAnsi="Arial" w:cs="Arial"/>
          <w:sz w:val="22"/>
          <w:szCs w:val="22"/>
        </w:rPr>
        <w:t>Die im Mai 2026 bekannt gegebene Partnerschaft zwischen </w:t>
      </w:r>
      <w:commentRangeStart w:id="6"/>
      <w:commentRangeStart w:id="7"/>
      <w:commentRangeStart w:id="8"/>
      <w:r w:rsidR="0087FD4B" w:rsidRPr="213D8F16">
        <w:rPr>
          <w:rFonts w:ascii="Arial" w:hAnsi="Arial" w:cs="Arial"/>
          <w:sz w:val="22"/>
          <w:szCs w:val="22"/>
        </w:rPr>
        <w:t>Avel</w:t>
      </w:r>
      <w:commentRangeEnd w:id="6"/>
      <w:r w:rsidR="005C6E0C">
        <w:rPr>
          <w:rStyle w:val="CommentReference"/>
        </w:rPr>
        <w:commentReference w:id="6"/>
      </w:r>
      <w:commentRangeEnd w:id="7"/>
      <w:r w:rsidR="005C6E0C">
        <w:rPr>
          <w:rStyle w:val="CommentReference"/>
        </w:rPr>
        <w:commentReference w:id="7"/>
      </w:r>
      <w:commentRangeEnd w:id="8"/>
      <w:r w:rsidR="005C6E0C">
        <w:rPr>
          <w:rStyle w:val="CommentReference"/>
        </w:rPr>
        <w:commentReference w:id="8"/>
      </w:r>
      <w:r w:rsidR="0087FD4B" w:rsidRPr="213D8F16">
        <w:rPr>
          <w:rFonts w:ascii="Arial" w:hAnsi="Arial" w:cs="Arial"/>
          <w:sz w:val="22"/>
          <w:szCs w:val="22"/>
        </w:rPr>
        <w:t> und der Fresenius Group könnte einen Strukturwandel im KIS-Markt markieren.</w:t>
      </w:r>
      <w:r w:rsidR="4586186D" w:rsidRPr="213D8F16">
        <w:rPr>
          <w:rFonts w:ascii="Arial" w:hAnsi="Arial" w:cs="Arial"/>
          <w:sz w:val="22"/>
          <w:szCs w:val="22"/>
        </w:rPr>
        <w:t xml:space="preserve"> Auch andere KIS-Anbieter wie Mesalvo, Dedalus oder Deutsche Telekom Healthcare versuchen hier zu profitieren und Marktanteile zu gewinnen.</w:t>
      </w:r>
    </w:p>
    <w:p w14:paraId="4AA88347" w14:textId="77777777" w:rsidR="00892575" w:rsidRPr="00892575" w:rsidRDefault="00892575" w:rsidP="00892575">
      <w:pPr>
        <w:spacing w:line="276" w:lineRule="auto"/>
        <w:rPr>
          <w:rFonts w:ascii="Arial" w:hAnsi="Arial" w:cs="Arial"/>
          <w:iCs/>
          <w:sz w:val="22"/>
          <w:szCs w:val="22"/>
        </w:rPr>
      </w:pPr>
    </w:p>
    <w:p w14:paraId="3F6502B5" w14:textId="02D40042" w:rsidR="00892575" w:rsidDel="00A30C9E" w:rsidRDefault="61992761" w:rsidP="213D8F16">
      <w:pPr>
        <w:spacing w:line="276" w:lineRule="auto"/>
        <w:rPr>
          <w:rFonts w:ascii="Arial" w:hAnsi="Arial" w:cs="Arial"/>
          <w:sz w:val="22"/>
          <w:szCs w:val="22"/>
        </w:rPr>
      </w:pPr>
      <w:r w:rsidRPr="213D8F16">
        <w:rPr>
          <w:rFonts w:ascii="Arial" w:hAnsi="Arial" w:cs="Arial"/>
          <w:sz w:val="22"/>
          <w:szCs w:val="22"/>
        </w:rPr>
        <w:t xml:space="preserve">Michael Ey, </w:t>
      </w:r>
      <w:r w:rsidR="1364DDCD" w:rsidRPr="213D8F16">
        <w:rPr>
          <w:rFonts w:ascii="Arial" w:hAnsi="Arial" w:cs="Arial"/>
          <w:sz w:val="22"/>
          <w:szCs w:val="22"/>
        </w:rPr>
        <w:t xml:space="preserve">Global </w:t>
      </w:r>
      <w:r w:rsidR="7D24E2B5" w:rsidRPr="213D8F16">
        <w:rPr>
          <w:rFonts w:ascii="Arial" w:hAnsi="Arial" w:cs="Arial"/>
          <w:sz w:val="22"/>
          <w:szCs w:val="22"/>
        </w:rPr>
        <w:t>He</w:t>
      </w:r>
      <w:r w:rsidR="45CF479B" w:rsidRPr="213D8F16">
        <w:rPr>
          <w:rFonts w:ascii="Arial" w:hAnsi="Arial" w:cs="Arial"/>
          <w:sz w:val="22"/>
          <w:szCs w:val="22"/>
        </w:rPr>
        <w:t>alth Services Leader</w:t>
      </w:r>
      <w:r w:rsidR="15E3EC83" w:rsidRPr="213D8F16">
        <w:rPr>
          <w:rFonts w:ascii="Arial" w:hAnsi="Arial" w:cs="Arial"/>
          <w:sz w:val="22"/>
          <w:szCs w:val="22"/>
        </w:rPr>
        <w:t xml:space="preserve"> </w:t>
      </w:r>
      <w:r w:rsidR="24F43768" w:rsidRPr="213D8F16">
        <w:rPr>
          <w:rFonts w:ascii="Arial" w:hAnsi="Arial" w:cs="Arial"/>
          <w:sz w:val="22"/>
          <w:szCs w:val="22"/>
        </w:rPr>
        <w:t xml:space="preserve">und Partner </w:t>
      </w:r>
      <w:r w:rsidR="15E3EC83" w:rsidRPr="213D8F16">
        <w:rPr>
          <w:rFonts w:ascii="Arial" w:hAnsi="Arial" w:cs="Arial"/>
          <w:sz w:val="22"/>
          <w:szCs w:val="22"/>
        </w:rPr>
        <w:t>bei PwC</w:t>
      </w:r>
      <w:r w:rsidR="0E5D56B0" w:rsidRPr="213D8F16">
        <w:rPr>
          <w:rFonts w:ascii="Arial" w:hAnsi="Arial" w:cs="Arial"/>
          <w:sz w:val="22"/>
          <w:szCs w:val="22"/>
        </w:rPr>
        <w:t xml:space="preserve"> Deutschland</w:t>
      </w:r>
      <w:r w:rsidRPr="213D8F16">
        <w:rPr>
          <w:rFonts w:ascii="Arial" w:hAnsi="Arial" w:cs="Arial"/>
          <w:sz w:val="22"/>
          <w:szCs w:val="22"/>
        </w:rPr>
        <w:t xml:space="preserve">, sagt: </w:t>
      </w:r>
      <w:r w:rsidR="7C713F7C" w:rsidRPr="213D8F16">
        <w:rPr>
          <w:rFonts w:ascii="Arial" w:hAnsi="Arial" w:cs="Arial"/>
          <w:sz w:val="22"/>
          <w:szCs w:val="22"/>
        </w:rPr>
        <w:t>„</w:t>
      </w:r>
      <w:r w:rsidR="32F33B19" w:rsidRPr="213D8F16">
        <w:rPr>
          <w:rFonts w:ascii="Arial" w:eastAsia="Arial" w:hAnsi="Arial" w:cs="Arial"/>
          <w:sz w:val="22"/>
          <w:szCs w:val="22"/>
        </w:rPr>
        <w:t>Krankenhäuser müssen jetzt handeln. Der Rückzug von SAP aus dem Healthcare-Modul, die Krankenhausreform und die aktuellen Transaktionen im Markt schaffen ein Zeitfenster, das Kliniken aktiv nutzen sollten, um ihre digitale Infrastruktur neu aufzustellen. Agentic AI und KI-basierte Plattformen eröffnen dabei die Chance, Prozesse grundlegend effizienter zu gestalten und die Transformation im stationären Sektor deutlich zu beschleunigen.”</w:t>
      </w:r>
    </w:p>
    <w:p w14:paraId="3BC6FE27" w14:textId="77777777" w:rsidR="00892575" w:rsidRDefault="00892575" w:rsidP="00E5607B">
      <w:pPr>
        <w:spacing w:line="276" w:lineRule="auto"/>
        <w:rPr>
          <w:rFonts w:ascii="Georgia" w:hAnsi="Georgia" w:cs="Georgia"/>
          <w:iCs/>
          <w:sz w:val="22"/>
          <w:szCs w:val="22"/>
        </w:rPr>
      </w:pPr>
    </w:p>
    <w:p w14:paraId="287389DE" w14:textId="5377D9E9" w:rsidR="007D4174" w:rsidRPr="00157FCC" w:rsidRDefault="007D4174" w:rsidP="00E5607B">
      <w:pPr>
        <w:spacing w:line="276" w:lineRule="auto"/>
        <w:rPr>
          <w:rFonts w:ascii="Georgia" w:hAnsi="Georgia"/>
          <w:b/>
          <w:sz w:val="22"/>
        </w:rPr>
      </w:pPr>
      <w:r w:rsidRPr="00157FCC">
        <w:rPr>
          <w:rFonts w:ascii="Georgia" w:hAnsi="Georgia"/>
          <w:b/>
          <w:sz w:val="22"/>
        </w:rPr>
        <w:t xml:space="preserve">Pressekontakt: </w:t>
      </w:r>
    </w:p>
    <w:p w14:paraId="10B1CE01" w14:textId="76AFEDEA" w:rsidR="007D4174" w:rsidRDefault="00953AD1" w:rsidP="00D355D7">
      <w:pPr>
        <w:spacing w:line="276" w:lineRule="auto"/>
        <w:rPr>
          <w:rFonts w:ascii="Georgia" w:hAnsi="Georgia"/>
          <w:sz w:val="22"/>
        </w:rPr>
      </w:pPr>
      <w:r>
        <w:rPr>
          <w:rFonts w:ascii="Georgia" w:hAnsi="Georgia"/>
          <w:sz w:val="22"/>
        </w:rPr>
        <w:t>Bettina Graf</w:t>
      </w:r>
    </w:p>
    <w:p w14:paraId="00316DB7" w14:textId="23396440" w:rsidR="00953AD1" w:rsidRDefault="00953AD1" w:rsidP="00D355D7">
      <w:pPr>
        <w:spacing w:line="276" w:lineRule="auto"/>
        <w:rPr>
          <w:rFonts w:ascii="Georgia" w:hAnsi="Georgia"/>
          <w:sz w:val="22"/>
        </w:rPr>
      </w:pPr>
      <w:r>
        <w:rPr>
          <w:rFonts w:ascii="Georgia" w:hAnsi="Georgia"/>
          <w:sz w:val="22"/>
        </w:rPr>
        <w:t>PwC Communications</w:t>
      </w:r>
    </w:p>
    <w:p w14:paraId="673A738C" w14:textId="5F8505D7" w:rsidR="00953AD1" w:rsidRDefault="00953AD1" w:rsidP="00D355D7">
      <w:pPr>
        <w:spacing w:line="276" w:lineRule="auto"/>
        <w:rPr>
          <w:rFonts w:ascii="Georgia" w:hAnsi="Georgia"/>
          <w:sz w:val="22"/>
        </w:rPr>
      </w:pPr>
      <w:r w:rsidRPr="00953AD1">
        <w:rPr>
          <w:rFonts w:ascii="Georgia" w:hAnsi="Georgia"/>
          <w:sz w:val="22"/>
        </w:rPr>
        <w:t>Tel.: +49 69 9585-5678</w:t>
      </w:r>
    </w:p>
    <w:p w14:paraId="5AB48ABB" w14:textId="41469749" w:rsidR="00953AD1" w:rsidRDefault="00953AD1" w:rsidP="00D355D7">
      <w:pPr>
        <w:spacing w:line="276" w:lineRule="auto"/>
        <w:rPr>
          <w:rFonts w:ascii="Georgia" w:hAnsi="Georgia"/>
          <w:sz w:val="22"/>
        </w:rPr>
      </w:pPr>
      <w:hyperlink r:id="rId16" w:history="1">
        <w:r>
          <w:rPr>
            <w:rStyle w:val="Hyperlink"/>
            <w:rFonts w:ascii="Georgia" w:hAnsi="Georgia"/>
            <w:sz w:val="22"/>
          </w:rPr>
          <w:t>b</w:t>
        </w:r>
        <w:r w:rsidRPr="00920BCA">
          <w:rPr>
            <w:rStyle w:val="Hyperlink"/>
            <w:rFonts w:ascii="Georgia" w:hAnsi="Georgia"/>
            <w:sz w:val="22"/>
          </w:rPr>
          <w:t>ettina.graf@pwc.com</w:t>
        </w:r>
      </w:hyperlink>
      <w:r>
        <w:rPr>
          <w:rFonts w:ascii="Georgia" w:hAnsi="Georgia"/>
          <w:sz w:val="22"/>
        </w:rPr>
        <w:t xml:space="preserve"> </w:t>
      </w:r>
    </w:p>
    <w:p w14:paraId="181116C4" w14:textId="77777777" w:rsidR="00953AD1" w:rsidRPr="00157FCC" w:rsidRDefault="00953AD1" w:rsidP="00D355D7">
      <w:pPr>
        <w:spacing w:line="276" w:lineRule="auto"/>
        <w:rPr>
          <w:rFonts w:ascii="Georgia" w:hAnsi="Georgia"/>
          <w:sz w:val="22"/>
        </w:rPr>
      </w:pPr>
    </w:p>
    <w:p w14:paraId="6A43D55E" w14:textId="77777777" w:rsidR="007D4174" w:rsidRPr="00157FCC" w:rsidRDefault="007D4174" w:rsidP="00D355D7">
      <w:pPr>
        <w:spacing w:line="276" w:lineRule="auto"/>
        <w:rPr>
          <w:rFonts w:ascii="Georgia" w:hAnsi="Georgia"/>
          <w:b/>
          <w:sz w:val="22"/>
        </w:rPr>
      </w:pPr>
      <w:r w:rsidRPr="00157FCC">
        <w:rPr>
          <w:rFonts w:ascii="Georgia" w:hAnsi="Georgia"/>
          <w:b/>
          <w:sz w:val="22"/>
        </w:rPr>
        <w:t>Über PwC:</w:t>
      </w:r>
    </w:p>
    <w:p w14:paraId="23BB3DBF" w14:textId="77777777" w:rsidR="00D355D7" w:rsidRPr="00D355D7" w:rsidRDefault="67BF4616" w:rsidP="213D8F16">
      <w:pPr>
        <w:spacing w:line="276" w:lineRule="auto"/>
        <w:rPr>
          <w:rFonts w:ascii="Georgia" w:hAnsi="Georgia" w:cs="Georgia"/>
          <w:color w:val="000000"/>
          <w:sz w:val="22"/>
          <w:szCs w:val="22"/>
        </w:rPr>
      </w:pPr>
      <w:r w:rsidRPr="213D8F16">
        <w:rPr>
          <w:rFonts w:ascii="Georgia" w:hAnsi="Georgia" w:cs="Georgia"/>
          <w:color w:val="000000" w:themeColor="text1"/>
          <w:sz w:val="22"/>
          <w:szCs w:val="22"/>
        </w:rPr>
        <w:t xml:space="preserve">PwC betrachtet es als seine Aufgabe, gesellschaftliches Vertrauen aufzubauen und wichtige Probleme zu lösen. Mehr als 370.000 Mitarbeitende in 149 Ländern </w:t>
      </w:r>
      <w:bookmarkStart w:id="10" w:name="_Int_fAtSUqrz"/>
      <w:proofErr w:type="gramStart"/>
      <w:r w:rsidRPr="213D8F16">
        <w:rPr>
          <w:rFonts w:ascii="Georgia" w:hAnsi="Georgia" w:cs="Georgia"/>
          <w:color w:val="000000" w:themeColor="text1"/>
          <w:sz w:val="22"/>
          <w:szCs w:val="22"/>
        </w:rPr>
        <w:t>tragen</w:t>
      </w:r>
      <w:bookmarkEnd w:id="10"/>
      <w:proofErr w:type="gramEnd"/>
      <w:r w:rsidRPr="213D8F16">
        <w:rPr>
          <w:rFonts w:ascii="Georgia" w:hAnsi="Georgia" w:cs="Georgia"/>
          <w:color w:val="000000" w:themeColor="text1"/>
          <w:sz w:val="22"/>
          <w:szCs w:val="22"/>
        </w:rPr>
        <w:t xml:space="preserve"> hierzu mit </w:t>
      </w:r>
      <w:r w:rsidRPr="213D8F16">
        <w:rPr>
          <w:rFonts w:ascii="Georgia" w:hAnsi="Georgia" w:cs="Georgia"/>
          <w:color w:val="000000" w:themeColor="text1"/>
          <w:sz w:val="22"/>
          <w:szCs w:val="22"/>
        </w:rPr>
        <w:lastRenderedPageBreak/>
        <w:t>hochwertigen, branchenspezifischen Dienstleistungen in den Bereichen Wirtschaftsprüfung, Steuer- und Unternehmensberatung bei.</w:t>
      </w:r>
    </w:p>
    <w:p w14:paraId="613C9928" w14:textId="77777777" w:rsidR="00D355D7" w:rsidRPr="00D355D7" w:rsidRDefault="00D355D7" w:rsidP="00D355D7">
      <w:pPr>
        <w:spacing w:line="276" w:lineRule="auto"/>
        <w:rPr>
          <w:rFonts w:ascii="Georgia" w:hAnsi="Georgia" w:cs="Georgia"/>
          <w:iCs/>
          <w:color w:val="000000"/>
          <w:sz w:val="22"/>
          <w:szCs w:val="22"/>
        </w:rPr>
      </w:pPr>
    </w:p>
    <w:p w14:paraId="6CCC8C63" w14:textId="77777777" w:rsidR="00D355D7" w:rsidRPr="00D355D7" w:rsidRDefault="00D355D7" w:rsidP="00D355D7">
      <w:pPr>
        <w:spacing w:line="276" w:lineRule="auto"/>
        <w:rPr>
          <w:rFonts w:ascii="Georgia" w:hAnsi="Georgia" w:cs="Georgia"/>
          <w:iCs/>
          <w:color w:val="000000"/>
          <w:sz w:val="22"/>
          <w:szCs w:val="22"/>
        </w:rPr>
      </w:pPr>
      <w:r w:rsidRPr="00D355D7">
        <w:rPr>
          <w:rFonts w:ascii="Georgia" w:hAnsi="Georgia" w:cs="Georgia"/>
          <w:iCs/>
          <w:color w:val="000000"/>
          <w:sz w:val="22"/>
          <w:szCs w:val="22"/>
        </w:rPr>
        <w:t>PwC Deutschland bezeichnet in diesem Dokument die PricewaterhouseCoopers GmbH Wirtschaftsprüfungsgesellschaft, die eine Mitgliedsgesellschaft der PricewaterhouseCoopers International Limited (PwCIL) ist. Jede der Mitgliedsgesellschaften der PwCIL ist eine rechtlich selbstständige Gesellschaft.</w:t>
      </w:r>
    </w:p>
    <w:p w14:paraId="34B7E238" w14:textId="31BB8068" w:rsidR="005D5B7A" w:rsidRDefault="00EA5B17" w:rsidP="00D355D7">
      <w:pPr>
        <w:spacing w:line="276" w:lineRule="auto"/>
      </w:pPr>
      <w:r>
        <w:rPr>
          <w:rFonts w:ascii="Georgia" w:hAnsi="Georgia" w:cs="Georgia"/>
          <w:iCs/>
          <w:color w:val="000000"/>
          <w:sz w:val="22"/>
          <w:szCs w:val="22"/>
        </w:rPr>
        <w:br/>
      </w:r>
      <w:r w:rsidR="00D355D7" w:rsidRPr="00D355D7">
        <w:rPr>
          <w:rFonts w:ascii="Georgia" w:hAnsi="Georgia" w:cs="Georgia"/>
          <w:iCs/>
          <w:color w:val="000000"/>
          <w:sz w:val="22"/>
          <w:szCs w:val="22"/>
        </w:rPr>
        <w:t xml:space="preserve">Die Bezeichnung PwC bezieht sich auf das PwC-Netzwerk und/oder eine oder mehrere der rechtlich selbstständigen Netzwerkgesellschaften. Weitere Details unter </w:t>
      </w:r>
      <w:hyperlink r:id="rId17" w:history="1">
        <w:r w:rsidR="00D355D7" w:rsidRPr="00920BCA">
          <w:rPr>
            <w:rStyle w:val="Hyperlink"/>
            <w:rFonts w:ascii="Georgia" w:hAnsi="Georgia" w:cs="Georgia"/>
            <w:iCs/>
            <w:sz w:val="22"/>
            <w:szCs w:val="22"/>
          </w:rPr>
          <w:t>www.pwc.com/structure</w:t>
        </w:r>
      </w:hyperlink>
      <w:r w:rsidR="00D355D7" w:rsidRPr="00D355D7">
        <w:rPr>
          <w:rFonts w:ascii="Georgia" w:hAnsi="Georgia" w:cs="Georgia"/>
          <w:iCs/>
          <w:color w:val="000000"/>
          <w:sz w:val="22"/>
          <w:szCs w:val="22"/>
        </w:rPr>
        <w:t>.</w:t>
      </w:r>
      <w:r w:rsidR="00D355D7">
        <w:rPr>
          <w:rFonts w:ascii="Georgia" w:hAnsi="Georgia" w:cs="Georgia"/>
          <w:iCs/>
          <w:color w:val="000000"/>
          <w:sz w:val="22"/>
          <w:szCs w:val="22"/>
        </w:rPr>
        <w:t xml:space="preserve"> </w:t>
      </w:r>
    </w:p>
    <w:sectPr w:rsidR="005D5B7A">
      <w:headerReference w:type="even" r:id="rId18"/>
      <w:headerReference w:type="default" r:id="rId19"/>
      <w:footerReference w:type="even" r:id="rId20"/>
      <w:footerReference w:type="default" r:id="rId21"/>
      <w:headerReference w:type="first" r:id="rId22"/>
      <w:footerReference w:type="first" r:id="rId23"/>
      <w:pgSz w:w="11906" w:h="16838" w:code="9"/>
      <w:pgMar w:top="2268" w:right="1418" w:bottom="425" w:left="1418" w:header="56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Michael Ey (DE)" w:date="2026-05-27T13:40:00Z" w:initials="ME">
    <w:p w14:paraId="49B09CBB" w14:textId="77777777" w:rsidR="00023566" w:rsidRDefault="00023566" w:rsidP="00023566">
      <w:r>
        <w:rPr>
          <w:rStyle w:val="CommentReference"/>
        </w:rPr>
        <w:annotationRef/>
      </w:r>
      <w:r>
        <w:rPr>
          <w:sz w:val="20"/>
        </w:rPr>
        <w:t>Sollten wir hier nicht das IS-H med nennen als KIS?</w:t>
      </w:r>
    </w:p>
  </w:comment>
  <w:comment w:id="3" w:author="Bettina Graf (DE)" w:date="2026-05-27T13:47:00Z" w:initials="B(">
    <w:p w14:paraId="2B60A048" w14:textId="286EB687" w:rsidR="00F61D19" w:rsidRDefault="00F61D19">
      <w:pPr>
        <w:pStyle w:val="CommentText"/>
      </w:pPr>
      <w:r>
        <w:rPr>
          <w:rStyle w:val="CommentReference"/>
        </w:rPr>
        <w:annotationRef/>
      </w:r>
      <w:r>
        <w:fldChar w:fldCharType="begin"/>
      </w:r>
      <w:r>
        <w:instrText xml:space="preserve"> HYPERLINK "mailto:alexander.von.friesen@pwc.com"</w:instrText>
      </w:r>
      <w:bookmarkStart w:id="5" w:name="_@_D0D7F03B02DF4885A5C657E957891A94Z"/>
      <w:r>
        <w:fldChar w:fldCharType="separate"/>
      </w:r>
      <w:bookmarkEnd w:id="5"/>
      <w:r w:rsidRPr="16837760">
        <w:rPr>
          <w:noProof/>
        </w:rPr>
        <w:t>@Alexander von Friesen (DE)</w:t>
      </w:r>
      <w:r>
        <w:fldChar w:fldCharType="end"/>
      </w:r>
    </w:p>
  </w:comment>
  <w:comment w:id="4" w:author="Max Franke (DE)" w:date="2026-05-27T15:15:00Z" w:initials="M(">
    <w:p w14:paraId="35E139EA" w14:textId="337EF70E" w:rsidR="00000000" w:rsidRDefault="00000000">
      <w:pPr>
        <w:pStyle w:val="CommentText"/>
      </w:pPr>
      <w:r>
        <w:rPr>
          <w:rStyle w:val="CommentReference"/>
        </w:rPr>
        <w:annotationRef/>
      </w:r>
      <w:r w:rsidRPr="04C65EC7">
        <w:t>"</w:t>
      </w:r>
      <w:r w:rsidRPr="6F9999EF">
        <w:rPr>
          <w:i/>
          <w:iCs/>
        </w:rPr>
        <w:t>i.s.h.med</w:t>
      </w:r>
      <w:r w:rsidRPr="29F3687D">
        <w:t>" --&gt; Noch zusätztlich eingefügt</w:t>
      </w:r>
    </w:p>
  </w:comment>
  <w:comment w:id="6" w:author="Michael Ey (DE)" w:date="2026-05-27T13:37:00Z" w:initials="ME">
    <w:p w14:paraId="09E72025" w14:textId="7F0BD92A" w:rsidR="0055311B" w:rsidRDefault="0055311B" w:rsidP="0055311B">
      <w:r>
        <w:rPr>
          <w:rStyle w:val="CommentReference"/>
        </w:rPr>
        <w:annotationRef/>
      </w:r>
      <w:r>
        <w:rPr>
          <w:sz w:val="20"/>
        </w:rPr>
        <w:t>Wollen wir avelios so betonen, die ja eng mit WMC sind? Hilft eher denen als uns…!</w:t>
      </w:r>
    </w:p>
  </w:comment>
  <w:comment w:id="7" w:author="Bettina Graf (DE)" w:date="2026-05-27T13:48:00Z" w:initials="B(">
    <w:p w14:paraId="399B906F" w14:textId="2EF16FC4" w:rsidR="00F61D19" w:rsidRDefault="00F61D19">
      <w:pPr>
        <w:pStyle w:val="CommentText"/>
      </w:pPr>
      <w:r>
        <w:rPr>
          <w:rStyle w:val="CommentReference"/>
        </w:rPr>
        <w:annotationRef/>
      </w:r>
      <w:r>
        <w:fldChar w:fldCharType="begin"/>
      </w:r>
      <w:r>
        <w:instrText xml:space="preserve"> HYPERLINK "mailto:alexander.von.friesen@pwc.com"</w:instrText>
      </w:r>
      <w:bookmarkStart w:id="9" w:name="_@_0EC1F425833D4697A2A05287C3B70D6AZ"/>
      <w:r>
        <w:fldChar w:fldCharType="separate"/>
      </w:r>
      <w:bookmarkEnd w:id="9"/>
      <w:r w:rsidRPr="314E11A1">
        <w:rPr>
          <w:noProof/>
        </w:rPr>
        <w:t>@Alexander von Friesen (DE)</w:t>
      </w:r>
      <w:r>
        <w:fldChar w:fldCharType="end"/>
      </w:r>
    </w:p>
  </w:comment>
  <w:comment w:id="8" w:author="Max Franke (DE)" w:date="2026-05-27T15:17:00Z" w:initials="M(">
    <w:p w14:paraId="5440DE4D" w14:textId="0835A3B9" w:rsidR="00000000" w:rsidRDefault="00000000">
      <w:pPr>
        <w:pStyle w:val="CommentText"/>
      </w:pPr>
      <w:r>
        <w:rPr>
          <w:rStyle w:val="CommentReference"/>
        </w:rPr>
        <w:annotationRef/>
      </w:r>
      <w:r w:rsidRPr="3D5D33DF">
        <w:t>Wir haben noch einen weiteren Satz zur "</w:t>
      </w:r>
      <w:r w:rsidRPr="5488B2FB">
        <w:rPr>
          <w:i/>
          <w:iCs/>
        </w:rPr>
        <w:t>Abschwächung / Verallgemeinerung</w:t>
      </w:r>
      <w:r w:rsidRPr="7D24CD9B">
        <w:t>" eingefügt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B09CBB" w15:done="1"/>
  <w15:commentEx w15:paraId="2B60A048" w15:paraIdParent="49B09CBB" w15:done="1"/>
  <w15:commentEx w15:paraId="35E139EA" w15:paraIdParent="49B09CBB" w15:done="1"/>
  <w15:commentEx w15:paraId="09E72025" w15:done="1"/>
  <w15:commentEx w15:paraId="399B906F" w15:paraIdParent="09E72025" w15:done="1"/>
  <w15:commentEx w15:paraId="5440DE4D" w15:paraIdParent="09E7202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A9E49BE" w16cex:dateUtc="2026-05-27T11:40:00Z"/>
  <w16cex:commentExtensible w16cex:durableId="6323F930" w16cex:dateUtc="2026-05-27T11:47:00Z"/>
  <w16cex:commentExtensible w16cex:durableId="1752A255" w16cex:dateUtc="2026-05-27T13:15:00Z"/>
  <w16cex:commentExtensible w16cex:durableId="579F31B7" w16cex:dateUtc="2026-05-27T11:37:00Z"/>
  <w16cex:commentExtensible w16cex:durableId="030714A5" w16cex:dateUtc="2026-05-27T11:48:00Z"/>
  <w16cex:commentExtensible w16cex:durableId="17405F38" w16cex:dateUtc="2026-05-27T13: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B09CBB" w16cid:durableId="4A9E49BE"/>
  <w16cid:commentId w16cid:paraId="2B60A048" w16cid:durableId="6323F930"/>
  <w16cid:commentId w16cid:paraId="35E139EA" w16cid:durableId="1752A255"/>
  <w16cid:commentId w16cid:paraId="09E72025" w16cid:durableId="579F31B7"/>
  <w16cid:commentId w16cid:paraId="399B906F" w16cid:durableId="030714A5"/>
  <w16cid:commentId w16cid:paraId="5440DE4D" w16cid:durableId="17405F3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9BFC1" w14:textId="77777777" w:rsidR="007B07DF" w:rsidRDefault="007B07DF">
      <w:r>
        <w:separator/>
      </w:r>
    </w:p>
  </w:endnote>
  <w:endnote w:type="continuationSeparator" w:id="0">
    <w:p w14:paraId="6F36B17B" w14:textId="77777777" w:rsidR="007B07DF" w:rsidRDefault="007B0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66AB3" w14:textId="77777777" w:rsidR="005D5B7A" w:rsidRDefault="00EA4E31">
    <w:pPr>
      <w:pStyle w:val="Footer"/>
      <w:framePr w:wrap="around" w:vAnchor="text" w:hAnchor="margin" w:xAlign="right" w:y="1"/>
      <w:rPr>
        <w:rStyle w:val="PageNumber"/>
        <w:rFonts w:ascii="Times New Roman" w:hAnsi="Times New Roman"/>
        <w:sz w:val="24"/>
        <w:lang w:val="de-DE"/>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12383DEE" w14:textId="77777777" w:rsidR="005D5B7A" w:rsidRDefault="005D5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8131217"/>
      <w:docPartObj>
        <w:docPartGallery w:val="Page Numbers (Bottom of Page)"/>
        <w:docPartUnique/>
      </w:docPartObj>
    </w:sdtPr>
    <w:sdtEndPr>
      <w:rPr>
        <w:rFonts w:ascii="Georgia" w:hAnsi="Georgia"/>
        <w:sz w:val="20"/>
        <w:szCs w:val="20"/>
      </w:rPr>
    </w:sdtEndPr>
    <w:sdtContent>
      <w:p w14:paraId="2B4CB96F" w14:textId="77777777" w:rsidR="0014303A" w:rsidRDefault="0014303A">
        <w:pPr>
          <w:pStyle w:val="Footer"/>
          <w:jc w:val="right"/>
          <w:rPr>
            <w:rFonts w:ascii="Georgia" w:hAnsi="Georgia"/>
            <w:sz w:val="20"/>
            <w:szCs w:val="20"/>
          </w:rPr>
        </w:pPr>
      </w:p>
      <w:p w14:paraId="2A13323C" w14:textId="08DD427F" w:rsidR="0014303A" w:rsidRPr="0014303A" w:rsidRDefault="0014303A">
        <w:pPr>
          <w:pStyle w:val="Footer"/>
          <w:jc w:val="right"/>
          <w:rPr>
            <w:rFonts w:ascii="Georgia" w:hAnsi="Georgia"/>
            <w:sz w:val="20"/>
            <w:szCs w:val="20"/>
          </w:rPr>
        </w:pPr>
        <w:r w:rsidRPr="0014303A">
          <w:rPr>
            <w:rFonts w:ascii="Georgia" w:hAnsi="Georgia"/>
            <w:sz w:val="20"/>
            <w:szCs w:val="20"/>
          </w:rPr>
          <w:fldChar w:fldCharType="begin"/>
        </w:r>
        <w:r w:rsidRPr="0014303A">
          <w:rPr>
            <w:rFonts w:ascii="Georgia" w:hAnsi="Georgia"/>
            <w:sz w:val="20"/>
            <w:szCs w:val="20"/>
          </w:rPr>
          <w:instrText>PAGE   \* MERGEFORMAT</w:instrText>
        </w:r>
        <w:r w:rsidRPr="0014303A">
          <w:rPr>
            <w:rFonts w:ascii="Georgia" w:hAnsi="Georgia"/>
            <w:sz w:val="20"/>
            <w:szCs w:val="20"/>
          </w:rPr>
          <w:fldChar w:fldCharType="separate"/>
        </w:r>
        <w:r w:rsidRPr="0014303A">
          <w:rPr>
            <w:rFonts w:ascii="Georgia" w:hAnsi="Georgia"/>
            <w:sz w:val="20"/>
            <w:szCs w:val="20"/>
            <w:lang w:val="de-DE"/>
          </w:rPr>
          <w:t>2</w:t>
        </w:r>
        <w:r w:rsidRPr="0014303A">
          <w:rPr>
            <w:rFonts w:ascii="Georgia" w:hAnsi="Georgia"/>
            <w:sz w:val="20"/>
            <w:szCs w:val="20"/>
          </w:rPr>
          <w:fldChar w:fldCharType="end"/>
        </w:r>
      </w:p>
    </w:sdtContent>
  </w:sdt>
  <w:p w14:paraId="6A16FD1B" w14:textId="77777777" w:rsidR="005D5B7A" w:rsidRDefault="005D5B7A">
    <w:pPr>
      <w:autoSpaceDE w:val="0"/>
      <w:autoSpaceDN w:val="0"/>
      <w:adjustRightInd w:val="0"/>
      <w:spacing w:line="240" w:lineRule="atLeast"/>
      <w:ind w:right="360"/>
      <w:jc w:val="center"/>
      <w:rPr>
        <w:rStyle w:val="PageNumber"/>
        <w:rFonts w:ascii="Arial" w:hAnsi="Arial"/>
        <w:sz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197F9" w14:textId="77777777" w:rsidR="0014303A" w:rsidRDefault="001430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59AF9" w14:textId="77777777" w:rsidR="007B07DF" w:rsidRDefault="007B07DF">
      <w:r>
        <w:separator/>
      </w:r>
    </w:p>
  </w:footnote>
  <w:footnote w:type="continuationSeparator" w:id="0">
    <w:p w14:paraId="2181273B" w14:textId="77777777" w:rsidR="007B07DF" w:rsidRDefault="007B07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19B05" w14:textId="77777777" w:rsidR="0014303A" w:rsidRDefault="001430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F1527" w14:textId="199BB4B8" w:rsidR="005D5B7A" w:rsidRDefault="000707AA" w:rsidP="000707AA">
    <w:pPr>
      <w:pStyle w:val="Header"/>
    </w:pPr>
    <w:r>
      <w:rPr>
        <w:noProof/>
      </w:rPr>
      <w:drawing>
        <wp:inline distT="0" distB="0" distL="0" distR="0" wp14:anchorId="0570C107" wp14:editId="3256053D">
          <wp:extent cx="1482920" cy="955343"/>
          <wp:effectExtent l="0" t="0" r="0" b="0"/>
          <wp:docPr id="4088985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89856" name="Grafik 40889856"/>
                  <pic:cNvPicPr/>
                </pic:nvPicPr>
                <pic:blipFill>
                  <a:blip r:embed="rId1">
                    <a:extLst>
                      <a:ext uri="{28A0092B-C50C-407E-A947-70E740481C1C}">
                        <a14:useLocalDpi xmlns:a14="http://schemas.microsoft.com/office/drawing/2010/main" val="0"/>
                      </a:ext>
                    </a:extLst>
                  </a:blip>
                  <a:stretch>
                    <a:fillRect/>
                  </a:stretch>
                </pic:blipFill>
                <pic:spPr>
                  <a:xfrm>
                    <a:off x="0" y="0"/>
                    <a:ext cx="1500208" cy="96648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8FD30" w14:textId="77777777" w:rsidR="0014303A" w:rsidRDefault="0014303A">
    <w:pPr>
      <w:pStyle w:val="Header"/>
    </w:pPr>
  </w:p>
</w:hdr>
</file>

<file path=word/intelligence2.xml><?xml version="1.0" encoding="utf-8"?>
<int2:intelligence xmlns:int2="http://schemas.microsoft.com/office/intelligence/2020/intelligence" xmlns:oel="http://schemas.microsoft.com/office/2019/extlst">
  <int2:observations>
    <int2:textHash int2:hashCode="seZJQNx8Z9XcAO" int2:id="JmmG2gH9">
      <int2:state int2:value="Rejected" int2:type="spell"/>
    </int2:textHash>
    <int2:textHash int2:hashCode="k8g8WeC3ez1EAd" int2:id="zIuosg5K">
      <int2:state int2:value="Rejected" int2:type="spell"/>
    </int2:textHash>
    <int2:textHash int2:hashCode="szMj60arMJWiKe" int2:id="Sjrca1IQ">
      <int2:state int2:value="Rejected" int2:type="spell"/>
    </int2:textHash>
    <int2:textHash int2:hashCode="xQ6jQLp4LlaHH+" int2:id="581O81i1">
      <int2:state int2:value="Rejected" int2:type="spell"/>
    </int2:textHash>
    <int2:textHash int2:hashCode="A/sA1/oG+3CMzx" int2:id="T3wpDPZV">
      <int2:state int2:value="Rejected" int2:type="spell"/>
    </int2:textHash>
    <int2:textHash int2:hashCode="25Pqv79mGHYtIP" int2:id="YBxeGtdC">
      <int2:state int2:value="Rejected" int2:type="spell"/>
    </int2:textHash>
    <int2:textHash int2:hashCode="A3cduoFPwjh/89" int2:id="BTQ6q1qL">
      <int2:state int2:value="Rejected" int2:type="spell"/>
    </int2:textHash>
    <int2:textHash int2:hashCode="IYkQ6Icuw6yawe" int2:id="rDErPWfv">
      <int2:state int2:value="Rejected" int2:type="spell"/>
    </int2:textHash>
    <int2:textHash int2:hashCode="A71cxZs64K4dEF" int2:id="7QFZi5us">
      <int2:state int2:value="Rejected" int2:type="spell"/>
    </int2:textHash>
    <int2:textHash int2:hashCode="QjCIR1IJAF7GII" int2:id="QxnHLcPn">
      <int2:state int2:value="Rejected" int2:type="spell"/>
    </int2:textHash>
    <int2:textHash int2:hashCode="Ho9RTUyioxc7Et" int2:id="1hlJueo4">
      <int2:state int2:value="Rejected" int2:type="spell"/>
    </int2:textHash>
    <int2:textHash int2:hashCode="1IRMKD6uvCF6BU" int2:id="2jKZMBRh">
      <int2:state int2:value="Rejected" int2:type="spell"/>
    </int2:textHash>
    <int2:textHash int2:hashCode="dFDMAecb8BcfPl" int2:id="8xjko42P">
      <int2:state int2:value="Rejected" int2:type="spell"/>
    </int2:textHash>
    <int2:textHash int2:hashCode="RLO85kfgECecid" int2:id="H6G0wgUg">
      <int2:state int2:value="Rejected" int2:type="spell"/>
    </int2:textHash>
    <int2:textHash int2:hashCode="pPrJZ9sBcqiA4I" int2:id="J8kroXVW">
      <int2:state int2:value="Rejected" int2:type="spell"/>
    </int2:textHash>
    <int2:textHash int2:hashCode="17Y1aICWVJ8w+l" int2:id="Km6tm8OV">
      <int2:state int2:value="Rejected" int2:type="spell"/>
    </int2:textHash>
    <int2:textHash int2:hashCode="7wpSdgfPFyBU3D" int2:id="WQdwRPaJ">
      <int2:state int2:value="Rejected" int2:type="spell"/>
    </int2:textHash>
    <int2:textHash int2:hashCode="94PCiY/VDhj20O" int2:id="Ww8oICmV">
      <int2:state int2:value="Rejected" int2:type="spell"/>
    </int2:textHash>
    <int2:textHash int2:hashCode="lsacEsf+V6hMJH" int2:id="YhWU5H3s">
      <int2:state int2:value="Rejected" int2:type="spell"/>
    </int2:textHash>
    <int2:textHash int2:hashCode="YWwGCbCfjCJBLF" int2:id="aNBl53ve">
      <int2:state int2:value="Rejected" int2:type="spell"/>
    </int2:textHash>
    <int2:textHash int2:hashCode="2jmj7l5rSw0yVb" int2:id="bGbmrHwf">
      <int2:state int2:value="Rejected" int2:type="spell"/>
    </int2:textHash>
    <int2:textHash int2:hashCode="g03a5jW8SHUF33" int2:id="ql26AYdi">
      <int2:state int2:value="Rejected" int2:type="spell"/>
    </int2:textHash>
    <int2:textHash int2:hashCode="3gT6Din5s14kkF" int2:id="sNSfPAEe">
      <int2:state int2:value="Rejected" int2:type="spell"/>
    </int2:textHash>
    <int2:textHash int2:hashCode="KC9JsKPpy54mE9" int2:id="vCFuKgxa">
      <int2:state int2:value="Rejected" int2:type="spell"/>
    </int2:textHash>
    <int2:textHash int2:hashCode="/HJkFGqyNC4TgU" int2:id="wJe20JRO">
      <int2:state int2:value="Rejected" int2:type="spell"/>
    </int2:textHash>
    <int2:textHash int2:hashCode="32yoc0rEuhT/Z3" int2:id="wjsdHkBb">
      <int2:state int2:value="Rejected" int2:type="spell"/>
    </int2:textHash>
    <int2:textHash int2:hashCode="QH+GjOI0zgG88x" int2:id="xpXEteDZ">
      <int2:state int2:value="Rejected" int2:type="spell"/>
    </int2:textHash>
    <int2:textHash int2:hashCode="mjeNAs5B2zhHXM" int2:id="yNQoZdBQ">
      <int2:state int2:value="Rejected" int2:type="spell"/>
    </int2:textHash>
    <int2:bookmark int2:bookmarkName="_Int_fAtSUqrz" int2:invalidationBookmarkName="" int2:hashCode="BsvcYdEknNQB8j" int2:id="pcfF6tBs">
      <int2:state int2:value="Rejected" int2:type="gram"/>
    </int2:bookmark>
    <int2:bookmark int2:bookmarkName="_Int_ng1ueIzV" int2:invalidationBookmarkName="" int2:hashCode="Fq/qhSOwIXCcDi" int2:id="CR74Rcbx">
      <int2:state int2:value="Rejected" int2:type="style"/>
    </int2:bookmark>
    <int2:bookmark int2:bookmarkName="_Int_zJ76tdrr" int2:invalidationBookmarkName="" int2:hashCode="0dlZer69Yr2gV9" int2:id="tVtWDlW6">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6927F6"/>
    <w:multiLevelType w:val="hybridMultilevel"/>
    <w:tmpl w:val="2F5888A6"/>
    <w:lvl w:ilvl="0" w:tplc="AFD2AC1C">
      <w:numFmt w:val="bullet"/>
      <w:lvlText w:val=""/>
      <w:lvlJc w:val="left"/>
      <w:pPr>
        <w:ind w:left="720" w:hanging="360"/>
      </w:pPr>
      <w:rPr>
        <w:rFonts w:ascii="Wingdings" w:eastAsia="Times New Roman" w:hAnsi="Wingdings" w:cs="Georgia"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888963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hael Ey (DE)">
    <w15:presenceInfo w15:providerId="AD" w15:userId="S::michael.ey@pwc.com::5b3d5274-f014-4aa0-a3fd-5ab99e264d3f"/>
  </w15:person>
  <w15:person w15:author="Bettina Graf (DE)">
    <w15:presenceInfo w15:providerId="AD" w15:userId="S::bettina.graf@pwc.com::5e164ed8-b660-482d-af0e-b538129f7835"/>
  </w15:person>
  <w15:person w15:author="Max Franke (DE)">
    <w15:presenceInfo w15:providerId="AD" w15:userId="S::max.franke@pwc.com::2f701286-b70a-47dd-86c3-d4aefefe24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174"/>
    <w:rsid w:val="00001965"/>
    <w:rsid w:val="0001150B"/>
    <w:rsid w:val="0001580E"/>
    <w:rsid w:val="00023566"/>
    <w:rsid w:val="00031650"/>
    <w:rsid w:val="00035B83"/>
    <w:rsid w:val="000374DC"/>
    <w:rsid w:val="00043E92"/>
    <w:rsid w:val="00046E63"/>
    <w:rsid w:val="00057F6B"/>
    <w:rsid w:val="00063351"/>
    <w:rsid w:val="00064AB0"/>
    <w:rsid w:val="000657F7"/>
    <w:rsid w:val="000707AA"/>
    <w:rsid w:val="00071A12"/>
    <w:rsid w:val="000759AC"/>
    <w:rsid w:val="000776FC"/>
    <w:rsid w:val="0009043C"/>
    <w:rsid w:val="00093146"/>
    <w:rsid w:val="000978E4"/>
    <w:rsid w:val="00097FDC"/>
    <w:rsid w:val="000A4B20"/>
    <w:rsid w:val="000C00EC"/>
    <w:rsid w:val="000C68D2"/>
    <w:rsid w:val="000D3F9C"/>
    <w:rsid w:val="000D6821"/>
    <w:rsid w:val="000F0534"/>
    <w:rsid w:val="0011068D"/>
    <w:rsid w:val="00111FA3"/>
    <w:rsid w:val="00121F76"/>
    <w:rsid w:val="00132494"/>
    <w:rsid w:val="001361B7"/>
    <w:rsid w:val="0014303A"/>
    <w:rsid w:val="0015281F"/>
    <w:rsid w:val="00155FBF"/>
    <w:rsid w:val="001732ED"/>
    <w:rsid w:val="001825F3"/>
    <w:rsid w:val="00187D2D"/>
    <w:rsid w:val="00190950"/>
    <w:rsid w:val="00195D4F"/>
    <w:rsid w:val="001B4174"/>
    <w:rsid w:val="001C79AA"/>
    <w:rsid w:val="001E1BF6"/>
    <w:rsid w:val="001E2C63"/>
    <w:rsid w:val="001E3BBF"/>
    <w:rsid w:val="001E7073"/>
    <w:rsid w:val="001F38FE"/>
    <w:rsid w:val="001F7DE5"/>
    <w:rsid w:val="0020550C"/>
    <w:rsid w:val="00210E32"/>
    <w:rsid w:val="0021265D"/>
    <w:rsid w:val="00240696"/>
    <w:rsid w:val="00251B13"/>
    <w:rsid w:val="002527AD"/>
    <w:rsid w:val="002543C5"/>
    <w:rsid w:val="00265590"/>
    <w:rsid w:val="00266449"/>
    <w:rsid w:val="002755E7"/>
    <w:rsid w:val="00294980"/>
    <w:rsid w:val="002A183E"/>
    <w:rsid w:val="002A4919"/>
    <w:rsid w:val="002A6C53"/>
    <w:rsid w:val="002C7BEE"/>
    <w:rsid w:val="002E77FC"/>
    <w:rsid w:val="002F5B26"/>
    <w:rsid w:val="003005F6"/>
    <w:rsid w:val="00305085"/>
    <w:rsid w:val="00315764"/>
    <w:rsid w:val="0031747A"/>
    <w:rsid w:val="003179F2"/>
    <w:rsid w:val="00325B41"/>
    <w:rsid w:val="00344CE9"/>
    <w:rsid w:val="00376DD6"/>
    <w:rsid w:val="00386C77"/>
    <w:rsid w:val="00392D6C"/>
    <w:rsid w:val="003C1BCB"/>
    <w:rsid w:val="003D384A"/>
    <w:rsid w:val="003D7F05"/>
    <w:rsid w:val="003E71ED"/>
    <w:rsid w:val="003E7812"/>
    <w:rsid w:val="003F54C9"/>
    <w:rsid w:val="004074AD"/>
    <w:rsid w:val="004100C7"/>
    <w:rsid w:val="004165AB"/>
    <w:rsid w:val="00417689"/>
    <w:rsid w:val="00421802"/>
    <w:rsid w:val="00422C12"/>
    <w:rsid w:val="00433258"/>
    <w:rsid w:val="0045326B"/>
    <w:rsid w:val="00455667"/>
    <w:rsid w:val="00456228"/>
    <w:rsid w:val="00461478"/>
    <w:rsid w:val="00493CB9"/>
    <w:rsid w:val="004949B7"/>
    <w:rsid w:val="00496950"/>
    <w:rsid w:val="004B50D4"/>
    <w:rsid w:val="004B57A1"/>
    <w:rsid w:val="004D0C0B"/>
    <w:rsid w:val="004D0ED1"/>
    <w:rsid w:val="004D5EE1"/>
    <w:rsid w:val="00501638"/>
    <w:rsid w:val="0051217A"/>
    <w:rsid w:val="005137FF"/>
    <w:rsid w:val="00514505"/>
    <w:rsid w:val="005204ED"/>
    <w:rsid w:val="00534AE0"/>
    <w:rsid w:val="00537405"/>
    <w:rsid w:val="00540091"/>
    <w:rsid w:val="00544657"/>
    <w:rsid w:val="00544A51"/>
    <w:rsid w:val="00550F77"/>
    <w:rsid w:val="0055311B"/>
    <w:rsid w:val="00553E37"/>
    <w:rsid w:val="005579B3"/>
    <w:rsid w:val="00562663"/>
    <w:rsid w:val="005865D6"/>
    <w:rsid w:val="00587437"/>
    <w:rsid w:val="005901EB"/>
    <w:rsid w:val="00596FD8"/>
    <w:rsid w:val="005A2627"/>
    <w:rsid w:val="005A44AD"/>
    <w:rsid w:val="005B4248"/>
    <w:rsid w:val="005B5D19"/>
    <w:rsid w:val="005B74E1"/>
    <w:rsid w:val="005C0D00"/>
    <w:rsid w:val="005C30A7"/>
    <w:rsid w:val="005C6E0C"/>
    <w:rsid w:val="005D5B7A"/>
    <w:rsid w:val="00602AEF"/>
    <w:rsid w:val="00602E8F"/>
    <w:rsid w:val="00630E5F"/>
    <w:rsid w:val="006464EE"/>
    <w:rsid w:val="00650547"/>
    <w:rsid w:val="0065444C"/>
    <w:rsid w:val="00657378"/>
    <w:rsid w:val="0066052A"/>
    <w:rsid w:val="0066120B"/>
    <w:rsid w:val="00662E63"/>
    <w:rsid w:val="00664086"/>
    <w:rsid w:val="00664BDB"/>
    <w:rsid w:val="00686C84"/>
    <w:rsid w:val="00687E71"/>
    <w:rsid w:val="0069162B"/>
    <w:rsid w:val="00692B5F"/>
    <w:rsid w:val="006A13C5"/>
    <w:rsid w:val="006E5187"/>
    <w:rsid w:val="006F03BF"/>
    <w:rsid w:val="007048B0"/>
    <w:rsid w:val="007054E6"/>
    <w:rsid w:val="00706D50"/>
    <w:rsid w:val="00716756"/>
    <w:rsid w:val="007172B2"/>
    <w:rsid w:val="007175DA"/>
    <w:rsid w:val="007301E7"/>
    <w:rsid w:val="0073442A"/>
    <w:rsid w:val="00735F26"/>
    <w:rsid w:val="007447D8"/>
    <w:rsid w:val="00747213"/>
    <w:rsid w:val="007905FB"/>
    <w:rsid w:val="00790B1A"/>
    <w:rsid w:val="007A2E6B"/>
    <w:rsid w:val="007A4C79"/>
    <w:rsid w:val="007B07DF"/>
    <w:rsid w:val="007B7292"/>
    <w:rsid w:val="007C3D45"/>
    <w:rsid w:val="007D4174"/>
    <w:rsid w:val="007E4EB3"/>
    <w:rsid w:val="007F4465"/>
    <w:rsid w:val="007F6229"/>
    <w:rsid w:val="00807E99"/>
    <w:rsid w:val="008277D3"/>
    <w:rsid w:val="0083423C"/>
    <w:rsid w:val="00834374"/>
    <w:rsid w:val="00843DED"/>
    <w:rsid w:val="00847F5D"/>
    <w:rsid w:val="00855A5A"/>
    <w:rsid w:val="00860548"/>
    <w:rsid w:val="00867685"/>
    <w:rsid w:val="00871E5D"/>
    <w:rsid w:val="008758E8"/>
    <w:rsid w:val="0087FD4B"/>
    <w:rsid w:val="00892575"/>
    <w:rsid w:val="008A013E"/>
    <w:rsid w:val="008A1B86"/>
    <w:rsid w:val="008A5AFC"/>
    <w:rsid w:val="008D1FB1"/>
    <w:rsid w:val="008D352D"/>
    <w:rsid w:val="008E77A8"/>
    <w:rsid w:val="00902FF5"/>
    <w:rsid w:val="00922049"/>
    <w:rsid w:val="0092656B"/>
    <w:rsid w:val="00941C83"/>
    <w:rsid w:val="00944EC7"/>
    <w:rsid w:val="00952322"/>
    <w:rsid w:val="00953AD1"/>
    <w:rsid w:val="00956397"/>
    <w:rsid w:val="009600EF"/>
    <w:rsid w:val="009603B9"/>
    <w:rsid w:val="009642DB"/>
    <w:rsid w:val="00982A5D"/>
    <w:rsid w:val="00987699"/>
    <w:rsid w:val="009B5A16"/>
    <w:rsid w:val="009C2CA5"/>
    <w:rsid w:val="009D08B4"/>
    <w:rsid w:val="009D0B5E"/>
    <w:rsid w:val="009D780E"/>
    <w:rsid w:val="009D7CA1"/>
    <w:rsid w:val="009E4309"/>
    <w:rsid w:val="009F3C8E"/>
    <w:rsid w:val="009F5461"/>
    <w:rsid w:val="00A119F2"/>
    <w:rsid w:val="00A12E56"/>
    <w:rsid w:val="00A30C9E"/>
    <w:rsid w:val="00A4144F"/>
    <w:rsid w:val="00A46589"/>
    <w:rsid w:val="00A574B1"/>
    <w:rsid w:val="00A72978"/>
    <w:rsid w:val="00A770ED"/>
    <w:rsid w:val="00A80BB2"/>
    <w:rsid w:val="00A821C9"/>
    <w:rsid w:val="00A82D63"/>
    <w:rsid w:val="00A846C4"/>
    <w:rsid w:val="00AD4AF7"/>
    <w:rsid w:val="00AF1F94"/>
    <w:rsid w:val="00B0463C"/>
    <w:rsid w:val="00B11A97"/>
    <w:rsid w:val="00B12B22"/>
    <w:rsid w:val="00B1560D"/>
    <w:rsid w:val="00B33F56"/>
    <w:rsid w:val="00B510B4"/>
    <w:rsid w:val="00B61419"/>
    <w:rsid w:val="00B70D37"/>
    <w:rsid w:val="00B7346A"/>
    <w:rsid w:val="00B75DAE"/>
    <w:rsid w:val="00B7763B"/>
    <w:rsid w:val="00B94101"/>
    <w:rsid w:val="00B96305"/>
    <w:rsid w:val="00BB33C2"/>
    <w:rsid w:val="00BB53A2"/>
    <w:rsid w:val="00BB5AB5"/>
    <w:rsid w:val="00BE58A9"/>
    <w:rsid w:val="00BE75E9"/>
    <w:rsid w:val="00BF2801"/>
    <w:rsid w:val="00BF290E"/>
    <w:rsid w:val="00BF41AF"/>
    <w:rsid w:val="00C006BB"/>
    <w:rsid w:val="00C07A79"/>
    <w:rsid w:val="00C1661F"/>
    <w:rsid w:val="00C26EE0"/>
    <w:rsid w:val="00C31236"/>
    <w:rsid w:val="00C3250F"/>
    <w:rsid w:val="00C43316"/>
    <w:rsid w:val="00C43DFD"/>
    <w:rsid w:val="00C45A98"/>
    <w:rsid w:val="00C86F5B"/>
    <w:rsid w:val="00C932CC"/>
    <w:rsid w:val="00C94D75"/>
    <w:rsid w:val="00C97731"/>
    <w:rsid w:val="00CA5AFA"/>
    <w:rsid w:val="00CC6303"/>
    <w:rsid w:val="00CD7644"/>
    <w:rsid w:val="00CE2BD2"/>
    <w:rsid w:val="00CE3F75"/>
    <w:rsid w:val="00D02F07"/>
    <w:rsid w:val="00D04D7F"/>
    <w:rsid w:val="00D11211"/>
    <w:rsid w:val="00D355D7"/>
    <w:rsid w:val="00D54CAE"/>
    <w:rsid w:val="00D552B7"/>
    <w:rsid w:val="00D562FD"/>
    <w:rsid w:val="00D63699"/>
    <w:rsid w:val="00D74400"/>
    <w:rsid w:val="00D76174"/>
    <w:rsid w:val="00DB1760"/>
    <w:rsid w:val="00DB7A65"/>
    <w:rsid w:val="00DC4058"/>
    <w:rsid w:val="00DC6172"/>
    <w:rsid w:val="00DD3A22"/>
    <w:rsid w:val="00DD6C62"/>
    <w:rsid w:val="00DE1602"/>
    <w:rsid w:val="00DF5061"/>
    <w:rsid w:val="00DF6C0F"/>
    <w:rsid w:val="00E112D8"/>
    <w:rsid w:val="00E148A0"/>
    <w:rsid w:val="00E14F67"/>
    <w:rsid w:val="00E1729A"/>
    <w:rsid w:val="00E20D9E"/>
    <w:rsid w:val="00E44AFE"/>
    <w:rsid w:val="00E4669C"/>
    <w:rsid w:val="00E546C6"/>
    <w:rsid w:val="00E5607B"/>
    <w:rsid w:val="00E56B47"/>
    <w:rsid w:val="00E75763"/>
    <w:rsid w:val="00E77BC5"/>
    <w:rsid w:val="00EA4E31"/>
    <w:rsid w:val="00EA5B17"/>
    <w:rsid w:val="00EA7A3C"/>
    <w:rsid w:val="00EC1123"/>
    <w:rsid w:val="00EE732F"/>
    <w:rsid w:val="00EE7857"/>
    <w:rsid w:val="00EF51A7"/>
    <w:rsid w:val="00F070EF"/>
    <w:rsid w:val="00F152E4"/>
    <w:rsid w:val="00F25C67"/>
    <w:rsid w:val="00F43F11"/>
    <w:rsid w:val="00F44692"/>
    <w:rsid w:val="00F61D19"/>
    <w:rsid w:val="00F6548B"/>
    <w:rsid w:val="00F80DB4"/>
    <w:rsid w:val="00F863B4"/>
    <w:rsid w:val="00F86AD1"/>
    <w:rsid w:val="00F879BE"/>
    <w:rsid w:val="00F94038"/>
    <w:rsid w:val="00FA0B40"/>
    <w:rsid w:val="00FB64CD"/>
    <w:rsid w:val="00FD2311"/>
    <w:rsid w:val="00FD70E0"/>
    <w:rsid w:val="00FD7FE6"/>
    <w:rsid w:val="00FF0491"/>
    <w:rsid w:val="00FF5055"/>
    <w:rsid w:val="00FF543E"/>
    <w:rsid w:val="01D9AEBB"/>
    <w:rsid w:val="0361CEB8"/>
    <w:rsid w:val="0755435C"/>
    <w:rsid w:val="07F9F7E5"/>
    <w:rsid w:val="0A353840"/>
    <w:rsid w:val="0A68664F"/>
    <w:rsid w:val="0C93566E"/>
    <w:rsid w:val="0DEDF47B"/>
    <w:rsid w:val="0E5D56B0"/>
    <w:rsid w:val="0E6A0EA9"/>
    <w:rsid w:val="11B38F61"/>
    <w:rsid w:val="1364DDCD"/>
    <w:rsid w:val="1380951D"/>
    <w:rsid w:val="148E47D1"/>
    <w:rsid w:val="14C3ADDA"/>
    <w:rsid w:val="15E3EC83"/>
    <w:rsid w:val="17C2F166"/>
    <w:rsid w:val="1A0EBB7C"/>
    <w:rsid w:val="213D8F16"/>
    <w:rsid w:val="24669D0D"/>
    <w:rsid w:val="24F43768"/>
    <w:rsid w:val="24F7C948"/>
    <w:rsid w:val="253B2D58"/>
    <w:rsid w:val="259421E9"/>
    <w:rsid w:val="2855A243"/>
    <w:rsid w:val="2A226EDD"/>
    <w:rsid w:val="30DCBB3F"/>
    <w:rsid w:val="32F33B19"/>
    <w:rsid w:val="3D923805"/>
    <w:rsid w:val="42342B16"/>
    <w:rsid w:val="4586186D"/>
    <w:rsid w:val="45AEC8BB"/>
    <w:rsid w:val="45CF479B"/>
    <w:rsid w:val="469AE82F"/>
    <w:rsid w:val="46F49A61"/>
    <w:rsid w:val="4736C5AB"/>
    <w:rsid w:val="477ED52F"/>
    <w:rsid w:val="498B7AA3"/>
    <w:rsid w:val="4EC87F11"/>
    <w:rsid w:val="5046835A"/>
    <w:rsid w:val="52A7E789"/>
    <w:rsid w:val="55033002"/>
    <w:rsid w:val="56379A63"/>
    <w:rsid w:val="563E43CE"/>
    <w:rsid w:val="57FC1D2B"/>
    <w:rsid w:val="61992761"/>
    <w:rsid w:val="61E80D80"/>
    <w:rsid w:val="63863549"/>
    <w:rsid w:val="645EA8F8"/>
    <w:rsid w:val="646C2E0A"/>
    <w:rsid w:val="66B0A320"/>
    <w:rsid w:val="67BF4616"/>
    <w:rsid w:val="6AF199BB"/>
    <w:rsid w:val="6DA87138"/>
    <w:rsid w:val="72514A99"/>
    <w:rsid w:val="73A2FDF0"/>
    <w:rsid w:val="7784C722"/>
    <w:rsid w:val="77BBDC54"/>
    <w:rsid w:val="791D124B"/>
    <w:rsid w:val="7BA94474"/>
    <w:rsid w:val="7C408E5E"/>
    <w:rsid w:val="7C713F7C"/>
    <w:rsid w:val="7CA8E382"/>
    <w:rsid w:val="7D24E2B5"/>
    <w:rsid w:val="7E0AB28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528B8"/>
  <w15:chartTrackingRefBased/>
  <w15:docId w15:val="{8BEC1008-8700-4EE3-A6AD-7AC32E9DB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174"/>
    <w:pPr>
      <w:spacing w:after="0" w:line="240" w:lineRule="auto"/>
    </w:pPr>
    <w:rPr>
      <w:rFonts w:ascii="Times New Roman" w:eastAsia="Times New Roman" w:hAnsi="Times New Roman" w:cs="Times New Roman"/>
      <w:sz w:val="24"/>
      <w:szCs w:val="24"/>
      <w:lang w:eastAsia="de-DE"/>
    </w:rPr>
  </w:style>
  <w:style w:type="paragraph" w:styleId="Heading1">
    <w:name w:val="heading 1"/>
    <w:basedOn w:val="Normal"/>
    <w:next w:val="Normal"/>
    <w:link w:val="Heading1Char"/>
    <w:uiPriority w:val="9"/>
    <w:qFormat/>
    <w:rsid w:val="00E5607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92575"/>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qFormat/>
    <w:rsid w:val="007D4174"/>
    <w:pPr>
      <w:keepNext/>
      <w:ind w:left="708" w:right="1134"/>
      <w:outlineLvl w:val="4"/>
    </w:pPr>
    <w:rPr>
      <w:rFonts w:ascii="Arial" w:hAnsi="Arial"/>
      <w:b/>
      <w:sz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7D4174"/>
    <w:rPr>
      <w:rFonts w:ascii="Arial" w:eastAsia="Times New Roman" w:hAnsi="Arial" w:cs="Times New Roman"/>
      <w:b/>
      <w:sz w:val="36"/>
      <w:szCs w:val="24"/>
      <w:lang w:val="en-US" w:eastAsia="de-DE"/>
    </w:rPr>
  </w:style>
  <w:style w:type="paragraph" w:styleId="Header">
    <w:name w:val="header"/>
    <w:basedOn w:val="Normal"/>
    <w:link w:val="HeaderChar"/>
    <w:rsid w:val="007D4174"/>
    <w:pPr>
      <w:tabs>
        <w:tab w:val="center" w:pos="4703"/>
        <w:tab w:val="right" w:pos="9406"/>
      </w:tabs>
    </w:pPr>
    <w:rPr>
      <w:rFonts w:ascii="Arial" w:hAnsi="Arial"/>
      <w:sz w:val="22"/>
      <w:lang w:val="en-US"/>
    </w:rPr>
  </w:style>
  <w:style w:type="character" w:customStyle="1" w:styleId="HeaderChar">
    <w:name w:val="Header Char"/>
    <w:basedOn w:val="DefaultParagraphFont"/>
    <w:link w:val="Header"/>
    <w:rsid w:val="007D4174"/>
    <w:rPr>
      <w:rFonts w:ascii="Arial" w:eastAsia="Times New Roman" w:hAnsi="Arial" w:cs="Times New Roman"/>
      <w:szCs w:val="24"/>
      <w:lang w:val="en-US" w:eastAsia="de-DE"/>
    </w:rPr>
  </w:style>
  <w:style w:type="character" w:styleId="Hyperlink">
    <w:name w:val="Hyperlink"/>
    <w:basedOn w:val="DefaultParagraphFont"/>
    <w:rsid w:val="007D4174"/>
    <w:rPr>
      <w:color w:val="0000FF"/>
      <w:u w:val="single"/>
    </w:rPr>
  </w:style>
  <w:style w:type="paragraph" w:styleId="BodyTextIndent2">
    <w:name w:val="Body Text Indent 2"/>
    <w:basedOn w:val="Normal"/>
    <w:link w:val="BodyTextIndent2Char"/>
    <w:rsid w:val="007D4174"/>
    <w:pPr>
      <w:spacing w:line="360" w:lineRule="auto"/>
      <w:ind w:left="708"/>
      <w:jc w:val="both"/>
    </w:pPr>
    <w:rPr>
      <w:rFonts w:ascii="Arial" w:hAnsi="Arial"/>
      <w:color w:val="000000"/>
      <w:sz w:val="22"/>
    </w:rPr>
  </w:style>
  <w:style w:type="character" w:customStyle="1" w:styleId="BodyTextIndent2Char">
    <w:name w:val="Body Text Indent 2 Char"/>
    <w:basedOn w:val="DefaultParagraphFont"/>
    <w:link w:val="BodyTextIndent2"/>
    <w:rsid w:val="007D4174"/>
    <w:rPr>
      <w:rFonts w:ascii="Arial" w:eastAsia="Times New Roman" w:hAnsi="Arial" w:cs="Times New Roman"/>
      <w:color w:val="000000"/>
      <w:szCs w:val="24"/>
      <w:lang w:eastAsia="de-DE"/>
    </w:rPr>
  </w:style>
  <w:style w:type="character" w:styleId="PageNumber">
    <w:name w:val="page number"/>
    <w:basedOn w:val="DefaultParagraphFont"/>
    <w:rsid w:val="007D4174"/>
  </w:style>
  <w:style w:type="paragraph" w:styleId="Footer">
    <w:name w:val="footer"/>
    <w:basedOn w:val="Normal"/>
    <w:link w:val="FooterChar"/>
    <w:uiPriority w:val="99"/>
    <w:rsid w:val="007D4174"/>
    <w:pPr>
      <w:tabs>
        <w:tab w:val="center" w:pos="4703"/>
        <w:tab w:val="right" w:pos="9406"/>
      </w:tabs>
    </w:pPr>
    <w:rPr>
      <w:rFonts w:ascii="Arial" w:hAnsi="Arial"/>
      <w:sz w:val="22"/>
      <w:lang w:val="en-US"/>
    </w:rPr>
  </w:style>
  <w:style w:type="character" w:customStyle="1" w:styleId="FooterChar">
    <w:name w:val="Footer Char"/>
    <w:basedOn w:val="DefaultParagraphFont"/>
    <w:link w:val="Footer"/>
    <w:uiPriority w:val="99"/>
    <w:rsid w:val="007D4174"/>
    <w:rPr>
      <w:rFonts w:ascii="Arial" w:eastAsia="Times New Roman" w:hAnsi="Arial" w:cs="Times New Roman"/>
      <w:szCs w:val="24"/>
      <w:lang w:val="en-US" w:eastAsia="de-DE"/>
    </w:rPr>
  </w:style>
  <w:style w:type="character" w:styleId="CommentReference">
    <w:name w:val="annotation reference"/>
    <w:basedOn w:val="DefaultParagraphFont"/>
    <w:uiPriority w:val="99"/>
    <w:semiHidden/>
    <w:unhideWhenUsed/>
    <w:rsid w:val="007D4174"/>
    <w:rPr>
      <w:sz w:val="16"/>
      <w:szCs w:val="16"/>
    </w:rPr>
  </w:style>
  <w:style w:type="paragraph" w:styleId="CommentText">
    <w:name w:val="annotation text"/>
    <w:basedOn w:val="Normal"/>
    <w:link w:val="CommentTextChar"/>
    <w:uiPriority w:val="99"/>
    <w:unhideWhenUsed/>
    <w:rsid w:val="007D4174"/>
    <w:rPr>
      <w:sz w:val="20"/>
    </w:rPr>
  </w:style>
  <w:style w:type="character" w:customStyle="1" w:styleId="CommentTextChar">
    <w:name w:val="Comment Text Char"/>
    <w:basedOn w:val="DefaultParagraphFont"/>
    <w:link w:val="CommentText"/>
    <w:uiPriority w:val="99"/>
    <w:rsid w:val="007D4174"/>
    <w:rPr>
      <w:rFonts w:ascii="Times New Roman" w:eastAsia="Times New Roman" w:hAnsi="Times New Roman" w:cs="Times New Roman"/>
      <w:sz w:val="20"/>
      <w:szCs w:val="24"/>
      <w:lang w:eastAsia="de-DE"/>
    </w:rPr>
  </w:style>
  <w:style w:type="paragraph" w:styleId="CommentSubject">
    <w:name w:val="annotation subject"/>
    <w:basedOn w:val="CommentText"/>
    <w:next w:val="CommentText"/>
    <w:link w:val="CommentSubjectChar"/>
    <w:uiPriority w:val="99"/>
    <w:semiHidden/>
    <w:unhideWhenUsed/>
    <w:rsid w:val="00EA4E31"/>
    <w:rPr>
      <w:b/>
      <w:bCs/>
      <w:szCs w:val="20"/>
    </w:rPr>
  </w:style>
  <w:style w:type="character" w:customStyle="1" w:styleId="CommentSubjectChar">
    <w:name w:val="Comment Subject Char"/>
    <w:basedOn w:val="CommentTextChar"/>
    <w:link w:val="CommentSubject"/>
    <w:uiPriority w:val="99"/>
    <w:semiHidden/>
    <w:rsid w:val="00EA4E31"/>
    <w:rPr>
      <w:rFonts w:ascii="Times New Roman" w:eastAsia="Times New Roman" w:hAnsi="Times New Roman" w:cs="Times New Roman"/>
      <w:b/>
      <w:bCs/>
      <w:sz w:val="20"/>
      <w:szCs w:val="20"/>
      <w:lang w:eastAsia="de-DE"/>
    </w:rPr>
  </w:style>
  <w:style w:type="paragraph" w:styleId="Revision">
    <w:name w:val="Revision"/>
    <w:hidden/>
    <w:uiPriority w:val="99"/>
    <w:semiHidden/>
    <w:rsid w:val="009600EF"/>
    <w:pPr>
      <w:spacing w:after="0" w:line="240" w:lineRule="auto"/>
    </w:pPr>
    <w:rPr>
      <w:rFonts w:ascii="Times New Roman" w:eastAsia="Times New Roman" w:hAnsi="Times New Roman" w:cs="Times New Roman"/>
      <w:sz w:val="24"/>
      <w:szCs w:val="24"/>
      <w:lang w:eastAsia="de-DE"/>
    </w:rPr>
  </w:style>
  <w:style w:type="paragraph" w:styleId="NoSpacing">
    <w:name w:val="No Spacing"/>
    <w:uiPriority w:val="1"/>
    <w:qFormat/>
    <w:rsid w:val="004100C7"/>
    <w:pPr>
      <w:spacing w:after="0" w:line="240" w:lineRule="auto"/>
    </w:pPr>
    <w:rPr>
      <w:kern w:val="2"/>
      <w:sz w:val="24"/>
      <w:szCs w:val="24"/>
      <w14:ligatures w14:val="standardContextual"/>
    </w:rPr>
  </w:style>
  <w:style w:type="character" w:styleId="UnresolvedMention">
    <w:name w:val="Unresolved Mention"/>
    <w:basedOn w:val="DefaultParagraphFont"/>
    <w:uiPriority w:val="99"/>
    <w:semiHidden/>
    <w:unhideWhenUsed/>
    <w:rsid w:val="00D355D7"/>
    <w:rPr>
      <w:color w:val="605E5C"/>
      <w:shd w:val="clear" w:color="auto" w:fill="E1DFDD"/>
    </w:rPr>
  </w:style>
  <w:style w:type="character" w:customStyle="1" w:styleId="Heading1Char">
    <w:name w:val="Heading 1 Char"/>
    <w:basedOn w:val="DefaultParagraphFont"/>
    <w:link w:val="Heading1"/>
    <w:uiPriority w:val="9"/>
    <w:rsid w:val="00E5607B"/>
    <w:rPr>
      <w:rFonts w:asciiTheme="majorHAnsi" w:eastAsiaTheme="majorEastAsia" w:hAnsiTheme="majorHAnsi" w:cstheme="majorBidi"/>
      <w:color w:val="2F5496" w:themeColor="accent1" w:themeShade="BF"/>
      <w:sz w:val="32"/>
      <w:szCs w:val="32"/>
      <w:lang w:eastAsia="de-DE"/>
    </w:rPr>
  </w:style>
  <w:style w:type="character" w:customStyle="1" w:styleId="Heading3Char">
    <w:name w:val="Heading 3 Char"/>
    <w:basedOn w:val="DefaultParagraphFont"/>
    <w:link w:val="Heading3"/>
    <w:uiPriority w:val="9"/>
    <w:semiHidden/>
    <w:rsid w:val="00892575"/>
    <w:rPr>
      <w:rFonts w:asciiTheme="majorHAnsi" w:eastAsiaTheme="majorEastAsia" w:hAnsiTheme="majorHAnsi" w:cstheme="majorBidi"/>
      <w:color w:val="1F3763" w:themeColor="accent1" w:themeShade="7F"/>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951822">
      <w:bodyDiv w:val="1"/>
      <w:marLeft w:val="0"/>
      <w:marRight w:val="0"/>
      <w:marTop w:val="0"/>
      <w:marBottom w:val="0"/>
      <w:divBdr>
        <w:top w:val="none" w:sz="0" w:space="0" w:color="auto"/>
        <w:left w:val="none" w:sz="0" w:space="0" w:color="auto"/>
        <w:bottom w:val="none" w:sz="0" w:space="0" w:color="auto"/>
        <w:right w:val="none" w:sz="0" w:space="0" w:color="auto"/>
      </w:divBdr>
    </w:div>
    <w:div w:id="163810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www.pwc.com/structure"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Bettina.graf@pwc.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footer" Target="footer3.xml"/><Relationship Id="rId28" Type="http://schemas.microsoft.com/office/2020/10/relationships/intelligence" Target="intelligence2.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eader" Target="header3.xml"/><Relationship Id="rId27" Type="http://schemas.microsoft.com/office/2019/05/relationships/documenttasks" Target="documenttasks/documenttasks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5C2969DD-355E-436C-B372-FFCA8619C786}">
    <t:Anchor>
      <t:Comment id="1251887550"/>
    </t:Anchor>
    <t:History>
      <t:Event id="{22FE2960-4056-401F-8EB7-8DD8656C1A9A}" time="2026-05-27T11:47:50.272Z">
        <t:Attribution userId="S::bettina.graf@pwc.com::5e164ed8-b660-482d-af0e-b538129f7835" userProvider="AD" userName="Bettina Graf (DE)"/>
        <t:Anchor>
          <t:Comment id="1663301936"/>
        </t:Anchor>
        <t:Create/>
      </t:Event>
      <t:Event id="{85B65B19-1DDD-4688-92F0-1ED43BBC4A6C}" time="2026-05-27T11:47:50.272Z">
        <t:Attribution userId="S::bettina.graf@pwc.com::5e164ed8-b660-482d-af0e-b538129f7835" userProvider="AD" userName="Bettina Graf (DE)"/>
        <t:Anchor>
          <t:Comment id="1663301936"/>
        </t:Anchor>
        <t:Assign userId="S::alexander.von.friesen@pwc.com::b2986a7f-b401-4316-851d-dadabdcec793" userProvider="AD" userName="Alexander von Friesen (DE)"/>
      </t:Event>
      <t:Event id="{55FBC887-976D-4E06-8233-3D6A1385041C}" time="2026-05-27T11:47:50.272Z">
        <t:Attribution userId="S::bettina.graf@pwc.com::5e164ed8-b660-482d-af0e-b538129f7835" userProvider="AD" userName="Bettina Graf (DE)"/>
        <t:Anchor>
          <t:Comment id="1663301936"/>
        </t:Anchor>
        <t:SetTitle title="@Alexander von Friesen (DE)"/>
      </t:Event>
      <t:Event id="{36224AEE-E0B7-4F48-9208-349646BB6294}" time="2026-05-27T13:50:32.297Z">
        <t:Attribution userId="S::bettina.graf@pwc.com::5e164ed8-b660-482d-af0e-b538129f7835" userProvider="AD" userName="Bettina Graf (DE)"/>
        <t:Progress percentComplete="100"/>
      </t:Event>
    </t:History>
  </t:Task>
  <t:Task id="{1380FD6E-B4F9-4709-B588-F87FEB1EACC9}">
    <t:Anchor>
      <t:Comment id="1470050743"/>
    </t:Anchor>
    <t:History>
      <t:Event id="{B611A538-4EA4-4396-A841-96E90535C04B}" time="2026-05-27T11:48:03.709Z">
        <t:Attribution userId="S::bettina.graf@pwc.com::5e164ed8-b660-482d-af0e-b538129f7835" userProvider="AD" userName="Bettina Graf (DE)"/>
        <t:Anchor>
          <t:Comment id="50795685"/>
        </t:Anchor>
        <t:Create/>
      </t:Event>
      <t:Event id="{43F80D1F-E5CB-4E6D-81F0-FC79E8ADC443}" time="2026-05-27T11:48:03.709Z">
        <t:Attribution userId="S::bettina.graf@pwc.com::5e164ed8-b660-482d-af0e-b538129f7835" userProvider="AD" userName="Bettina Graf (DE)"/>
        <t:Anchor>
          <t:Comment id="50795685"/>
        </t:Anchor>
        <t:Assign userId="S::alexander.von.friesen@pwc.com::b2986a7f-b401-4316-851d-dadabdcec793" userProvider="AD" userName="Alexander von Friesen (DE)"/>
      </t:Event>
      <t:Event id="{6B7468F4-D30F-4B16-BA0C-4BCF0C8045CE}" time="2026-05-27T11:48:03.709Z">
        <t:Attribution userId="S::bettina.graf@pwc.com::5e164ed8-b660-482d-af0e-b538129f7835" userProvider="AD" userName="Bettina Graf (DE)"/>
        <t:Anchor>
          <t:Comment id="50795685"/>
        </t:Anchor>
        <t:SetTitle title="@Alexander von Friesen (DE)"/>
      </t:Event>
      <t:Event id="{021DE27E-4C5D-42AE-A596-3FB7ACF8C57D}" time="2026-05-27T13:50:29.084Z">
        <t:Attribution userId="S::bettina.graf@pwc.com::5e164ed8-b660-482d-af0e-b538129f7835" userProvider="AD" userName="Bettina Graf (DE)"/>
        <t:Progress percentComplete="100"/>
      </t:Event>
    </t:History>
  </t:Task>
</t:Task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5065608C2FFEA42A8F7ADB4570496BB" ma:contentTypeVersion="17" ma:contentTypeDescription="Create a new document." ma:contentTypeScope="" ma:versionID="5189d6bf9c9f3e71dfdbbf68218c98a3">
  <xsd:schema xmlns:xsd="http://www.w3.org/2001/XMLSchema" xmlns:xs="http://www.w3.org/2001/XMLSchema" xmlns:p="http://schemas.microsoft.com/office/2006/metadata/properties" xmlns:ns2="a331bb2d-0848-4d8c-ac6d-e3791121942a" xmlns:ns3="62827cda-c2c8-430b-a614-d39d7a69b853" targetNamespace="http://schemas.microsoft.com/office/2006/metadata/properties" ma:root="true" ma:fieldsID="acb51dc0ccff941013a79f3419ced751" ns2:_="" ns3:_="">
    <xsd:import namespace="a331bb2d-0848-4d8c-ac6d-e3791121942a"/>
    <xsd:import namespace="62827cda-c2c8-430b-a614-d39d7a69b853"/>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1bb2d-0848-4d8c-ac6d-e3791121942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f887ae3-89ac-473d-8208-11ec60e20bed}" ma:internalName="TaxCatchAll" ma:showField="CatchAllData" ma:web="a331bb2d-0848-4d8c-ac6d-e379112194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27cda-c2c8-430b-a614-d39d7a69b85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7bde53e-b0a2-4e98-8550-8a152603f3a2"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2827cda-c2c8-430b-a614-d39d7a69b853">
      <Terms xmlns="http://schemas.microsoft.com/office/infopath/2007/PartnerControls"/>
    </lcf76f155ced4ddcb4097134ff3c332f>
    <TaxCatchAll xmlns="a331bb2d-0848-4d8c-ac6d-e3791121942a" xsi:nil="true"/>
    <_dlc_DocId xmlns="a331bb2d-0848-4d8c-ac6d-e3791121942a">HYCPZS5ZTD7Y-1410778174-122766</_dlc_DocId>
    <_dlc_DocIdUrl xmlns="a331bb2d-0848-4d8c-ac6d-e3791121942a">
      <Url>https://pwcdeu.sharepoint.com/sites/DE-SD-0AM7BtpSVkLrJUk9PVA/_layouts/15/DocIdRedir.aspx?ID=HYCPZS5ZTD7Y-1410778174-122766</Url>
      <Description>HYCPZS5ZTD7Y-1410778174-122766</Description>
    </_dlc_DocIdUrl>
  </documentManagement>
</p:properties>
</file>

<file path=customXml/itemProps1.xml><?xml version="1.0" encoding="utf-8"?>
<ds:datastoreItem xmlns:ds="http://schemas.openxmlformats.org/officeDocument/2006/customXml" ds:itemID="{7F41516D-52A7-4A6F-AAE4-74D91AE1C6D9}">
  <ds:schemaRefs>
    <ds:schemaRef ds:uri="http://schemas.openxmlformats.org/officeDocument/2006/bibliography"/>
  </ds:schemaRefs>
</ds:datastoreItem>
</file>

<file path=customXml/itemProps2.xml><?xml version="1.0" encoding="utf-8"?>
<ds:datastoreItem xmlns:ds="http://schemas.openxmlformats.org/officeDocument/2006/customXml" ds:itemID="{4F8400FF-B38F-4072-B91A-228DD231C0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31bb2d-0848-4d8c-ac6d-e3791121942a"/>
    <ds:schemaRef ds:uri="62827cda-c2c8-430b-a614-d39d7a69b8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180BB0-3DFB-481B-94DB-903727A67DE9}">
  <ds:schemaRefs>
    <ds:schemaRef ds:uri="http://schemas.microsoft.com/sharepoint/v3/contenttype/forms"/>
  </ds:schemaRefs>
</ds:datastoreItem>
</file>

<file path=customXml/itemProps4.xml><?xml version="1.0" encoding="utf-8"?>
<ds:datastoreItem xmlns:ds="http://schemas.openxmlformats.org/officeDocument/2006/customXml" ds:itemID="{0F5CF161-2F00-443C-A09F-6B160E6B85D0}">
  <ds:schemaRefs>
    <ds:schemaRef ds:uri="http://schemas.microsoft.com/sharepoint/events"/>
  </ds:schemaRefs>
</ds:datastoreItem>
</file>

<file path=customXml/itemProps5.xml><?xml version="1.0" encoding="utf-8"?>
<ds:datastoreItem xmlns:ds="http://schemas.openxmlformats.org/officeDocument/2006/customXml" ds:itemID="{57E42008-5CA8-4295-937D-92E65ED1490E}">
  <ds:schemaRefs>
    <ds:schemaRef ds:uri="http://schemas.microsoft.com/office/2006/metadata/properties"/>
    <ds:schemaRef ds:uri="http://schemas.microsoft.com/office/infopath/2007/PartnerControls"/>
    <ds:schemaRef ds:uri="62827cda-c2c8-430b-a614-d39d7a69b853"/>
    <ds:schemaRef ds:uri="a331bb2d-0848-4d8c-ac6d-e3791121942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1390</Words>
  <Characters>7581</Characters>
  <Application>Microsoft Office Word</Application>
  <DocSecurity>0</DocSecurity>
  <Lines>145</Lines>
  <Paragraphs>66</Paragraphs>
  <ScaleCrop>false</ScaleCrop>
  <Company/>
  <LinksUpToDate>false</LinksUpToDate>
  <CharactersWithSpaces>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Korsten</dc:creator>
  <cp:keywords/>
  <dc:description/>
  <cp:lastModifiedBy>Bettina Graf (DE)</cp:lastModifiedBy>
  <cp:revision>2</cp:revision>
  <dcterms:created xsi:type="dcterms:W3CDTF">2026-05-28T12:36:00Z</dcterms:created>
  <dcterms:modified xsi:type="dcterms:W3CDTF">2026-05-28T12:36:00Z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0x01010035065608C2FFEA42A8F7ADB4570496BB</vt:lpwstr>
  </property>
  <property fmtid="{D5CDD505-2E9C-101B-9397-08002B2CF9AE}" pid="3" name="_dlc_DocIdItemGuid">
    <vt:lpwstr>621537d1-ebc8-4376-93e6-8aea06cb2178</vt:lpwstr>
  </property>
  <property fmtid="{D5CDD505-2E9C-101B-9397-08002B2CF9AE}" pid="4" name="MediaServiceImageTags">
    <vt:lpwstr/>
  </property>
  <property fmtid="{D5CDD505-2E9C-101B-9397-08002B2CF9AE}" pid="5" name="docLang">
    <vt:lpwstr>de</vt:lpwstr>
  </property>
</Properties>
</file>