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B424B" w14:textId="1429BB6B" w:rsidR="00C94CF7" w:rsidRPr="001C3BDE" w:rsidRDefault="00860A25">
      <w:pPr>
        <w:rPr>
          <w:rFonts w:ascii="Arial" w:hAnsi="Arial" w:cs="Arial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4D57F6" wp14:editId="741A2DED">
                <wp:simplePos x="0" y="0"/>
                <wp:positionH relativeFrom="column">
                  <wp:posOffset>4081780</wp:posOffset>
                </wp:positionH>
                <wp:positionV relativeFrom="paragraph">
                  <wp:posOffset>-436880</wp:posOffset>
                </wp:positionV>
                <wp:extent cx="2303780" cy="746125"/>
                <wp:effectExtent l="0" t="0" r="127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74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4C6CE" w14:textId="77777777" w:rsidR="001C3BDE" w:rsidRDefault="001C3B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8ABE38" wp14:editId="36B0161A">
                                  <wp:extent cx="1640205" cy="502555"/>
                                  <wp:effectExtent l="0" t="0" r="0" b="0"/>
                                  <wp:docPr id="2" name="Bild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3" descr="AGV_Logo_s-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4987" cy="519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4D57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1.4pt;margin-top:-34.4pt;width:181.4pt;height:5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" stroked="f">
                <v:textbox style="mso-fit-shape-to-text:t">
                  <w:txbxContent>
                    <w:p w14:paraId="29F4C6CE" w14:textId="77777777" w:rsidR="001C3BDE" w:rsidRDefault="001C3BDE">
                      <w:r>
                        <w:rPr>
                          <w:noProof/>
                        </w:rPr>
                        <w:drawing>
                          <wp:inline distT="0" distB="0" distL="0" distR="0" wp14:anchorId="058ABE38" wp14:editId="36B0161A">
                            <wp:extent cx="1640205" cy="502555"/>
                            <wp:effectExtent l="0" t="0" r="0" b="0"/>
                            <wp:docPr id="2" name="Bild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3" descr="AGV_Logo_s-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4987" cy="519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4660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C469A2" wp14:editId="2007C174">
                <wp:simplePos x="0" y="0"/>
                <wp:positionH relativeFrom="column">
                  <wp:posOffset>-899795</wp:posOffset>
                </wp:positionH>
                <wp:positionV relativeFrom="paragraph">
                  <wp:posOffset>-598805</wp:posOffset>
                </wp:positionV>
                <wp:extent cx="2629535" cy="946150"/>
                <wp:effectExtent l="0" t="0" r="0" b="635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C296E" w14:textId="77777777" w:rsidR="001C3BDE" w:rsidRDefault="001C3B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4CC049" wp14:editId="07A29B46">
                                  <wp:extent cx="2477302" cy="702310"/>
                                  <wp:effectExtent l="0" t="0" r="0" b="2540"/>
                                  <wp:docPr id="1" name="Bild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4" descr="SBPV - Schweizerischer Bankpersonalverba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0162" cy="7031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469A2" id="Text Box 4" o:spid="_x0000_s1027" type="#_x0000_t202" style="position:absolute;margin-left:-70.85pt;margin-top:-47.15pt;width:207.05pt;height:7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EcwhQIAABY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" stroked="f">
                <v:textbox>
                  <w:txbxContent>
                    <w:p w14:paraId="536C296E" w14:textId="77777777" w:rsidR="001C3BDE" w:rsidRDefault="001C3BDE">
                      <w:r>
                        <w:rPr>
                          <w:noProof/>
                        </w:rPr>
                        <w:drawing>
                          <wp:inline distT="0" distB="0" distL="0" distR="0" wp14:anchorId="1C4CC049" wp14:editId="07A29B46">
                            <wp:extent cx="2477302" cy="702310"/>
                            <wp:effectExtent l="0" t="0" r="0" b="2540"/>
                            <wp:docPr id="1" name="Bild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4" descr="SBPV - Schweizerischer Bankpersonalverba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0162" cy="7031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E9B3281" w14:textId="77777777" w:rsidR="00C94CF7" w:rsidRPr="001C3BDE" w:rsidRDefault="00C94CF7" w:rsidP="008F6D24">
      <w:pPr>
        <w:tabs>
          <w:tab w:val="left" w:pos="3300"/>
        </w:tabs>
        <w:spacing w:line="240" w:lineRule="auto"/>
        <w:rPr>
          <w:rFonts w:ascii="Arial" w:hAnsi="Arial" w:cs="Arial"/>
          <w:sz w:val="23"/>
          <w:szCs w:val="23"/>
          <w:lang w:val="de-CH"/>
        </w:rPr>
      </w:pPr>
    </w:p>
    <w:p w14:paraId="12ED5110" w14:textId="77777777" w:rsidR="00C94CF7" w:rsidRPr="001C3BDE" w:rsidRDefault="008F6D24" w:rsidP="008F6D24">
      <w:pPr>
        <w:spacing w:after="120" w:line="24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/>
          <w:b/>
          <w:sz w:val="23"/>
          <w:szCs w:val="23"/>
        </w:rPr>
        <w:t>Communiqué de presse</w:t>
      </w:r>
    </w:p>
    <w:p w14:paraId="354B9041" w14:textId="77777777" w:rsidR="000B23DD" w:rsidRDefault="000B23DD" w:rsidP="008F6D24">
      <w:pPr>
        <w:spacing w:line="240" w:lineRule="auto"/>
        <w:rPr>
          <w:rFonts w:ascii="Arial" w:hAnsi="Arial" w:cs="Arial"/>
          <w:b/>
          <w:sz w:val="28"/>
          <w:szCs w:val="28"/>
          <w:lang w:val="de-CH"/>
        </w:rPr>
      </w:pPr>
    </w:p>
    <w:p w14:paraId="2EE9E55B" w14:textId="77777777" w:rsidR="00B022E7" w:rsidRDefault="002160A9" w:rsidP="008F6D24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L’employabilité et les collaborateurs plus âgés au centre des négociations CCT du secteur bancaire</w:t>
      </w:r>
    </w:p>
    <w:p w14:paraId="5E10A26F" w14:textId="77777777" w:rsidR="000B23DD" w:rsidRDefault="000B23DD" w:rsidP="004B3637">
      <w:pPr>
        <w:pStyle w:val="Default"/>
        <w:rPr>
          <w:rFonts w:ascii="Arial" w:hAnsi="Arial" w:cs="Arial"/>
          <w:i/>
          <w:sz w:val="22"/>
          <w:szCs w:val="22"/>
          <w:lang w:val="de-CH"/>
        </w:rPr>
      </w:pPr>
    </w:p>
    <w:p w14:paraId="3F345604" w14:textId="122DF69A" w:rsidR="004F6F11" w:rsidRDefault="00B022E7" w:rsidP="004B3637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/>
          <w:i/>
          <w:sz w:val="22"/>
          <w:szCs w:val="22"/>
        </w:rPr>
        <w:t>Zurich/Bâle, 6.6.2019.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bCs/>
          <w:sz w:val="23"/>
          <w:szCs w:val="23"/>
        </w:rPr>
        <w:t>Dans le cadre des négociations sur leur convention collective</w:t>
      </w:r>
      <w:r w:rsidR="00526D36">
        <w:rPr>
          <w:rFonts w:ascii="Arial" w:hAnsi="Arial"/>
          <w:b/>
          <w:bCs/>
          <w:sz w:val="23"/>
          <w:szCs w:val="23"/>
        </w:rPr>
        <w:t xml:space="preserve"> de travail</w:t>
      </w:r>
      <w:r>
        <w:rPr>
          <w:rFonts w:ascii="Arial" w:hAnsi="Arial"/>
          <w:b/>
          <w:bCs/>
          <w:sz w:val="23"/>
          <w:szCs w:val="23"/>
        </w:rPr>
        <w:t xml:space="preserve">, les partenaires sociaux du secteur bancaire se sont mis d’accord sur différentes modifications à apporter à la Convention relative aux conditions de travail du personnel bancaire (CPB). Celles-ci concernent en premier lieu le maintien et l’encouragement de l’employabilité du personnel </w:t>
      </w:r>
      <w:r w:rsidR="00526D36">
        <w:rPr>
          <w:rFonts w:ascii="Arial" w:hAnsi="Arial"/>
          <w:b/>
          <w:bCs/>
          <w:sz w:val="23"/>
          <w:szCs w:val="23"/>
        </w:rPr>
        <w:t>bancaire</w:t>
      </w:r>
      <w:r>
        <w:rPr>
          <w:rFonts w:ascii="Arial" w:hAnsi="Arial"/>
          <w:b/>
          <w:bCs/>
          <w:sz w:val="23"/>
          <w:szCs w:val="23"/>
        </w:rPr>
        <w:t xml:space="preserve"> et la protection des collaborateurs plus âgés. </w:t>
      </w:r>
    </w:p>
    <w:p w14:paraId="55D49B30" w14:textId="77777777" w:rsidR="004B3637" w:rsidRDefault="004B3637" w:rsidP="004B3637">
      <w:pPr>
        <w:pStyle w:val="Default"/>
        <w:rPr>
          <w:rFonts w:ascii="Arial" w:hAnsi="Arial" w:cs="Arial"/>
          <w:lang w:val="de-CH"/>
        </w:rPr>
      </w:pPr>
    </w:p>
    <w:p w14:paraId="58526211" w14:textId="32697B01" w:rsidR="008339E8" w:rsidRDefault="00526D36" w:rsidP="008F6D24">
      <w:pPr>
        <w:spacing w:line="240" w:lineRule="auto"/>
        <w:rPr>
          <w:rFonts w:ascii="Arial" w:hAnsi="Arial" w:cs="Arial"/>
        </w:rPr>
      </w:pPr>
      <w:r>
        <w:rPr>
          <w:rFonts w:ascii="Arial" w:hAnsi="Arial"/>
        </w:rPr>
        <w:t>Afin de faire face</w:t>
      </w:r>
      <w:r w:rsidR="00764D22">
        <w:rPr>
          <w:rFonts w:ascii="Arial" w:hAnsi="Arial"/>
        </w:rPr>
        <w:t xml:space="preserve"> aux exigences</w:t>
      </w:r>
      <w:r>
        <w:rPr>
          <w:rFonts w:ascii="Arial" w:hAnsi="Arial"/>
        </w:rPr>
        <w:t xml:space="preserve"> toujours plus</w:t>
      </w:r>
      <w:r w:rsidR="00764D22">
        <w:rPr>
          <w:rFonts w:ascii="Arial" w:hAnsi="Arial"/>
        </w:rPr>
        <w:t xml:space="preserve"> complexe</w:t>
      </w:r>
      <w:r>
        <w:rPr>
          <w:rFonts w:ascii="Arial" w:hAnsi="Arial"/>
        </w:rPr>
        <w:t>s du marché de l’emploi</w:t>
      </w:r>
      <w:r w:rsidR="00764D22">
        <w:rPr>
          <w:rFonts w:ascii="Arial" w:hAnsi="Arial"/>
        </w:rPr>
        <w:t>, tous les acteurs du secteur bancaire doivent savoir quelles compétences fondamentales feront</w:t>
      </w:r>
      <w:r>
        <w:rPr>
          <w:rFonts w:ascii="Arial" w:hAnsi="Arial"/>
        </w:rPr>
        <w:t>, au futur,</w:t>
      </w:r>
      <w:r w:rsidR="00764D22">
        <w:rPr>
          <w:rFonts w:ascii="Arial" w:hAnsi="Arial"/>
        </w:rPr>
        <w:t xml:space="preserve"> la différence. Donner cette conscience aux collaborateurs et les aider à traverser la transition technologique, économique et démographique tout en les assistant dans leur formation continue est au cœur des préoccupations des </w:t>
      </w:r>
      <w:r>
        <w:rPr>
          <w:rFonts w:ascii="Arial" w:hAnsi="Arial"/>
        </w:rPr>
        <w:t>employeurs et des employés, et</w:t>
      </w:r>
      <w:r w:rsidR="00764D22">
        <w:rPr>
          <w:rFonts w:ascii="Arial" w:hAnsi="Arial"/>
        </w:rPr>
        <w:t xml:space="preserve"> également des partenaires sociaux.  </w:t>
      </w:r>
    </w:p>
    <w:p w14:paraId="6B891A03" w14:textId="56799393" w:rsidR="00FC04DC" w:rsidRDefault="00C52069" w:rsidP="008F6D24">
      <w:pPr>
        <w:spacing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L’Association suisse des employés de banque, la Société des employés de commerce et Employeurs Banques ont par conséquent </w:t>
      </w:r>
      <w:r w:rsidR="00526D36">
        <w:rPr>
          <w:rFonts w:ascii="Arial" w:hAnsi="Arial"/>
        </w:rPr>
        <w:t>inscrit</w:t>
      </w:r>
      <w:r>
        <w:rPr>
          <w:rFonts w:ascii="Arial" w:hAnsi="Arial"/>
        </w:rPr>
        <w:t xml:space="preserve"> l’employabilité du personnel bancaire </w:t>
      </w:r>
      <w:r w:rsidR="00526D36">
        <w:rPr>
          <w:rFonts w:ascii="Arial" w:hAnsi="Arial"/>
        </w:rPr>
        <w:t xml:space="preserve">au </w:t>
      </w:r>
      <w:r w:rsidR="00526D36" w:rsidRPr="00526D36">
        <w:rPr>
          <w:rFonts w:ascii="Arial" w:hAnsi="Arial"/>
        </w:rPr>
        <w:t>cœur</w:t>
      </w:r>
      <w:r w:rsidR="00526D36">
        <w:rPr>
          <w:rFonts w:ascii="Arial" w:hAnsi="Arial"/>
        </w:rPr>
        <w:t xml:space="preserve"> </w:t>
      </w:r>
      <w:r>
        <w:rPr>
          <w:rFonts w:ascii="Arial" w:hAnsi="Arial"/>
        </w:rPr>
        <w:t xml:space="preserve">des négociations CCT de cette année. </w:t>
      </w:r>
      <w:r w:rsidR="00526D36">
        <w:rPr>
          <w:rFonts w:ascii="Arial" w:hAnsi="Arial"/>
        </w:rPr>
        <w:t xml:space="preserve">Et ceci pour l’ensemble du secteur. </w:t>
      </w:r>
      <w:r>
        <w:rPr>
          <w:rFonts w:ascii="Arial" w:hAnsi="Arial"/>
        </w:rPr>
        <w:t xml:space="preserve">Désormais, la CPB stipule que les banques proposent des entretiens de développement professionnel réguliers à leurs collaborateurs. Ces entretiens servent à faire le point sur l’employabilité et à déterminer les mesures qui s’imposent en termes de développement des compétences et de formation continue. </w:t>
      </w:r>
    </w:p>
    <w:p w14:paraId="05B7DE41" w14:textId="0C26A84D" w:rsidR="00764D22" w:rsidRDefault="008339E8" w:rsidP="008F6D24">
      <w:pPr>
        <w:spacing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Dans ce contexte, les partenaires sociaux du secteur bancaire lanceront à l’automne 2019 une campagne commune axée sur la sensibilisation et l’incitation de tous les acteurs du secteur bancaire à </w:t>
      </w:r>
      <w:r w:rsidR="00526D36">
        <w:rPr>
          <w:rFonts w:ascii="Arial" w:hAnsi="Arial"/>
        </w:rPr>
        <w:t xml:space="preserve">se pencher </w:t>
      </w:r>
      <w:r>
        <w:rPr>
          <w:rFonts w:ascii="Arial" w:hAnsi="Arial"/>
        </w:rPr>
        <w:t>sur leur employabilité de base. La campagne comprend une auto-évaluation librement accessible et 100% anonyme qui s’appuie sur des comp</w:t>
      </w:r>
      <w:r w:rsidR="00B13AB3">
        <w:rPr>
          <w:rFonts w:ascii="Arial" w:hAnsi="Arial"/>
        </w:rPr>
        <w:t xml:space="preserve">étences élémentaires et de </w:t>
      </w:r>
      <w:proofErr w:type="gramStart"/>
      <w:r w:rsidR="00B13AB3">
        <w:rPr>
          <w:rFonts w:ascii="Arial" w:hAnsi="Arial"/>
        </w:rPr>
        <w:t xml:space="preserve">base </w:t>
      </w:r>
      <w:r>
        <w:rPr>
          <w:rFonts w:ascii="Arial" w:hAnsi="Arial"/>
        </w:rPr>
        <w:t>définies</w:t>
      </w:r>
      <w:proofErr w:type="gramEnd"/>
      <w:r>
        <w:rPr>
          <w:rFonts w:ascii="Arial" w:hAnsi="Arial"/>
        </w:rPr>
        <w:t xml:space="preserve">. </w:t>
      </w:r>
    </w:p>
    <w:p w14:paraId="79D60C25" w14:textId="081BECB0" w:rsidR="002144CD" w:rsidRDefault="00764D22" w:rsidP="002144CD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Les négociations ont également abouti à l’introduction d’un</w:t>
      </w:r>
      <w:r w:rsidR="00B13AB3">
        <w:rPr>
          <w:rFonts w:ascii="Arial" w:hAnsi="Arial"/>
        </w:rPr>
        <w:t>e</w:t>
      </w:r>
      <w:r>
        <w:rPr>
          <w:rFonts w:ascii="Arial" w:hAnsi="Arial"/>
        </w:rPr>
        <w:t xml:space="preserve"> </w:t>
      </w:r>
      <w:r w:rsidR="00526D36">
        <w:rPr>
          <w:rFonts w:ascii="Arial" w:hAnsi="Arial"/>
        </w:rPr>
        <w:t>Commission permanente</w:t>
      </w:r>
      <w:r>
        <w:rPr>
          <w:rFonts w:ascii="Arial" w:hAnsi="Arial"/>
        </w:rPr>
        <w:t xml:space="preserve"> de</w:t>
      </w:r>
      <w:r w:rsidR="00526D36">
        <w:rPr>
          <w:rFonts w:ascii="Arial" w:hAnsi="Arial"/>
        </w:rPr>
        <w:t>s</w:t>
      </w:r>
      <w:r>
        <w:rPr>
          <w:rFonts w:ascii="Arial" w:hAnsi="Arial"/>
        </w:rPr>
        <w:t xml:space="preserve"> partenaires sociaux </w:t>
      </w:r>
      <w:r w:rsidR="00526D36">
        <w:rPr>
          <w:rFonts w:ascii="Arial" w:hAnsi="Arial"/>
        </w:rPr>
        <w:t xml:space="preserve">traitant </w:t>
      </w:r>
      <w:r>
        <w:rPr>
          <w:rFonts w:ascii="Arial" w:hAnsi="Arial"/>
        </w:rPr>
        <w:t xml:space="preserve">de l’employabilité </w:t>
      </w:r>
      <w:r w:rsidR="00526D36">
        <w:rPr>
          <w:rFonts w:ascii="Arial" w:hAnsi="Arial"/>
        </w:rPr>
        <w:t>et des collaborateurs plus âgés. Elle</w:t>
      </w:r>
      <w:r>
        <w:rPr>
          <w:rFonts w:ascii="Arial" w:hAnsi="Arial"/>
        </w:rPr>
        <w:t xml:space="preserve"> aura pour mission d’observer la situation dans le secteur bancaire et, au besoin, d</w:t>
      </w:r>
      <w:r w:rsidR="00526D36">
        <w:rPr>
          <w:rFonts w:ascii="Arial" w:hAnsi="Arial"/>
        </w:rPr>
        <w:t>e proposer les mesures adéquates</w:t>
      </w:r>
      <w:r>
        <w:rPr>
          <w:rFonts w:ascii="Arial" w:hAnsi="Arial"/>
        </w:rPr>
        <w:t xml:space="preserve">.    </w:t>
      </w:r>
    </w:p>
    <w:p w14:paraId="239CF1E9" w14:textId="77777777" w:rsidR="000B23DD" w:rsidRDefault="000B23DD" w:rsidP="002144CD">
      <w:pPr>
        <w:spacing w:after="0" w:line="240" w:lineRule="auto"/>
        <w:rPr>
          <w:rFonts w:ascii="Arial" w:hAnsi="Arial" w:cs="Arial"/>
          <w:lang w:val="de-CH"/>
        </w:rPr>
      </w:pPr>
    </w:p>
    <w:p w14:paraId="56F944E5" w14:textId="389BDB3D" w:rsidR="002144CD" w:rsidRDefault="002144CD" w:rsidP="002144CD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La CPB souligne en outre </w:t>
      </w:r>
      <w:r w:rsidR="00526D36">
        <w:rPr>
          <w:rFonts w:ascii="Arial" w:hAnsi="Arial"/>
        </w:rPr>
        <w:t>l’importance des</w:t>
      </w:r>
      <w:r>
        <w:rPr>
          <w:rFonts w:ascii="Arial" w:hAnsi="Arial"/>
        </w:rPr>
        <w:t xml:space="preserve"> collaborateurs plus âgés</w:t>
      </w:r>
      <w:r w:rsidR="00526D36">
        <w:rPr>
          <w:rFonts w:ascii="Arial" w:hAnsi="Arial"/>
        </w:rPr>
        <w:t>, qui sont de réelles mines d’expérience et de connaissance</w:t>
      </w:r>
      <w:r>
        <w:rPr>
          <w:rFonts w:ascii="Arial" w:hAnsi="Arial"/>
        </w:rPr>
        <w:t xml:space="preserve">, et concrétise l’obligation de diligence accrue des banques à leur égard. Les banques soumises à la CPB offrent ainsi aux collaborateurs plus âgés </w:t>
      </w:r>
      <w:r w:rsidR="00B13AB3">
        <w:rPr>
          <w:rFonts w:ascii="Arial" w:hAnsi="Arial"/>
        </w:rPr>
        <w:t>et aux collaborateurs de longue date la possibilité de discuter de nouvelles</w:t>
      </w:r>
      <w:r>
        <w:rPr>
          <w:rFonts w:ascii="Arial" w:hAnsi="Arial"/>
        </w:rPr>
        <w:t xml:space="preserve"> possibilités d’emploi dans le cadre des entretiens de développement professionnel et d’évaluer les alternatives en cas de résiliation de leur contrat. </w:t>
      </w:r>
      <w:r w:rsidR="00B13AB3">
        <w:rPr>
          <w:rFonts w:ascii="Arial" w:hAnsi="Arial"/>
        </w:rPr>
        <w:t>En cas de licenciement, les collaborateurs seront</w:t>
      </w:r>
      <w:r>
        <w:rPr>
          <w:rFonts w:ascii="Arial" w:hAnsi="Arial"/>
        </w:rPr>
        <w:t xml:space="preserve"> pré-informés</w:t>
      </w:r>
      <w:r w:rsidR="00B13AB3">
        <w:rPr>
          <w:rFonts w:ascii="Arial" w:hAnsi="Arial"/>
        </w:rPr>
        <w:t xml:space="preserve"> à temps</w:t>
      </w:r>
      <w:r>
        <w:rPr>
          <w:rFonts w:ascii="Arial" w:hAnsi="Arial"/>
        </w:rPr>
        <w:t xml:space="preserve">, et entendus au préalable. </w:t>
      </w:r>
    </w:p>
    <w:p w14:paraId="33D4E972" w14:textId="77777777" w:rsidR="002144CD" w:rsidRDefault="002144CD" w:rsidP="002144CD">
      <w:pPr>
        <w:spacing w:after="0" w:line="240" w:lineRule="auto"/>
        <w:rPr>
          <w:rFonts w:ascii="Arial" w:hAnsi="Arial" w:cs="Arial"/>
          <w:lang w:val="de-CH"/>
        </w:rPr>
      </w:pPr>
    </w:p>
    <w:p w14:paraId="552F8C85" w14:textId="55965314" w:rsidR="00FD6D0D" w:rsidRDefault="0015531B" w:rsidP="008F6D24">
      <w:pPr>
        <w:spacing w:line="240" w:lineRule="auto"/>
        <w:rPr>
          <w:rFonts w:ascii="Arial" w:hAnsi="Arial" w:cs="Arial"/>
        </w:rPr>
      </w:pPr>
      <w:r>
        <w:rPr>
          <w:rFonts w:ascii="Arial" w:hAnsi="Arial"/>
        </w:rPr>
        <w:lastRenderedPageBreak/>
        <w:t>Les thématiques abordées lors de</w:t>
      </w:r>
      <w:r w:rsidR="00B13AB3">
        <w:rPr>
          <w:rFonts w:ascii="Arial" w:hAnsi="Arial"/>
        </w:rPr>
        <w:t xml:space="preserve"> ces</w:t>
      </w:r>
      <w:r>
        <w:rPr>
          <w:rFonts w:ascii="Arial" w:hAnsi="Arial"/>
        </w:rPr>
        <w:t xml:space="preserve"> négociations confortent les partenaires sociaux dans leur volonté de renforcer l’employabilité des collaborateurs. Il s’agit là d’une responsabilité </w:t>
      </w:r>
      <w:r w:rsidR="00B13AB3">
        <w:rPr>
          <w:rFonts w:ascii="Arial" w:hAnsi="Arial"/>
        </w:rPr>
        <w:t xml:space="preserve">commune aux employeurs et aux employés </w:t>
      </w:r>
      <w:r>
        <w:rPr>
          <w:rFonts w:ascii="Arial" w:hAnsi="Arial"/>
        </w:rPr>
        <w:t xml:space="preserve">et qui tient compte des </w:t>
      </w:r>
      <w:r w:rsidR="00B13AB3">
        <w:rPr>
          <w:rFonts w:ascii="Arial" w:hAnsi="Arial"/>
        </w:rPr>
        <w:t xml:space="preserve">spécificités des </w:t>
      </w:r>
      <w:r>
        <w:rPr>
          <w:rFonts w:ascii="Arial" w:hAnsi="Arial"/>
        </w:rPr>
        <w:t xml:space="preserve">divers établissements du secteur bancaire. Outre les entreprises et les partenaires sociaux, </w:t>
      </w:r>
      <w:r w:rsidR="00B13AB3">
        <w:rPr>
          <w:rFonts w:ascii="Arial" w:hAnsi="Arial"/>
        </w:rPr>
        <w:t>la politique</w:t>
      </w:r>
      <w:r>
        <w:rPr>
          <w:rFonts w:ascii="Arial" w:hAnsi="Arial"/>
        </w:rPr>
        <w:t xml:space="preserve"> et les autorités</w:t>
      </w:r>
      <w:r w:rsidR="00B13AB3">
        <w:rPr>
          <w:rFonts w:ascii="Arial" w:hAnsi="Arial"/>
        </w:rPr>
        <w:t xml:space="preserve"> publiques sont également</w:t>
      </w:r>
      <w:r>
        <w:rPr>
          <w:rFonts w:ascii="Arial" w:hAnsi="Arial"/>
        </w:rPr>
        <w:t xml:space="preserve"> appelés, dans leurs domaines de compétences respectifs, à prendre des mesures efficaces. Les partenaires sociaux </w:t>
      </w:r>
      <w:r w:rsidR="00B13AB3">
        <w:rPr>
          <w:rFonts w:ascii="Arial" w:hAnsi="Arial"/>
        </w:rPr>
        <w:t>du secteur bancaire saluent ainsi</w:t>
      </w:r>
      <w:r>
        <w:rPr>
          <w:rFonts w:ascii="Arial" w:hAnsi="Arial"/>
        </w:rPr>
        <w:t xml:space="preserve"> la série de mesures présentée par le Conseil fédéral à la mi-mai et qui vise précisément à encourager le potentiel de main-d'œuvre indigène, notamment en ce qui concerne l’employabili</w:t>
      </w:r>
      <w:r w:rsidR="00B13AB3">
        <w:rPr>
          <w:rFonts w:ascii="Arial" w:hAnsi="Arial"/>
        </w:rPr>
        <w:t>té et les collaborateurs plus âgés</w:t>
      </w:r>
      <w:r>
        <w:rPr>
          <w:rFonts w:ascii="Arial" w:hAnsi="Arial"/>
        </w:rPr>
        <w:t xml:space="preserve">.  </w:t>
      </w:r>
    </w:p>
    <w:p w14:paraId="1C2EA369" w14:textId="77777777" w:rsidR="009F5A87" w:rsidRDefault="009F5A87" w:rsidP="008F6D24">
      <w:pPr>
        <w:spacing w:line="240" w:lineRule="auto"/>
        <w:rPr>
          <w:rFonts w:ascii="Arial" w:hAnsi="Arial" w:cs="Arial"/>
          <w:lang w:val="de-CH"/>
        </w:rPr>
      </w:pPr>
    </w:p>
    <w:p w14:paraId="443FA57F" w14:textId="78D114E7" w:rsidR="009F5A87" w:rsidRPr="005516A2" w:rsidRDefault="00B13AB3" w:rsidP="009F5A8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Pour de plus amples </w:t>
      </w:r>
      <w:proofErr w:type="gramStart"/>
      <w:r>
        <w:rPr>
          <w:rFonts w:ascii="Arial" w:hAnsi="Arial"/>
          <w:b/>
        </w:rPr>
        <w:t>informations</w:t>
      </w:r>
      <w:r w:rsidR="009F5A87">
        <w:rPr>
          <w:rFonts w:ascii="Arial" w:hAnsi="Arial"/>
          <w:b/>
        </w:rPr>
        <w:t>:</w:t>
      </w:r>
      <w:proofErr w:type="gramEnd"/>
    </w:p>
    <w:p w14:paraId="58BCD55F" w14:textId="11FBE8B5" w:rsidR="001D4CB3" w:rsidRDefault="001D4CB3" w:rsidP="001D4CB3">
      <w:pPr>
        <w:pStyle w:val="Listenabsatz"/>
        <w:numPr>
          <w:ilvl w:val="3"/>
          <w:numId w:val="5"/>
        </w:numPr>
        <w:spacing w:after="0" w:line="240" w:lineRule="auto"/>
        <w:ind w:left="426" w:hanging="284"/>
        <w:rPr>
          <w:rFonts w:ascii="Arial" w:hAnsi="Arial" w:cs="Arial"/>
        </w:rPr>
      </w:pPr>
      <w:r>
        <w:rPr>
          <w:rFonts w:ascii="Arial" w:hAnsi="Arial"/>
        </w:rPr>
        <w:t xml:space="preserve">Denise Chervet, directrice de l’Association suisse des employés de banque, </w:t>
      </w:r>
    </w:p>
    <w:p w14:paraId="5F528E5A" w14:textId="77777777" w:rsidR="003221BD" w:rsidRDefault="003221BD" w:rsidP="003221BD">
      <w:pPr>
        <w:pStyle w:val="Listenabsatz"/>
        <w:spacing w:after="0" w:line="240" w:lineRule="auto"/>
        <w:ind w:left="426"/>
        <w:rPr>
          <w:rFonts w:ascii="Arial" w:hAnsi="Arial" w:cs="Arial"/>
        </w:rPr>
      </w:pPr>
      <w:proofErr w:type="gramStart"/>
      <w:r>
        <w:rPr>
          <w:rFonts w:ascii="Arial" w:hAnsi="Arial"/>
        </w:rPr>
        <w:t>E-mail:</w:t>
      </w:r>
      <w:proofErr w:type="gramEnd"/>
      <w:r>
        <w:rPr>
          <w:rFonts w:ascii="Arial" w:hAnsi="Arial"/>
        </w:rPr>
        <w:t xml:space="preserve"> </w:t>
      </w:r>
      <w:hyperlink r:id="rId10" w:history="1">
        <w:r>
          <w:rPr>
            <w:rStyle w:val="Hyperlink"/>
            <w:rFonts w:ascii="Arial" w:hAnsi="Arial"/>
          </w:rPr>
          <w:t>denise.chervet@sbpv.ch</w:t>
        </w:r>
      </w:hyperlink>
      <w:r>
        <w:rPr>
          <w:rFonts w:ascii="Arial" w:hAnsi="Arial"/>
        </w:rPr>
        <w:t xml:space="preserve">, Tél.: +41 79 40 892 40 </w:t>
      </w:r>
    </w:p>
    <w:p w14:paraId="7D2C01A9" w14:textId="1F6BF5DA" w:rsidR="009F5A87" w:rsidRDefault="00C03E0F" w:rsidP="009F5A87">
      <w:pPr>
        <w:pStyle w:val="Listenabsatz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/>
        </w:rPr>
        <w:t xml:space="preserve">Emily Unser, </w:t>
      </w:r>
      <w:r w:rsidR="004B1F51">
        <w:rPr>
          <w:rFonts w:ascii="Arial" w:hAnsi="Arial"/>
        </w:rPr>
        <w:t>Relations Presse et Relations Publiques</w:t>
      </w:r>
      <w:r>
        <w:rPr>
          <w:rFonts w:ascii="Arial" w:hAnsi="Arial"/>
        </w:rPr>
        <w:t xml:space="preserve"> de la Société des employés de commerce,</w:t>
      </w:r>
    </w:p>
    <w:p w14:paraId="1C48B0F9" w14:textId="77777777" w:rsidR="003221BD" w:rsidRPr="005516A2" w:rsidRDefault="003221BD" w:rsidP="009F5A87">
      <w:pPr>
        <w:pStyle w:val="Listenabsatz"/>
        <w:spacing w:after="0" w:line="240" w:lineRule="auto"/>
        <w:ind w:left="426"/>
        <w:rPr>
          <w:rFonts w:ascii="Arial" w:hAnsi="Arial" w:cs="Arial"/>
        </w:rPr>
      </w:pPr>
      <w:proofErr w:type="gramStart"/>
      <w:r>
        <w:rPr>
          <w:rFonts w:ascii="Arial" w:hAnsi="Arial"/>
        </w:rPr>
        <w:t>E-mail:</w:t>
      </w:r>
      <w:proofErr w:type="gramEnd"/>
      <w:r>
        <w:rPr>
          <w:rFonts w:ascii="Arial" w:hAnsi="Arial"/>
        </w:rPr>
        <w:t xml:space="preserve"> </w:t>
      </w:r>
      <w:hyperlink r:id="rId11" w:history="1">
        <w:r>
          <w:rPr>
            <w:rStyle w:val="Hyperlink"/>
            <w:rFonts w:ascii="Arial" w:hAnsi="Arial"/>
          </w:rPr>
          <w:t>emily.unser@kfmv.ch</w:t>
        </w:r>
      </w:hyperlink>
      <w:r>
        <w:rPr>
          <w:rFonts w:ascii="Arial" w:hAnsi="Arial"/>
        </w:rPr>
        <w:t>, Tél.: +41 44 283 45 60</w:t>
      </w:r>
    </w:p>
    <w:p w14:paraId="2BBA0E9C" w14:textId="77777777" w:rsidR="009F5A87" w:rsidRDefault="009F5A87" w:rsidP="008F6D24">
      <w:pPr>
        <w:pStyle w:val="Listenabsatz"/>
        <w:numPr>
          <w:ilvl w:val="3"/>
          <w:numId w:val="5"/>
        </w:numPr>
        <w:spacing w:after="0" w:line="240" w:lineRule="auto"/>
        <w:ind w:left="426" w:hanging="284"/>
        <w:rPr>
          <w:rFonts w:ascii="Arial" w:hAnsi="Arial" w:cs="Arial"/>
        </w:rPr>
      </w:pPr>
      <w:proofErr w:type="spellStart"/>
      <w:r>
        <w:rPr>
          <w:rFonts w:ascii="Arial" w:hAnsi="Arial"/>
        </w:rPr>
        <w:t>Balz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Stückelberger</w:t>
      </w:r>
      <w:proofErr w:type="spellEnd"/>
      <w:r>
        <w:rPr>
          <w:rFonts w:ascii="Arial" w:hAnsi="Arial"/>
        </w:rPr>
        <w:t xml:space="preserve">, directeur d’Employeurs Banques, </w:t>
      </w:r>
    </w:p>
    <w:p w14:paraId="1BCF3B75" w14:textId="77777777" w:rsidR="005516A2" w:rsidRDefault="003221BD" w:rsidP="009F5A87">
      <w:pPr>
        <w:pStyle w:val="Listenabsatz"/>
        <w:spacing w:after="0" w:line="240" w:lineRule="auto"/>
        <w:ind w:left="426"/>
        <w:rPr>
          <w:rFonts w:ascii="Arial" w:hAnsi="Arial" w:cs="Arial"/>
        </w:rPr>
      </w:pPr>
      <w:proofErr w:type="gramStart"/>
      <w:r>
        <w:rPr>
          <w:rFonts w:ascii="Arial" w:hAnsi="Arial"/>
        </w:rPr>
        <w:t>E-mail:</w:t>
      </w:r>
      <w:proofErr w:type="gramEnd"/>
      <w:r>
        <w:rPr>
          <w:rFonts w:ascii="Arial" w:hAnsi="Arial"/>
        </w:rPr>
        <w:t xml:space="preserve"> </w:t>
      </w:r>
      <w:hyperlink r:id="rId12" w:history="1">
        <w:r>
          <w:rPr>
            <w:rStyle w:val="Hyperlink"/>
            <w:rFonts w:ascii="Arial" w:hAnsi="Arial"/>
          </w:rPr>
          <w:t>balz.stueckelberger@arbeitgeber-banken.ch</w:t>
        </w:r>
      </w:hyperlink>
      <w:r>
        <w:rPr>
          <w:rFonts w:ascii="Arial" w:hAnsi="Arial"/>
        </w:rPr>
        <w:t>, Tél.: +41 79 628 20 28</w:t>
      </w:r>
    </w:p>
    <w:p w14:paraId="7828C799" w14:textId="77777777" w:rsidR="009F5A87" w:rsidRDefault="009F5A87" w:rsidP="009F5A87">
      <w:pPr>
        <w:pStyle w:val="Listenabsatz"/>
        <w:spacing w:after="0" w:line="240" w:lineRule="auto"/>
        <w:ind w:left="426"/>
        <w:rPr>
          <w:rFonts w:ascii="Arial" w:hAnsi="Arial" w:cs="Arial"/>
          <w:lang w:val="de-CH"/>
        </w:rPr>
      </w:pPr>
    </w:p>
    <w:p w14:paraId="4F7E3F74" w14:textId="77777777" w:rsidR="009F5A87" w:rsidRPr="009F5A87" w:rsidRDefault="009F5A87" w:rsidP="009F5A87">
      <w:pPr>
        <w:pStyle w:val="Listenabsatz"/>
        <w:spacing w:after="0" w:line="240" w:lineRule="auto"/>
        <w:ind w:left="426"/>
        <w:rPr>
          <w:rFonts w:ascii="Arial" w:hAnsi="Arial" w:cs="Arial"/>
          <w:lang w:val="de-CH"/>
        </w:rPr>
      </w:pPr>
    </w:p>
    <w:p w14:paraId="39551D2F" w14:textId="2FA257E4" w:rsidR="000B0B06" w:rsidRPr="001C3BDE" w:rsidRDefault="000B0B06" w:rsidP="008F6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Dans le secteur bancaire, le partenariat social est à l’honneur depuis 1920. L’Association suisse des employés de banque, la Société des employés de commerce et Employeurs Banques sont des partenaires socia</w:t>
      </w:r>
      <w:r w:rsidR="004B1F51">
        <w:rPr>
          <w:rFonts w:ascii="Arial" w:hAnsi="Arial"/>
          <w:sz w:val="20"/>
          <w:szCs w:val="20"/>
        </w:rPr>
        <w:t>ux. Ils promeuvent ensemble la</w:t>
      </w:r>
      <w:proofErr w:type="gramStart"/>
      <w:r w:rsidR="004B1F51">
        <w:rPr>
          <w:rFonts w:ascii="Arial" w:hAnsi="Arial"/>
          <w:sz w:val="20"/>
          <w:szCs w:val="20"/>
        </w:rPr>
        <w:t xml:space="preserve"> «</w:t>
      </w:r>
      <w:r>
        <w:rPr>
          <w:rFonts w:ascii="Arial" w:hAnsi="Arial"/>
          <w:sz w:val="20"/>
          <w:szCs w:val="20"/>
        </w:rPr>
        <w:t>Convention</w:t>
      </w:r>
      <w:proofErr w:type="gramEnd"/>
      <w:r>
        <w:rPr>
          <w:rFonts w:ascii="Arial" w:hAnsi="Arial"/>
          <w:sz w:val="20"/>
          <w:szCs w:val="20"/>
        </w:rPr>
        <w:t xml:space="preserve"> relative aux conditions de travail du personnel bancaire» (CPB). 46 banq</w:t>
      </w:r>
      <w:bookmarkStart w:id="0" w:name="_GoBack"/>
      <w:bookmarkEnd w:id="0"/>
      <w:r>
        <w:rPr>
          <w:rFonts w:ascii="Arial" w:hAnsi="Arial"/>
          <w:sz w:val="20"/>
          <w:szCs w:val="20"/>
        </w:rPr>
        <w:t>ues, soit un total de 60 000 collaborateurs, sont soumises à la CPB.</w:t>
      </w:r>
    </w:p>
    <w:sectPr w:rsidR="000B0B06" w:rsidRPr="001C3BDE" w:rsidSect="00FB166A">
      <w:footerReference w:type="default" r:id="rId13"/>
      <w:headerReference w:type="first" r:id="rId14"/>
      <w:footerReference w:type="first" r:id="rId15"/>
      <w:pgSz w:w="11906" w:h="16838"/>
      <w:pgMar w:top="184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941DE" w14:textId="77777777" w:rsidR="008A306F" w:rsidRDefault="008A306F" w:rsidP="00855389">
      <w:pPr>
        <w:spacing w:after="0" w:line="240" w:lineRule="auto"/>
      </w:pPr>
      <w:r>
        <w:separator/>
      </w:r>
    </w:p>
  </w:endnote>
  <w:endnote w:type="continuationSeparator" w:id="0">
    <w:p w14:paraId="4C81465B" w14:textId="77777777" w:rsidR="008A306F" w:rsidRDefault="008A306F" w:rsidP="00855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02271" w14:textId="77777777" w:rsidR="001C3BDE" w:rsidRDefault="001C3BDE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0D95">
      <w:t>2</w:t>
    </w:r>
    <w:r>
      <w:fldChar w:fldCharType="end"/>
    </w:r>
  </w:p>
  <w:p w14:paraId="2EE6455C" w14:textId="77777777" w:rsidR="001C3BDE" w:rsidRDefault="001C3B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FD4C8" w14:textId="77777777" w:rsidR="001C3BDE" w:rsidRDefault="001C3BDE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0D95">
      <w:t>1</w:t>
    </w:r>
    <w:r>
      <w:fldChar w:fldCharType="end"/>
    </w:r>
  </w:p>
  <w:p w14:paraId="0362C26B" w14:textId="77777777" w:rsidR="001C3BDE" w:rsidRDefault="001C3B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48B08" w14:textId="77777777" w:rsidR="008A306F" w:rsidRDefault="008A306F" w:rsidP="00855389">
      <w:pPr>
        <w:spacing w:after="0" w:line="240" w:lineRule="auto"/>
      </w:pPr>
      <w:r>
        <w:separator/>
      </w:r>
    </w:p>
  </w:footnote>
  <w:footnote w:type="continuationSeparator" w:id="0">
    <w:p w14:paraId="58DC3AC6" w14:textId="77777777" w:rsidR="008A306F" w:rsidRDefault="008A306F" w:rsidP="00855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D6B77" w14:textId="46B40AB2" w:rsidR="001C3BDE" w:rsidRDefault="00860A25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F9C963" wp14:editId="5D93AC07">
          <wp:simplePos x="0" y="0"/>
          <wp:positionH relativeFrom="column">
            <wp:posOffset>1662430</wp:posOffset>
          </wp:positionH>
          <wp:positionV relativeFrom="paragraph">
            <wp:posOffset>302260</wp:posOffset>
          </wp:positionV>
          <wp:extent cx="2412365" cy="550545"/>
          <wp:effectExtent l="0" t="0" r="0" b="0"/>
          <wp:wrapTight wrapText="bothSides">
            <wp:wrapPolygon edited="0">
              <wp:start x="2900" y="2242"/>
              <wp:lineTo x="512" y="4484"/>
              <wp:lineTo x="853" y="14948"/>
              <wp:lineTo x="10746" y="17938"/>
              <wp:lineTo x="10917" y="19433"/>
              <wp:lineTo x="18251" y="19433"/>
              <wp:lineTo x="21151" y="17190"/>
              <wp:lineTo x="21151" y="15696"/>
              <wp:lineTo x="14669" y="2242"/>
              <wp:lineTo x="2900" y="2242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C_Logo_CL_3c_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2365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479BE"/>
    <w:multiLevelType w:val="hybridMultilevel"/>
    <w:tmpl w:val="8F80951A"/>
    <w:lvl w:ilvl="0" w:tplc="71D2E460">
      <w:start w:val="5"/>
      <w:numFmt w:val="bullet"/>
      <w:lvlText w:val="-"/>
      <w:lvlJc w:val="left"/>
      <w:pPr>
        <w:ind w:left="1571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9AC18A0"/>
    <w:multiLevelType w:val="hybridMultilevel"/>
    <w:tmpl w:val="BF6E9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C5059"/>
    <w:multiLevelType w:val="hybridMultilevel"/>
    <w:tmpl w:val="FF4CB866"/>
    <w:lvl w:ilvl="0" w:tplc="C2B6377C"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5FF61D31"/>
    <w:multiLevelType w:val="hybridMultilevel"/>
    <w:tmpl w:val="D9622F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F34D2"/>
    <w:multiLevelType w:val="hybridMultilevel"/>
    <w:tmpl w:val="438A73C6"/>
    <w:lvl w:ilvl="0" w:tplc="F9CEE48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47055"/>
    <w:multiLevelType w:val="hybridMultilevel"/>
    <w:tmpl w:val="6910F7AC"/>
    <w:lvl w:ilvl="0" w:tplc="71D2E460">
      <w:start w:val="5"/>
      <w:numFmt w:val="bullet"/>
      <w:lvlText w:val="-"/>
      <w:lvlJc w:val="left"/>
      <w:pPr>
        <w:ind w:left="1571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93C4BF4"/>
    <w:multiLevelType w:val="hybridMultilevel"/>
    <w:tmpl w:val="E83A9C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089"/>
    <w:rsid w:val="00003760"/>
    <w:rsid w:val="00003C5D"/>
    <w:rsid w:val="00027E3F"/>
    <w:rsid w:val="00083C04"/>
    <w:rsid w:val="000900AF"/>
    <w:rsid w:val="000B0B06"/>
    <w:rsid w:val="000B23DD"/>
    <w:rsid w:val="000B3F6A"/>
    <w:rsid w:val="000C1548"/>
    <w:rsid w:val="001016FD"/>
    <w:rsid w:val="00101791"/>
    <w:rsid w:val="00101A3D"/>
    <w:rsid w:val="00101C4D"/>
    <w:rsid w:val="00107F5C"/>
    <w:rsid w:val="0011459C"/>
    <w:rsid w:val="001444FB"/>
    <w:rsid w:val="0014660B"/>
    <w:rsid w:val="0015531B"/>
    <w:rsid w:val="00164089"/>
    <w:rsid w:val="00166AFB"/>
    <w:rsid w:val="00177EB6"/>
    <w:rsid w:val="001800FD"/>
    <w:rsid w:val="001A603C"/>
    <w:rsid w:val="001A7870"/>
    <w:rsid w:val="001B15E1"/>
    <w:rsid w:val="001C3BDE"/>
    <w:rsid w:val="001D3057"/>
    <w:rsid w:val="001D4CB3"/>
    <w:rsid w:val="001E69C0"/>
    <w:rsid w:val="002024CC"/>
    <w:rsid w:val="002144CD"/>
    <w:rsid w:val="002160A9"/>
    <w:rsid w:val="002246A6"/>
    <w:rsid w:val="00230A0D"/>
    <w:rsid w:val="00266444"/>
    <w:rsid w:val="002A6489"/>
    <w:rsid w:val="002B05B5"/>
    <w:rsid w:val="002C6C76"/>
    <w:rsid w:val="00303170"/>
    <w:rsid w:val="00313C70"/>
    <w:rsid w:val="003221BD"/>
    <w:rsid w:val="00351F9E"/>
    <w:rsid w:val="00366707"/>
    <w:rsid w:val="00375B51"/>
    <w:rsid w:val="003A72EB"/>
    <w:rsid w:val="003D38EA"/>
    <w:rsid w:val="00483886"/>
    <w:rsid w:val="004869D1"/>
    <w:rsid w:val="004B1F51"/>
    <w:rsid w:val="004B3637"/>
    <w:rsid w:val="004F21A2"/>
    <w:rsid w:val="004F6F11"/>
    <w:rsid w:val="00523B01"/>
    <w:rsid w:val="00526D36"/>
    <w:rsid w:val="00537154"/>
    <w:rsid w:val="005405CE"/>
    <w:rsid w:val="005425F5"/>
    <w:rsid w:val="005516A2"/>
    <w:rsid w:val="0055326D"/>
    <w:rsid w:val="0057436A"/>
    <w:rsid w:val="00594B95"/>
    <w:rsid w:val="005A4527"/>
    <w:rsid w:val="005A7915"/>
    <w:rsid w:val="005C3421"/>
    <w:rsid w:val="005C6D21"/>
    <w:rsid w:val="005E001A"/>
    <w:rsid w:val="006579D7"/>
    <w:rsid w:val="00677D65"/>
    <w:rsid w:val="006C430C"/>
    <w:rsid w:val="006C4AB7"/>
    <w:rsid w:val="006D68F6"/>
    <w:rsid w:val="006D6A74"/>
    <w:rsid w:val="006F3D68"/>
    <w:rsid w:val="007107D3"/>
    <w:rsid w:val="007358A2"/>
    <w:rsid w:val="007370CC"/>
    <w:rsid w:val="00764D22"/>
    <w:rsid w:val="007C24C2"/>
    <w:rsid w:val="007D3EAD"/>
    <w:rsid w:val="007E59B1"/>
    <w:rsid w:val="00807D97"/>
    <w:rsid w:val="008339E8"/>
    <w:rsid w:val="00834EA5"/>
    <w:rsid w:val="00841953"/>
    <w:rsid w:val="00841B53"/>
    <w:rsid w:val="00855389"/>
    <w:rsid w:val="00860A25"/>
    <w:rsid w:val="00863827"/>
    <w:rsid w:val="00864661"/>
    <w:rsid w:val="008A306F"/>
    <w:rsid w:val="008A6ACE"/>
    <w:rsid w:val="008B1FAE"/>
    <w:rsid w:val="008B5EBE"/>
    <w:rsid w:val="008C1FE4"/>
    <w:rsid w:val="008C7691"/>
    <w:rsid w:val="008D23DD"/>
    <w:rsid w:val="008D7E4B"/>
    <w:rsid w:val="008F42C7"/>
    <w:rsid w:val="008F6D24"/>
    <w:rsid w:val="00902DB7"/>
    <w:rsid w:val="009146FC"/>
    <w:rsid w:val="00937537"/>
    <w:rsid w:val="00953741"/>
    <w:rsid w:val="00954A60"/>
    <w:rsid w:val="00980092"/>
    <w:rsid w:val="00997AFB"/>
    <w:rsid w:val="009A2823"/>
    <w:rsid w:val="009B29F3"/>
    <w:rsid w:val="009B77CA"/>
    <w:rsid w:val="009F1D1F"/>
    <w:rsid w:val="009F5A87"/>
    <w:rsid w:val="00A10D95"/>
    <w:rsid w:val="00A72751"/>
    <w:rsid w:val="00A871FD"/>
    <w:rsid w:val="00AA25B8"/>
    <w:rsid w:val="00AB3F19"/>
    <w:rsid w:val="00AC32C6"/>
    <w:rsid w:val="00AF1BDD"/>
    <w:rsid w:val="00B022E7"/>
    <w:rsid w:val="00B13AB3"/>
    <w:rsid w:val="00B82C63"/>
    <w:rsid w:val="00B93A3D"/>
    <w:rsid w:val="00BE2224"/>
    <w:rsid w:val="00BE46BE"/>
    <w:rsid w:val="00C0219D"/>
    <w:rsid w:val="00C02588"/>
    <w:rsid w:val="00C03E0F"/>
    <w:rsid w:val="00C1296E"/>
    <w:rsid w:val="00C52069"/>
    <w:rsid w:val="00C55853"/>
    <w:rsid w:val="00C83319"/>
    <w:rsid w:val="00C94CF7"/>
    <w:rsid w:val="00CD7464"/>
    <w:rsid w:val="00DA35B6"/>
    <w:rsid w:val="00DC34F1"/>
    <w:rsid w:val="00DE5BF7"/>
    <w:rsid w:val="00E21C29"/>
    <w:rsid w:val="00E22344"/>
    <w:rsid w:val="00E418A4"/>
    <w:rsid w:val="00E51387"/>
    <w:rsid w:val="00E54356"/>
    <w:rsid w:val="00E70547"/>
    <w:rsid w:val="00EB5D99"/>
    <w:rsid w:val="00EE4875"/>
    <w:rsid w:val="00F02330"/>
    <w:rsid w:val="00F16D27"/>
    <w:rsid w:val="00F3499A"/>
    <w:rsid w:val="00F36BCE"/>
    <w:rsid w:val="00F56205"/>
    <w:rsid w:val="00F91D2E"/>
    <w:rsid w:val="00FA0AC2"/>
    <w:rsid w:val="00FB166A"/>
    <w:rsid w:val="00FB734B"/>
    <w:rsid w:val="00FC04DC"/>
    <w:rsid w:val="00FC285F"/>
    <w:rsid w:val="00FD0733"/>
    <w:rsid w:val="00FD60B9"/>
    <w:rsid w:val="00FD6D0D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6C0141D8"/>
  <w15:docId w15:val="{224D0CA8-9A5F-430B-BE78-8684A3AC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A72E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55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5538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855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855389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semiHidden/>
    <w:rsid w:val="0085538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855389"/>
    <w:rPr>
      <w:rFonts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855389"/>
    <w:rPr>
      <w:rFonts w:cs="Times New Roman"/>
      <w:vertAlign w:val="superscript"/>
    </w:rPr>
  </w:style>
  <w:style w:type="paragraph" w:customStyle="1" w:styleId="Default">
    <w:name w:val="Default"/>
    <w:rsid w:val="000037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37154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rsid w:val="008D23DD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8C1F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1459C"/>
    <w:rPr>
      <w:rFonts w:ascii="Times New Roman" w:hAnsi="Times New Roman" w:cs="Times New Roman"/>
      <w:sz w:val="2"/>
    </w:rPr>
  </w:style>
  <w:style w:type="character" w:styleId="Kommentarzeichen">
    <w:name w:val="annotation reference"/>
    <w:basedOn w:val="Absatz-Standardschriftart"/>
    <w:uiPriority w:val="99"/>
    <w:semiHidden/>
    <w:rsid w:val="008C1FE4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8C1FE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11459C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8C1F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11459C"/>
    <w:rPr>
      <w:rFonts w:cs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99"/>
    <w:qFormat/>
    <w:locked/>
    <w:rsid w:val="007C24C2"/>
    <w:rPr>
      <w:rFonts w:cs="Times New Roman"/>
      <w:i/>
      <w:iCs/>
    </w:rPr>
  </w:style>
  <w:style w:type="character" w:styleId="Hyperlink">
    <w:name w:val="Hyperlink"/>
    <w:basedOn w:val="Absatz-Standardschriftart"/>
    <w:uiPriority w:val="99"/>
    <w:unhideWhenUsed/>
    <w:rsid w:val="002160A9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160A9"/>
    <w:rPr>
      <w:color w:val="808080"/>
      <w:shd w:val="clear" w:color="auto" w:fill="E6E6E6"/>
    </w:rPr>
  </w:style>
  <w:style w:type="paragraph" w:styleId="berarbeitung">
    <w:name w:val="Revision"/>
    <w:hidden/>
    <w:uiPriority w:val="99"/>
    <w:semiHidden/>
    <w:rsid w:val="00F34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4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223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9508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7650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lz.stueckelberger@arbeitgeber-banken.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ily.unser@kfmv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enise.chervet@sbpv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148FF1-518F-43A9-87CB-69AC8A55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CFA7A1D4.dotm</Template>
  <TotalTime>0</TotalTime>
  <Pages>2</Pages>
  <Words>640</Words>
  <Characters>3828</Characters>
  <Application>Microsoft Office Word</Application>
  <DocSecurity>0</DocSecurity>
  <Lines>69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Frey David</cp:lastModifiedBy>
  <cp:revision>4</cp:revision>
  <cp:lastPrinted>2012-06-13T12:27:00Z</cp:lastPrinted>
  <dcterms:created xsi:type="dcterms:W3CDTF">2019-06-05T06:10:00Z</dcterms:created>
  <dcterms:modified xsi:type="dcterms:W3CDTF">2019-06-06T06:39:00Z</dcterms:modified>
</cp:coreProperties>
</file>