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1"/>
        <w:ind w:left="0"/>
        <w:rPr>
          <w:lang w:val="en-GB"/>
        </w:rPr>
      </w:pPr>
      <w:proofErr w:type="spellStart"/>
      <w:r>
        <w:rPr>
          <w:lang w:val="en-GB"/>
        </w:rPr>
        <w:t>Noch</w:t>
      </w:r>
      <w:proofErr w:type="spellEnd"/>
      <w:r>
        <w:rPr>
          <w:lang w:val="en-GB"/>
        </w:rPr>
        <w:t xml:space="preserve"> </w:t>
      </w:r>
      <w:proofErr w:type="spellStart"/>
      <w:r>
        <w:rPr>
          <w:lang w:val="en-GB"/>
        </w:rPr>
        <w:t>schlanker</w:t>
      </w:r>
      <w:proofErr w:type="spellEnd"/>
      <w:r>
        <w:rPr>
          <w:lang w:val="en-GB"/>
        </w:rPr>
        <w:t xml:space="preserve"> </w:t>
      </w:r>
      <w:proofErr w:type="spellStart"/>
      <w:r>
        <w:rPr>
          <w:lang w:val="en-GB"/>
        </w:rPr>
        <w:t>bei</w:t>
      </w:r>
      <w:proofErr w:type="spellEnd"/>
      <w:r>
        <w:rPr>
          <w:lang w:val="en-GB"/>
        </w:rPr>
        <w:t xml:space="preserve"> </w:t>
      </w:r>
      <w:proofErr w:type="spellStart"/>
      <w:r>
        <w:rPr>
          <w:lang w:val="en-GB"/>
        </w:rPr>
        <w:t>gleicher</w:t>
      </w:r>
      <w:proofErr w:type="spellEnd"/>
      <w:r>
        <w:rPr>
          <w:lang w:val="en-GB"/>
        </w:rPr>
        <w:t xml:space="preserve"> </w:t>
      </w:r>
      <w:proofErr w:type="spellStart"/>
      <w:r>
        <w:rPr>
          <w:lang w:val="en-GB"/>
        </w:rPr>
        <w:t>Funktionalität</w:t>
      </w:r>
      <w:proofErr w:type="spellEnd"/>
      <w:r>
        <w:rPr>
          <w:lang w:val="en-GB"/>
        </w:rPr>
        <w:t xml:space="preserve"> </w:t>
      </w:r>
    </w:p>
    <w:p>
      <w:pPr>
        <w:autoSpaceDE w:val="0"/>
        <w:autoSpaceDN w:val="0"/>
        <w:adjustRightInd w:val="0"/>
        <w:rPr>
          <w:rFonts w:cs="Arial"/>
          <w:color w:val="231F20"/>
          <w:sz w:val="28"/>
          <w:szCs w:val="28"/>
          <w:lang w:val="en-GB"/>
        </w:rPr>
      </w:pPr>
      <w:r>
        <w:rPr>
          <w:rFonts w:cs="Arial"/>
          <w:color w:val="231F20"/>
          <w:sz w:val="28"/>
          <w:szCs w:val="28"/>
          <w:lang w:val="en-GB"/>
        </w:rPr>
        <w:t xml:space="preserve">Die </w:t>
      </w:r>
      <w:proofErr w:type="spellStart"/>
      <w:r>
        <w:rPr>
          <w:rFonts w:cs="Arial"/>
          <w:color w:val="231F20"/>
          <w:sz w:val="28"/>
          <w:szCs w:val="28"/>
          <w:lang w:val="en-GB"/>
        </w:rPr>
        <w:t>Metalldeckensegel</w:t>
      </w:r>
      <w:proofErr w:type="spellEnd"/>
      <w:r>
        <w:rPr>
          <w:rFonts w:cs="Arial"/>
          <w:color w:val="231F20"/>
          <w:sz w:val="28"/>
          <w:szCs w:val="28"/>
          <w:lang w:val="en-GB"/>
        </w:rPr>
        <w:t xml:space="preserve"> LMD-DS 315 und </w:t>
      </w:r>
      <w:proofErr w:type="spellStart"/>
      <w:r>
        <w:rPr>
          <w:rFonts w:cs="Arial"/>
          <w:color w:val="231F20"/>
          <w:sz w:val="28"/>
          <w:szCs w:val="28"/>
          <w:lang w:val="en-GB"/>
        </w:rPr>
        <w:t>Plafotherm</w:t>
      </w:r>
      <w:proofErr w:type="spellEnd"/>
      <w:r>
        <w:rPr>
          <w:rFonts w:cs="Arial"/>
          <w:color w:val="231F20"/>
          <w:sz w:val="28"/>
          <w:szCs w:val="28"/>
          <w:vertAlign w:val="superscript"/>
          <w:lang w:val="en-GB"/>
        </w:rPr>
        <w:t>®</w:t>
      </w:r>
      <w:r>
        <w:rPr>
          <w:rFonts w:cs="Arial"/>
          <w:color w:val="231F20"/>
          <w:sz w:val="28"/>
          <w:szCs w:val="28"/>
          <w:lang w:val="en-GB"/>
        </w:rPr>
        <w:t xml:space="preserve"> DS 315 </w:t>
      </w:r>
      <w:proofErr w:type="spellStart"/>
      <w:r>
        <w:rPr>
          <w:rFonts w:cs="Arial"/>
          <w:color w:val="231F20"/>
          <w:sz w:val="28"/>
          <w:szCs w:val="28"/>
          <w:lang w:val="en-GB"/>
        </w:rPr>
        <w:t>setzen</w:t>
      </w:r>
      <w:proofErr w:type="spellEnd"/>
      <w:r>
        <w:rPr>
          <w:rFonts w:cs="Arial"/>
          <w:color w:val="231F20"/>
          <w:sz w:val="28"/>
          <w:szCs w:val="28"/>
          <w:lang w:val="en-GB"/>
        </w:rPr>
        <w:t xml:space="preserve"> </w:t>
      </w:r>
      <w:proofErr w:type="spellStart"/>
      <w:r>
        <w:rPr>
          <w:rFonts w:cs="Arial"/>
          <w:color w:val="231F20"/>
          <w:sz w:val="28"/>
          <w:szCs w:val="28"/>
          <w:lang w:val="en-GB"/>
        </w:rPr>
        <w:t>neue</w:t>
      </w:r>
      <w:proofErr w:type="spellEnd"/>
      <w:r>
        <w:rPr>
          <w:rFonts w:cs="Arial"/>
          <w:color w:val="231F20"/>
          <w:sz w:val="28"/>
          <w:szCs w:val="28"/>
          <w:lang w:val="en-GB"/>
        </w:rPr>
        <w:t xml:space="preserve"> </w:t>
      </w:r>
      <w:proofErr w:type="spellStart"/>
      <w:r>
        <w:rPr>
          <w:rFonts w:cs="Arial"/>
          <w:color w:val="231F20"/>
          <w:sz w:val="28"/>
          <w:szCs w:val="28"/>
          <w:lang w:val="en-GB"/>
        </w:rPr>
        <w:t>Maßstäbe</w:t>
      </w:r>
      <w:proofErr w:type="spellEnd"/>
      <w:r>
        <w:rPr>
          <w:rFonts w:cs="Arial"/>
          <w:color w:val="231F20"/>
          <w:sz w:val="28"/>
          <w:szCs w:val="28"/>
          <w:lang w:val="en-GB"/>
        </w:rPr>
        <w:t xml:space="preserve"> </w:t>
      </w:r>
      <w:proofErr w:type="spellStart"/>
      <w:r>
        <w:rPr>
          <w:rFonts w:cs="Arial"/>
          <w:color w:val="231F20"/>
          <w:sz w:val="28"/>
          <w:szCs w:val="28"/>
          <w:lang w:val="en-GB"/>
        </w:rPr>
        <w:t>mit</w:t>
      </w:r>
      <w:proofErr w:type="spellEnd"/>
      <w:r>
        <w:rPr>
          <w:rFonts w:cs="Arial"/>
          <w:color w:val="231F20"/>
          <w:sz w:val="28"/>
          <w:szCs w:val="28"/>
          <w:lang w:val="en-GB"/>
        </w:rPr>
        <w:t xml:space="preserve"> </w:t>
      </w:r>
      <w:proofErr w:type="spellStart"/>
      <w:r>
        <w:rPr>
          <w:rFonts w:cs="Arial"/>
          <w:color w:val="231F20"/>
          <w:sz w:val="28"/>
          <w:szCs w:val="28"/>
          <w:lang w:val="en-GB"/>
        </w:rPr>
        <w:t>einer</w:t>
      </w:r>
      <w:proofErr w:type="spellEnd"/>
      <w:r>
        <w:rPr>
          <w:rFonts w:cs="Arial"/>
          <w:color w:val="231F20"/>
          <w:sz w:val="28"/>
          <w:szCs w:val="28"/>
          <w:lang w:val="en-GB"/>
        </w:rPr>
        <w:t xml:space="preserve"> </w:t>
      </w:r>
      <w:proofErr w:type="spellStart"/>
      <w:r>
        <w:rPr>
          <w:rFonts w:cs="Arial"/>
          <w:color w:val="231F20"/>
          <w:sz w:val="28"/>
          <w:szCs w:val="28"/>
          <w:lang w:val="en-GB"/>
        </w:rPr>
        <w:t>noch</w:t>
      </w:r>
      <w:proofErr w:type="spellEnd"/>
      <w:r>
        <w:rPr>
          <w:rFonts w:cs="Arial"/>
          <w:color w:val="231F20"/>
          <w:sz w:val="28"/>
          <w:szCs w:val="28"/>
          <w:lang w:val="en-GB"/>
        </w:rPr>
        <w:t xml:space="preserve"> </w:t>
      </w:r>
      <w:proofErr w:type="spellStart"/>
      <w:r>
        <w:rPr>
          <w:rFonts w:cs="Arial"/>
          <w:color w:val="231F20"/>
          <w:sz w:val="28"/>
          <w:szCs w:val="28"/>
          <w:lang w:val="en-GB"/>
        </w:rPr>
        <w:t>geringeren</w:t>
      </w:r>
      <w:proofErr w:type="spellEnd"/>
      <w:r>
        <w:rPr>
          <w:rFonts w:cs="Arial"/>
          <w:color w:val="231F20"/>
          <w:sz w:val="28"/>
          <w:szCs w:val="28"/>
          <w:lang w:val="en-GB"/>
        </w:rPr>
        <w:t xml:space="preserve"> </w:t>
      </w:r>
      <w:proofErr w:type="spellStart"/>
      <w:r>
        <w:rPr>
          <w:rFonts w:cs="Arial"/>
          <w:color w:val="231F20"/>
          <w:sz w:val="28"/>
          <w:szCs w:val="28"/>
          <w:lang w:val="en-GB"/>
        </w:rPr>
        <w:t>Aufbauhöhe</w:t>
      </w:r>
      <w:proofErr w:type="spellEnd"/>
      <w:r>
        <w:rPr>
          <w:rFonts w:cs="Arial"/>
          <w:color w:val="231F20"/>
          <w:sz w:val="28"/>
          <w:szCs w:val="28"/>
          <w:lang w:val="en-GB"/>
        </w:rPr>
        <w:t xml:space="preserve"> </w:t>
      </w:r>
      <w:proofErr w:type="spellStart"/>
      <w:r>
        <w:rPr>
          <w:rFonts w:cs="Arial"/>
          <w:color w:val="231F20"/>
          <w:sz w:val="28"/>
          <w:szCs w:val="28"/>
          <w:lang w:val="en-GB"/>
        </w:rPr>
        <w:t>bei</w:t>
      </w:r>
      <w:proofErr w:type="spellEnd"/>
      <w:r>
        <w:rPr>
          <w:rFonts w:cs="Arial"/>
          <w:color w:val="231F20"/>
          <w:sz w:val="28"/>
          <w:szCs w:val="28"/>
          <w:lang w:val="en-GB"/>
        </w:rPr>
        <w:t xml:space="preserve"> </w:t>
      </w:r>
      <w:proofErr w:type="spellStart"/>
      <w:r>
        <w:rPr>
          <w:rFonts w:cs="Arial"/>
          <w:color w:val="231F20"/>
          <w:sz w:val="28"/>
          <w:szCs w:val="28"/>
          <w:lang w:val="en-GB"/>
        </w:rPr>
        <w:t>gleichbleibenden</w:t>
      </w:r>
      <w:proofErr w:type="spellEnd"/>
      <w:r>
        <w:rPr>
          <w:rFonts w:cs="Arial"/>
          <w:color w:val="231F20"/>
          <w:sz w:val="28"/>
          <w:szCs w:val="28"/>
          <w:lang w:val="en-GB"/>
        </w:rPr>
        <w:t xml:space="preserve"> Brand-, </w:t>
      </w:r>
      <w:proofErr w:type="spellStart"/>
      <w:r>
        <w:rPr>
          <w:rFonts w:cs="Arial"/>
          <w:color w:val="231F20"/>
          <w:sz w:val="28"/>
          <w:szCs w:val="28"/>
          <w:lang w:val="en-GB"/>
        </w:rPr>
        <w:t>Schallschutz</w:t>
      </w:r>
      <w:proofErr w:type="spellEnd"/>
      <w:r>
        <w:rPr>
          <w:rFonts w:cs="Arial"/>
          <w:color w:val="231F20"/>
          <w:sz w:val="28"/>
          <w:szCs w:val="28"/>
          <w:lang w:val="en-GB"/>
        </w:rPr>
        <w:t xml:space="preserve">- und </w:t>
      </w:r>
      <w:proofErr w:type="spellStart"/>
      <w:r>
        <w:rPr>
          <w:rFonts w:cs="Arial"/>
          <w:color w:val="231F20"/>
          <w:sz w:val="28"/>
          <w:szCs w:val="28"/>
          <w:lang w:val="en-GB"/>
        </w:rPr>
        <w:t>Nachhaltigkeitswerten</w:t>
      </w:r>
      <w:proofErr w:type="spellEnd"/>
      <w:r>
        <w:rPr>
          <w:rFonts w:cs="Arial"/>
          <w:color w:val="231F20"/>
          <w:sz w:val="28"/>
          <w:szCs w:val="28"/>
          <w:lang w:val="en-GB"/>
        </w:rPr>
        <w:t>.</w:t>
      </w:r>
    </w:p>
    <w:p>
      <w:pPr>
        <w:rPr>
          <w:rFonts w:eastAsiaTheme="minorEastAsia"/>
        </w:rPr>
      </w:pPr>
    </w:p>
    <w:p>
      <w:pPr>
        <w:rPr>
          <w:rFonts w:eastAsiaTheme="minorEastAsia"/>
        </w:rPr>
      </w:pPr>
      <w:r>
        <w:rPr>
          <w:rFonts w:eastAsiaTheme="minorEastAsia"/>
        </w:rPr>
        <w:t xml:space="preserve">Mit den Deckensegeln LMD-DS 315 und </w:t>
      </w:r>
      <w:proofErr w:type="spellStart"/>
      <w:r>
        <w:rPr>
          <w:rFonts w:eastAsiaTheme="minorEastAsia"/>
        </w:rPr>
        <w:t>Plafotherm</w:t>
      </w:r>
      <w:proofErr w:type="spellEnd"/>
      <w:r>
        <w:rPr>
          <w:rFonts w:eastAsiaTheme="minorEastAsia"/>
          <w:vertAlign w:val="superscript"/>
        </w:rPr>
        <w:t>®</w:t>
      </w:r>
      <w:r>
        <w:rPr>
          <w:rFonts w:eastAsiaTheme="minorEastAsia"/>
        </w:rPr>
        <w:t xml:space="preserve"> DS 315 stellt die Lindner Group eine neue Generation von Deckensegeln vor. Die Nachfolgemodelle des Metalldeckensegels LMD-DS 312 kehren mit geringerer Aufbauhöhe, gleichbleibenden Akustik-, Schall- und Brandschutzeigenschaften sowie herausragender Nachhaltigkeit zurück.</w:t>
      </w:r>
    </w:p>
    <w:p>
      <w:pPr>
        <w:rPr>
          <w:rFonts w:eastAsiaTheme="minorEastAsia"/>
        </w:rPr>
      </w:pPr>
    </w:p>
    <w:p>
      <w:pPr>
        <w:rPr>
          <w:rFonts w:eastAsiaTheme="minorEastAsia"/>
          <w:b/>
        </w:rPr>
      </w:pPr>
      <w:r>
        <w:rPr>
          <w:rFonts w:eastAsiaTheme="minorEastAsia"/>
          <w:b/>
        </w:rPr>
        <w:t xml:space="preserve">Symbiose aus Wirtschaftlichkeit und Funktionalität </w:t>
      </w:r>
    </w:p>
    <w:p>
      <w:pPr>
        <w:rPr>
          <w:rFonts w:eastAsiaTheme="minorEastAsia"/>
        </w:rPr>
      </w:pPr>
      <w:r>
        <w:rPr>
          <w:rFonts w:eastAsiaTheme="minorEastAsia"/>
        </w:rPr>
        <w:t xml:space="preserve">Die rahmenlosen Deckensegel </w:t>
      </w:r>
      <w:proofErr w:type="spellStart"/>
      <w:r>
        <w:rPr>
          <w:rFonts w:eastAsiaTheme="minorEastAsia"/>
        </w:rPr>
        <w:t>punkten</w:t>
      </w:r>
      <w:proofErr w:type="spellEnd"/>
      <w:r>
        <w:rPr>
          <w:rFonts w:eastAsiaTheme="minorEastAsia"/>
        </w:rPr>
        <w:t xml:space="preserve"> vor allem in Sachen Wirtschaftlichkeit und bieten gleichzeitig die volle Bandbreite an Funktionalität. Zum einen sind die Segel mit ihrer schlanken, filigranen Optik einfach zu montieren und ohne Werkzeug </w:t>
      </w:r>
      <w:proofErr w:type="spellStart"/>
      <w:r>
        <w:rPr>
          <w:rFonts w:eastAsiaTheme="minorEastAsia"/>
        </w:rPr>
        <w:t>revisionierbar</w:t>
      </w:r>
      <w:proofErr w:type="spellEnd"/>
      <w:r>
        <w:rPr>
          <w:rFonts w:eastAsiaTheme="minorEastAsia"/>
        </w:rPr>
        <w:t xml:space="preserve">. Zum anderen bieten die kostengünstigen Deckensegel überzeugende Werte in Sachen Brandschutz, Schallschutz und Nachhaltigkeit – je nach Anforderungen. Das Metalldeckensegel LMD-DS 315 verfügt außerdem über </w:t>
      </w:r>
      <w:proofErr w:type="spellStart"/>
      <w:r>
        <w:rPr>
          <w:rFonts w:eastAsiaTheme="minorEastAsia"/>
        </w:rPr>
        <w:t>Cradle</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Cradle</w:t>
      </w:r>
      <w:proofErr w:type="spellEnd"/>
      <w:r>
        <w:rPr>
          <w:rFonts w:eastAsiaTheme="minorEastAsia"/>
        </w:rPr>
        <w:t xml:space="preserve"> Certified</w:t>
      </w:r>
      <w:r>
        <w:rPr>
          <w:rFonts w:eastAsiaTheme="minorEastAsia"/>
          <w:vertAlign w:val="superscript"/>
        </w:rPr>
        <w:t>®</w:t>
      </w:r>
      <w:r>
        <w:rPr>
          <w:rFonts w:eastAsiaTheme="minorEastAsia"/>
        </w:rPr>
        <w:t xml:space="preserve"> Gold und leistet damit einen wichtigen Beitrag zu mehr Nachhaltigkeit. </w:t>
      </w:r>
    </w:p>
    <w:p>
      <w:pPr>
        <w:rPr>
          <w:rFonts w:eastAsiaTheme="minorEastAsia"/>
        </w:rPr>
      </w:pPr>
    </w:p>
    <w:p>
      <w:pPr>
        <w:rPr>
          <w:rFonts w:eastAsiaTheme="minorEastAsia"/>
          <w:b/>
        </w:rPr>
      </w:pPr>
      <w:r>
        <w:rPr>
          <w:rFonts w:eastAsiaTheme="minorEastAsia"/>
          <w:b/>
        </w:rPr>
        <w:t>Bühne frei für unendliche Möglichkeiten</w:t>
      </w:r>
    </w:p>
    <w:p>
      <w:pPr>
        <w:rPr>
          <w:rFonts w:eastAsiaTheme="minorEastAsia"/>
        </w:rPr>
      </w:pPr>
      <w:r>
        <w:rPr>
          <w:rFonts w:eastAsiaTheme="minorEastAsia"/>
        </w:rPr>
        <w:t>Auch in puncto Design eröffnen die Deckensegel architektonische Gestaltungsspielräum</w:t>
      </w:r>
      <w:bookmarkStart w:id="0" w:name="_GoBack"/>
      <w:bookmarkEnd w:id="0"/>
      <w:r>
        <w:rPr>
          <w:rFonts w:eastAsiaTheme="minorEastAsia"/>
        </w:rPr>
        <w:t>e: Die rahmenlosen Metalldeckensegel lassen sich frei im Raum anordnen und ermöglichen dadurch eine flexible Raumplanung. Die offene Konstruktion der Segel erlaubt darüber hinaus eine „schwebende“ Optik der Elemente sowie einen Blick auf die Rohbetondecke. Unabhängige Installationsmöglichkeiten von Leuchten und Einbauten zwischen den Deckensegeln unterstreichen diesen Effekt. Die Oberflächen der Metalldeckensegel können pulverbeschichtet oder mit Digitaldruck und verschiedenen Perforationen ausgeführt werden.</w:t>
      </w:r>
    </w:p>
    <w:p>
      <w:pPr>
        <w:rPr>
          <w:rFonts w:eastAsiaTheme="minorEastAsia"/>
        </w:rPr>
      </w:pPr>
    </w:p>
    <w:p>
      <w:pPr>
        <w:rPr>
          <w:rFonts w:eastAsiaTheme="minorEastAsia"/>
          <w:b/>
        </w:rPr>
      </w:pPr>
      <w:r>
        <w:rPr>
          <w:rFonts w:eastAsiaTheme="minorEastAsia"/>
          <w:b/>
        </w:rPr>
        <w:t>Effiziente Heiz-/Kühltechnik on top</w:t>
      </w:r>
    </w:p>
    <w:p>
      <w:pPr>
        <w:rPr>
          <w:rFonts w:eastAsiaTheme="minorEastAsia"/>
        </w:rPr>
      </w:pPr>
      <w:r>
        <w:rPr>
          <w:rFonts w:eastAsiaTheme="minorEastAsia"/>
        </w:rPr>
        <w:t xml:space="preserve">Mit der Deckensegelvariante </w:t>
      </w:r>
      <w:proofErr w:type="spellStart"/>
      <w:r>
        <w:rPr>
          <w:rFonts w:eastAsiaTheme="minorEastAsia"/>
        </w:rPr>
        <w:t>Plafotherm</w:t>
      </w:r>
      <w:proofErr w:type="spellEnd"/>
      <w:r>
        <w:rPr>
          <w:rFonts w:eastAsiaTheme="minorEastAsia"/>
          <w:vertAlign w:val="superscript"/>
        </w:rPr>
        <w:t>®</w:t>
      </w:r>
      <w:r>
        <w:rPr>
          <w:rFonts w:eastAsiaTheme="minorEastAsia"/>
        </w:rPr>
        <w:t xml:space="preserve"> DS 315 wird das Metalldeckensegel LMD-DS 315 zusätzlich mit einer Heiz- und Kühltechnik ausgestattet. So sorgt das Segel mit hoher Heiz- und Kühlleistung für ein angenehmes Raumklima im Gebäude. Erreicht wird dies mittels Strahlung und Konvektion. Zudem bieten Lindner </w:t>
      </w:r>
      <w:proofErr w:type="spellStart"/>
      <w:r>
        <w:rPr>
          <w:rFonts w:eastAsiaTheme="minorEastAsia"/>
        </w:rPr>
        <w:t>Plafotherm</w:t>
      </w:r>
      <w:proofErr w:type="spellEnd"/>
      <w:r>
        <w:rPr>
          <w:rFonts w:eastAsiaTheme="minorEastAsia"/>
          <w:vertAlign w:val="superscript"/>
        </w:rPr>
        <w:t>®</w:t>
      </w:r>
      <w:r>
        <w:rPr>
          <w:rFonts w:eastAsiaTheme="minorEastAsia"/>
        </w:rPr>
        <w:t xml:space="preserve"> Heiz-/Kühldeckensegel die nötige Flexibilität: Thermisch aktive und passive Zonen können mit den Deckensegeln je nach Bedarf problemlos kombiniert werden. Darüber hinaus befinden sich noch viele weitere </w:t>
      </w:r>
      <w:proofErr w:type="spellStart"/>
      <w:r>
        <w:rPr>
          <w:rFonts w:eastAsiaTheme="minorEastAsia"/>
        </w:rPr>
        <w:t>Plafotherm</w:t>
      </w:r>
      <w:proofErr w:type="spellEnd"/>
      <w:r>
        <w:rPr>
          <w:rFonts w:eastAsiaTheme="minorEastAsia"/>
          <w:vertAlign w:val="superscript"/>
        </w:rPr>
        <w:t>®</w:t>
      </w:r>
      <w:r>
        <w:rPr>
          <w:rFonts w:eastAsiaTheme="minorEastAsia"/>
        </w:rPr>
        <w:t xml:space="preserve"> Heiz-/Kühldecken mit </w:t>
      </w:r>
      <w:proofErr w:type="spellStart"/>
      <w:r>
        <w:rPr>
          <w:rFonts w:eastAsiaTheme="minorEastAsia"/>
        </w:rPr>
        <w:t>Cradle</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Cradle</w:t>
      </w:r>
      <w:proofErr w:type="spellEnd"/>
      <w:r>
        <w:rPr>
          <w:rFonts w:eastAsiaTheme="minorEastAsia"/>
        </w:rPr>
        <w:t xml:space="preserve"> Certified</w:t>
      </w:r>
      <w:r>
        <w:rPr>
          <w:rFonts w:eastAsiaTheme="minorEastAsia"/>
          <w:vertAlign w:val="superscript"/>
        </w:rPr>
        <w:t>®</w:t>
      </w:r>
      <w:r>
        <w:rPr>
          <w:rFonts w:eastAsiaTheme="minorEastAsia"/>
        </w:rPr>
        <w:t xml:space="preserve"> Silber Zertifizierung im Portfolio der Lindner Group. </w:t>
      </w:r>
    </w:p>
    <w:p>
      <w:pPr>
        <w:rPr>
          <w:rFonts w:eastAsiaTheme="minorEastAsia"/>
        </w:rPr>
      </w:pPr>
    </w:p>
    <w:p>
      <w:pPr>
        <w:rPr>
          <w:rFonts w:cstheme="minorHAnsi"/>
        </w:rPr>
      </w:pPr>
    </w:p>
    <w:p>
      <w:pPr>
        <w:rPr>
          <w:rFonts w:eastAsiaTheme="minorEastAsia"/>
        </w:rPr>
      </w:pPr>
    </w:p>
    <w:p>
      <w:pPr>
        <w:spacing w:line="240" w:lineRule="auto"/>
        <w:rPr>
          <w:lang w:val="en-GB"/>
        </w:rPr>
      </w:pPr>
      <w:r>
        <w:rPr>
          <w:lang w:val="en-GB"/>
        </w:rPr>
        <w:br w:type="page"/>
      </w:r>
    </w:p>
    <w:p>
      <w:pPr>
        <w:rPr>
          <w:lang w:val="en-GB"/>
        </w:rPr>
      </w:pPr>
    </w:p>
    <w:p>
      <w:pPr>
        <w:rPr>
          <w:b/>
          <w:color w:val="E00428"/>
        </w:rPr>
      </w:pPr>
      <w:r>
        <w:rPr>
          <w:b/>
          <w:color w:val="E00428"/>
        </w:rPr>
        <w:t>Bilder</w:t>
      </w:r>
    </w:p>
    <w:p>
      <w:r>
        <w:rPr>
          <w:noProof/>
        </w:rPr>
        <w:drawing>
          <wp:inline distT="0" distB="0" distL="0" distR="0">
            <wp:extent cx="2260691" cy="160712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9988" cy="1620845"/>
                    </a:xfrm>
                    <a:prstGeom prst="rect">
                      <a:avLst/>
                    </a:prstGeom>
                  </pic:spPr>
                </pic:pic>
              </a:graphicData>
            </a:graphic>
          </wp:inline>
        </w:drawing>
      </w:r>
      <w:r>
        <w:rPr>
          <w:noProof/>
        </w:rPr>
        <w:t xml:space="preserve"> </w:t>
      </w:r>
    </w:p>
    <w:p>
      <w:pPr>
        <w:rPr>
          <w:b/>
          <w:sz w:val="18"/>
        </w:rPr>
      </w:pPr>
      <w:r>
        <w:rPr>
          <w:b/>
          <w:sz w:val="18"/>
        </w:rPr>
        <w:t xml:space="preserve">Lindner_DS_315_img_it_caparma_6_© </w:t>
      </w:r>
      <w:proofErr w:type="spellStart"/>
      <w:r>
        <w:rPr>
          <w:b/>
          <w:sz w:val="18"/>
        </w:rPr>
        <w:t>Photo</w:t>
      </w:r>
      <w:proofErr w:type="spellEnd"/>
      <w:r>
        <w:rPr>
          <w:b/>
          <w:sz w:val="18"/>
        </w:rPr>
        <w:t xml:space="preserve"> EnricoCano.jpg </w:t>
      </w:r>
    </w:p>
    <w:p>
      <w:pPr>
        <w:rPr>
          <w:sz w:val="18"/>
        </w:rPr>
      </w:pPr>
      <w:r>
        <w:rPr>
          <w:sz w:val="18"/>
        </w:rPr>
        <w:t xml:space="preserve">Bildverweis: © </w:t>
      </w:r>
      <w:proofErr w:type="spellStart"/>
      <w:r>
        <w:rPr>
          <w:sz w:val="18"/>
        </w:rPr>
        <w:t>PhotoEnricoCano</w:t>
      </w:r>
      <w:proofErr w:type="spellEnd"/>
      <w:r>
        <w:rPr>
          <w:sz w:val="18"/>
        </w:rPr>
        <w:t xml:space="preserve"> </w:t>
      </w:r>
    </w:p>
    <w:p/>
    <w:p>
      <w:pPr>
        <w:spacing w:line="240" w:lineRule="auto"/>
        <w:rPr>
          <w:b/>
        </w:rPr>
      </w:pPr>
    </w:p>
    <w:p/>
    <w:p/>
    <w:p>
      <w:pPr>
        <w:rPr>
          <w:b/>
          <w:color w:val="E00428"/>
        </w:rPr>
      </w:pPr>
      <w:r>
        <w:rPr>
          <w:b/>
          <w:color w:val="E00428"/>
        </w:rPr>
        <w:t>Lindner Group</w:t>
      </w:r>
    </w:p>
    <w:p>
      <w:r>
        <w:t xml:space="preserve">Die Lindner Group ist Europas führender Komplettanbieter in den Bereichen Innenausbau inkl. Gebäudetechnik, Fassaden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
      <w:pPr>
        <w:rPr>
          <w:rFonts w:eastAsiaTheme="minorEastAsia"/>
          <w:b/>
          <w:color w:val="E40428"/>
        </w:rPr>
      </w:pPr>
      <w:r>
        <w:rPr>
          <w:rFonts w:eastAsiaTheme="minorEastAsia"/>
          <w:b/>
          <w:color w:val="E40428"/>
        </w:rPr>
        <w:t xml:space="preserve">Weitere Infos unter </w:t>
      </w:r>
      <w:hyperlink r:id="rId9" w:history="1">
        <w:r>
          <w:rPr>
            <w:rStyle w:val="Hyperlink"/>
            <w:rFonts w:eastAsiaTheme="minorEastAsia"/>
            <w:b/>
            <w:color w:val="E40428"/>
            <w:u w:val="none"/>
          </w:rPr>
          <w:t>www.Lindner-Group.com</w:t>
        </w:r>
      </w:hyperlink>
    </w:p>
    <w:p>
      <w:pPr>
        <w:pStyle w:val="EinfAbs"/>
        <w:rPr>
          <w:rFonts w:ascii="Arial" w:hAnsi="Arial" w:cs="Arial"/>
          <w:color w:val="auto"/>
          <w:sz w:val="20"/>
          <w:szCs w:val="16"/>
        </w:rPr>
      </w:pPr>
      <w:hyperlink r:id="rId10" w:history="1">
        <w:r>
          <w:rPr>
            <w:rStyle w:val="Hyperlink"/>
            <w:rFonts w:ascii="Arial" w:hAnsi="Arial" w:cs="Arial"/>
            <w:color w:val="auto"/>
            <w:sz w:val="20"/>
            <w:szCs w:val="16"/>
          </w:rPr>
          <w:t>XING</w:t>
        </w:r>
      </w:hyperlink>
      <w:r>
        <w:rPr>
          <w:rFonts w:ascii="Arial" w:hAnsi="Arial" w:cs="Arial"/>
          <w:color w:val="auto"/>
          <w:sz w:val="20"/>
          <w:szCs w:val="16"/>
        </w:rPr>
        <w:t xml:space="preserve"> | </w:t>
      </w:r>
      <w:hyperlink r:id="rId11" w:history="1">
        <w:r>
          <w:rPr>
            <w:rStyle w:val="Hyperlink"/>
            <w:rFonts w:ascii="Arial" w:hAnsi="Arial" w:cs="Arial"/>
            <w:color w:val="auto"/>
            <w:sz w:val="20"/>
            <w:szCs w:val="16"/>
          </w:rPr>
          <w:t>LinkedIn</w:t>
        </w:r>
      </w:hyperlink>
      <w:r>
        <w:rPr>
          <w:rFonts w:ascii="Arial" w:hAnsi="Arial" w:cs="Arial"/>
          <w:color w:val="auto"/>
          <w:sz w:val="20"/>
          <w:szCs w:val="16"/>
        </w:rPr>
        <w:t xml:space="preserve"> | </w:t>
      </w:r>
      <w:hyperlink r:id="rId12" w:history="1">
        <w:r>
          <w:rPr>
            <w:rStyle w:val="Hyperlink"/>
            <w:rFonts w:ascii="Arial" w:hAnsi="Arial" w:cs="Arial"/>
            <w:color w:val="auto"/>
            <w:sz w:val="20"/>
            <w:szCs w:val="16"/>
          </w:rPr>
          <w:t>Twitter</w:t>
        </w:r>
      </w:hyperlink>
      <w:r>
        <w:rPr>
          <w:rFonts w:ascii="Arial" w:hAnsi="Arial" w:cs="Arial"/>
          <w:color w:val="auto"/>
          <w:sz w:val="20"/>
          <w:szCs w:val="16"/>
        </w:rPr>
        <w:t xml:space="preserve"> | </w:t>
      </w:r>
      <w:hyperlink r:id="rId13" w:history="1">
        <w:r>
          <w:rPr>
            <w:rStyle w:val="Hyperlink"/>
            <w:rFonts w:ascii="Arial" w:hAnsi="Arial" w:cs="Arial"/>
            <w:color w:val="auto"/>
            <w:sz w:val="20"/>
            <w:szCs w:val="16"/>
          </w:rPr>
          <w:t>Pinterest</w:t>
        </w:r>
      </w:hyperlink>
      <w:r>
        <w:rPr>
          <w:rFonts w:ascii="Arial" w:hAnsi="Arial" w:cs="Arial"/>
          <w:color w:val="auto"/>
          <w:sz w:val="20"/>
          <w:szCs w:val="16"/>
        </w:rPr>
        <w:t xml:space="preserve"> | </w:t>
      </w:r>
      <w:hyperlink r:id="rId14" w:history="1">
        <w:r>
          <w:rPr>
            <w:rStyle w:val="Hyperlink"/>
            <w:rFonts w:ascii="Arial" w:hAnsi="Arial" w:cs="Arial"/>
            <w:color w:val="auto"/>
            <w:sz w:val="20"/>
            <w:szCs w:val="16"/>
          </w:rPr>
          <w:t>Instagram</w:t>
        </w:r>
      </w:hyperlink>
      <w:r>
        <w:rPr>
          <w:rStyle w:val="Hyperlink"/>
          <w:rFonts w:ascii="Arial" w:hAnsi="Arial" w:cs="Arial"/>
          <w:color w:val="auto"/>
          <w:sz w:val="20"/>
          <w:szCs w:val="16"/>
          <w:u w:val="none"/>
        </w:rPr>
        <w:t xml:space="preserve"> | </w:t>
      </w:r>
      <w:hyperlink r:id="rId15" w:history="1">
        <w:r>
          <w:rPr>
            <w:rStyle w:val="Hyperlink"/>
            <w:rFonts w:ascii="Arial" w:hAnsi="Arial" w:cs="Arial"/>
            <w:color w:val="auto"/>
            <w:sz w:val="20"/>
            <w:szCs w:val="16"/>
          </w:rPr>
          <w:t>Facebook</w:t>
        </w:r>
      </w:hyperlink>
      <w:r>
        <w:rPr>
          <w:rStyle w:val="Hyperlink"/>
          <w:rFonts w:ascii="Arial" w:hAnsi="Arial" w:cs="Arial"/>
          <w:color w:val="auto"/>
          <w:sz w:val="20"/>
          <w:szCs w:val="16"/>
          <w:u w:val="none"/>
        </w:rPr>
        <w:t xml:space="preserve"> | </w:t>
      </w:r>
      <w:hyperlink r:id="rId16" w:history="1">
        <w:r>
          <w:rPr>
            <w:rStyle w:val="Hyperlink"/>
            <w:rFonts w:ascii="Arial" w:hAnsi="Arial" w:cs="Arial"/>
            <w:color w:val="auto"/>
            <w:sz w:val="20"/>
            <w:szCs w:val="16"/>
          </w:rPr>
          <w:t>YouTube</w:t>
        </w:r>
      </w:hyperlink>
    </w:p>
    <w:sectPr>
      <w:headerReference w:type="default" r:id="rId17"/>
      <w:footerReference w:type="default" r:id="rId18"/>
      <w:headerReference w:type="first" r:id="rId19"/>
      <w:footerReference w:type="first" r:id="rId20"/>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nterest.de/lindner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witter.com/Lindner_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Lindner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ndner-group" TargetMode="External"/><Relationship Id="rId5" Type="http://schemas.openxmlformats.org/officeDocument/2006/relationships/webSettings" Target="webSettings.xml"/><Relationship Id="rId15" Type="http://schemas.openxmlformats.org/officeDocument/2006/relationships/hyperlink" Target="https://www.facebook.com/LindnerGroup.Karriere" TargetMode="External"/><Relationship Id="rId10" Type="http://schemas.openxmlformats.org/officeDocument/2006/relationships/hyperlink" Target="http://www.xing.com/companies/lindnergrou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indner-Group.com" TargetMode="External"/><Relationship Id="rId14" Type="http://schemas.openxmlformats.org/officeDocument/2006/relationships/hyperlink" Target="http://www.instagram.com/lindner_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A06AA-1302-47D9-8A16-74353D05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3653</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6</cp:revision>
  <cp:lastPrinted>2013-12-13T13:26:00Z</cp:lastPrinted>
  <dcterms:created xsi:type="dcterms:W3CDTF">2023-06-28T13:09:00Z</dcterms:created>
  <dcterms:modified xsi:type="dcterms:W3CDTF">2023-06-29T13:05:00Z</dcterms:modified>
</cp:coreProperties>
</file>