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E324" w14:textId="77777777" w:rsidR="002D1159" w:rsidRDefault="002D1159" w:rsidP="00A81237">
      <w:pPr>
        <w:pStyle w:val="DachzeilePressemitteilung"/>
      </w:pPr>
      <w:r>
        <w:t>Pressemitteilung</w:t>
      </w:r>
    </w:p>
    <w:p w14:paraId="19B1E424" w14:textId="4AD98DF2" w:rsidR="00426B86" w:rsidRDefault="00426B86" w:rsidP="00993EA1">
      <w:pPr>
        <w:pStyle w:val="TitelPressemitteilung"/>
        <w:spacing w:line="360" w:lineRule="auto"/>
        <w:rPr>
          <w:sz w:val="40"/>
          <w:szCs w:val="48"/>
        </w:rPr>
      </w:pPr>
      <w:r w:rsidRPr="00426B86">
        <w:rPr>
          <w:sz w:val="40"/>
          <w:szCs w:val="48"/>
        </w:rPr>
        <w:t>Expertenempfehlung gibt Hilfestellung bei Beantragung der Erprobungsgenehmigung für automatisierte Fahrzeuge</w:t>
      </w:r>
    </w:p>
    <w:p w14:paraId="6DF2ABB8" w14:textId="1F4BE63C" w:rsidR="00426B86" w:rsidRPr="00426B86" w:rsidRDefault="00426B86" w:rsidP="00993EA1">
      <w:pPr>
        <w:pStyle w:val="TitelPressemitteilung"/>
        <w:spacing w:line="360" w:lineRule="auto"/>
        <w:rPr>
          <w:rFonts w:ascii="Nunito Sans Light" w:hAnsi="Nunito Sans Light"/>
          <w:color w:val="80C3F2" w:themeColor="accent4"/>
          <w:sz w:val="28"/>
        </w:rPr>
      </w:pPr>
      <w:r w:rsidRPr="00426B86">
        <w:rPr>
          <w:rFonts w:ascii="Nunito Sans Light" w:hAnsi="Nunito Sans Light"/>
          <w:color w:val="80C3F2" w:themeColor="accent4"/>
          <w:sz w:val="28"/>
        </w:rPr>
        <w:t>VDI/TÜV-Verband-EE 5902 „Leitfaden für Erprobungsgenehmigungen für automatisierte und autonome Fahrzeuge“</w:t>
      </w:r>
    </w:p>
    <w:p w14:paraId="6AEFBE7A" w14:textId="77777777" w:rsidR="00F20096" w:rsidRDefault="00F20096" w:rsidP="00317ACD"/>
    <w:p w14:paraId="0A33C0DE" w14:textId="316078F3" w:rsidR="00426B86" w:rsidRPr="00426B86" w:rsidRDefault="00F562FA" w:rsidP="00426B86">
      <w:pPr>
        <w:rPr>
          <w:b/>
          <w:bCs/>
          <w:lang w:val="en-GB"/>
        </w:rPr>
      </w:pPr>
      <w:r>
        <w:rPr>
          <w:noProof/>
        </w:rPr>
        <mc:AlternateContent>
          <mc:Choice Requires="wps">
            <w:drawing>
              <wp:anchor distT="0" distB="0" distL="114300" distR="114300" simplePos="0" relativeHeight="251663360" behindDoc="0" locked="0" layoutInCell="1" allowOverlap="1" wp14:anchorId="5D0CC928" wp14:editId="1A2F3CD6">
                <wp:simplePos x="0" y="0"/>
                <wp:positionH relativeFrom="column">
                  <wp:posOffset>29845</wp:posOffset>
                </wp:positionH>
                <wp:positionV relativeFrom="paragraph">
                  <wp:posOffset>2282190</wp:posOffset>
                </wp:positionV>
                <wp:extent cx="1610360" cy="635"/>
                <wp:effectExtent l="0" t="0" r="0" b="0"/>
                <wp:wrapSquare wrapText="bothSides"/>
                <wp:docPr id="1137995505" name="Textfeld 1"/>
                <wp:cNvGraphicFramePr/>
                <a:graphic xmlns:a="http://schemas.openxmlformats.org/drawingml/2006/main">
                  <a:graphicData uri="http://schemas.microsoft.com/office/word/2010/wordprocessingShape">
                    <wps:wsp>
                      <wps:cNvSpPr txBox="1"/>
                      <wps:spPr>
                        <a:xfrm>
                          <a:off x="0" y="0"/>
                          <a:ext cx="1610360" cy="635"/>
                        </a:xfrm>
                        <a:prstGeom prst="rect">
                          <a:avLst/>
                        </a:prstGeom>
                        <a:solidFill>
                          <a:prstClr val="white"/>
                        </a:solidFill>
                        <a:ln>
                          <a:noFill/>
                        </a:ln>
                      </wps:spPr>
                      <wps:txbx>
                        <w:txbxContent>
                          <w:p w14:paraId="2B95F1B8" w14:textId="5E21623A" w:rsidR="00F562FA" w:rsidRPr="00103CE2" w:rsidRDefault="00F562FA" w:rsidP="00F562FA">
                            <w:pPr>
                              <w:pStyle w:val="Beschriftung"/>
                              <w:rPr>
                                <w:b/>
                                <w:bCs/>
                                <w:noProof/>
                                <w:color w:val="000C19" w:themeColor="text1"/>
                                <w:sz w:val="20"/>
                              </w:rPr>
                            </w:pPr>
                            <w:r>
                              <w:rPr>
                                <w:b/>
                                <w:bCs/>
                                <w:lang w:val="en-GB"/>
                              </w:rPr>
                              <w:t>A</w:t>
                            </w:r>
                            <w:r w:rsidRPr="00426B86">
                              <w:rPr>
                                <w:b/>
                                <w:bCs/>
                                <w:lang w:val="en-GB"/>
                              </w:rPr>
                              <w:t>utomatisierte und autonome Fahrzeuge rechtssicher für Testfahrten im öffentlichen Raum zulassen</w:t>
                            </w:r>
                            <w:r>
                              <w:rPr>
                                <w:b/>
                                <w:bCs/>
                                <w:lang w:val="en-GB"/>
                              </w:rPr>
                              <w:t>.</w:t>
                            </w:r>
                            <w:r w:rsidRPr="00426B86">
                              <w:rPr>
                                <w:b/>
                                <w:bCs/>
                                <w:lang w:val="en-GB"/>
                              </w:rPr>
                              <w:t xml:space="preserve"> </w:t>
                            </w:r>
                            <w:r>
                              <w:t xml:space="preserve">Symbolbild: </w:t>
                            </w:r>
                            <w:r w:rsidRPr="0099198B">
                              <w:t>kinwun via Gettyimages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D0CC928" id="_x0000_t202" coordsize="21600,21600" o:spt="202" path="m,l,21600r21600,l21600,xe">
                <v:stroke joinstyle="miter"/>
                <v:path gradientshapeok="t" o:connecttype="rect"/>
              </v:shapetype>
              <v:shape id="Textfeld 1" o:spid="_x0000_s1026" type="#_x0000_t202" style="position:absolute;margin-left:2.35pt;margin-top:179.7pt;width:126.8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" stroked="f">
                <v:textbox style="mso-fit-shape-to-text:t" inset="0,0,0,0">
                  <w:txbxContent>
                    <w:p w14:paraId="2B95F1B8" w14:textId="5E21623A" w:rsidR="00F562FA" w:rsidRPr="00103CE2" w:rsidRDefault="00F562FA" w:rsidP="00F562FA">
                      <w:pPr>
                        <w:pStyle w:val="Beschriftung"/>
                        <w:rPr>
                          <w:b/>
                          <w:bCs/>
                          <w:noProof/>
                          <w:color w:val="000C19" w:themeColor="text1"/>
                          <w:sz w:val="20"/>
                        </w:rPr>
                      </w:pPr>
                      <w:r>
                        <w:rPr>
                          <w:b/>
                          <w:bCs/>
                          <w:lang w:val="en-GB"/>
                        </w:rPr>
                        <w:t>A</w:t>
                      </w:r>
                      <w:r w:rsidRPr="00426B86">
                        <w:rPr>
                          <w:b/>
                          <w:bCs/>
                          <w:lang w:val="en-GB"/>
                        </w:rPr>
                        <w:t>utomatisierte und autonome Fahrzeuge rechtssicher für Testfahrten im öffentlichen Raum zulassen</w:t>
                      </w:r>
                      <w:r>
                        <w:rPr>
                          <w:b/>
                          <w:bCs/>
                          <w:lang w:val="en-GB"/>
                        </w:rPr>
                        <w:t>.</w:t>
                      </w:r>
                      <w:r w:rsidRPr="00426B86">
                        <w:rPr>
                          <w:b/>
                          <w:bCs/>
                          <w:lang w:val="en-GB"/>
                        </w:rPr>
                        <w:t xml:space="preserve"> </w:t>
                      </w:r>
                      <w:r>
                        <w:t xml:space="preserve">Symbolbild: </w:t>
                      </w:r>
                      <w:r w:rsidRPr="0099198B">
                        <w:t>kinwun via Gettyimages</w:t>
                      </w:r>
                    </w:p>
                  </w:txbxContent>
                </v:textbox>
                <w10:wrap type="square"/>
              </v:shape>
            </w:pict>
          </mc:Fallback>
        </mc:AlternateContent>
      </w:r>
      <w:r w:rsidR="0074631E" w:rsidRPr="0074631E">
        <w:rPr>
          <w:b/>
          <w:bCs/>
          <w:noProof/>
        </w:rPr>
        <w:drawing>
          <wp:anchor distT="0" distB="0" distL="114300" distR="114300" simplePos="0" relativeHeight="251658240" behindDoc="1" locked="0" layoutInCell="1" allowOverlap="0" wp14:anchorId="4C017F66" wp14:editId="41C24534">
            <wp:simplePos x="0" y="0"/>
            <wp:positionH relativeFrom="column">
              <wp:posOffset>29910</wp:posOffset>
            </wp:positionH>
            <wp:positionV relativeFrom="paragraph">
              <wp:posOffset>2367</wp:posOffset>
            </wp:positionV>
            <wp:extent cx="1610360" cy="2223135"/>
            <wp:effectExtent l="0" t="0" r="8890" b="5715"/>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10360" cy="2223135"/>
                    </a:xfrm>
                    <a:prstGeom prst="rect">
                      <a:avLst/>
                    </a:prstGeom>
                  </pic:spPr>
                </pic:pic>
              </a:graphicData>
            </a:graphic>
            <wp14:sizeRelH relativeFrom="margin">
              <wp14:pctWidth>0</wp14:pctWidth>
            </wp14:sizeRelH>
            <wp14:sizeRelV relativeFrom="margin">
              <wp14:pctHeight>0</wp14:pctHeight>
            </wp14:sizeRelV>
          </wp:anchor>
        </w:drawing>
      </w:r>
      <w:r w:rsidR="0074631E" w:rsidRPr="0074631E">
        <w:rPr>
          <w:b/>
          <w:bCs/>
        </w:rPr>
        <w:t xml:space="preserve">(Düsseldorf, </w:t>
      </w:r>
      <w:r w:rsidR="00426B86">
        <w:rPr>
          <w:b/>
          <w:bCs/>
        </w:rPr>
        <w:t>02</w:t>
      </w:r>
      <w:r w:rsidR="0074631E" w:rsidRPr="0074631E">
        <w:rPr>
          <w:b/>
          <w:bCs/>
        </w:rPr>
        <w:t>.</w:t>
      </w:r>
      <w:r w:rsidR="00426B86">
        <w:rPr>
          <w:b/>
          <w:bCs/>
        </w:rPr>
        <w:t>12</w:t>
      </w:r>
      <w:r w:rsidR="0074631E" w:rsidRPr="0074631E">
        <w:rPr>
          <w:b/>
          <w:bCs/>
        </w:rPr>
        <w:t>.202</w:t>
      </w:r>
      <w:r w:rsidR="00426B86">
        <w:rPr>
          <w:b/>
          <w:bCs/>
        </w:rPr>
        <w:t>5</w:t>
      </w:r>
      <w:r w:rsidR="0074631E" w:rsidRPr="0074631E">
        <w:rPr>
          <w:b/>
          <w:bCs/>
        </w:rPr>
        <w:t xml:space="preserve">) </w:t>
      </w:r>
      <w:r w:rsidR="00426B86">
        <w:rPr>
          <w:b/>
          <w:bCs/>
        </w:rPr>
        <w:t xml:space="preserve">Der </w:t>
      </w:r>
      <w:r w:rsidR="00426B86">
        <w:rPr>
          <w:b/>
          <w:bCs/>
          <w:lang w:val="en-GB"/>
        </w:rPr>
        <w:t>n</w:t>
      </w:r>
      <w:r w:rsidR="00426B86" w:rsidRPr="00426B86">
        <w:rPr>
          <w:b/>
          <w:bCs/>
          <w:lang w:val="en-GB"/>
        </w:rPr>
        <w:t xml:space="preserve">eue VDI/TÜV-Verband-EE 5902 Leitfaden zeigt, wie automatisierte und autonome Fahrzeuge rechtssicher für Testfahrten im öffentlichen Raum zugelassen werden. </w:t>
      </w:r>
      <w:r w:rsidR="00426B86">
        <w:rPr>
          <w:b/>
          <w:bCs/>
          <w:lang w:val="en-GB"/>
        </w:rPr>
        <w:t xml:space="preserve">Die Expertenempfehlung unterstützt </w:t>
      </w:r>
      <w:r w:rsidR="00426B86" w:rsidRPr="00426B86">
        <w:rPr>
          <w:b/>
          <w:bCs/>
          <w:lang w:val="en-GB"/>
        </w:rPr>
        <w:t>Unternehmen, Forschungseinrichtungen und Behörden beim Genehmigungsprozess.</w:t>
      </w:r>
    </w:p>
    <w:p w14:paraId="4F62F703" w14:textId="77777777" w:rsidR="0074631E" w:rsidRPr="0074631E" w:rsidRDefault="0074631E" w:rsidP="00317ACD">
      <w:pPr>
        <w:rPr>
          <w:lang w:val="en-GB"/>
        </w:rPr>
      </w:pPr>
    </w:p>
    <w:p w14:paraId="67492A1D" w14:textId="400D8450" w:rsidR="00426B86" w:rsidRPr="00426B86" w:rsidRDefault="00426B86" w:rsidP="00426B86">
      <w:pPr>
        <w:pStyle w:val="Textkrper"/>
        <w:rPr>
          <w:rFonts w:ascii="Nunito Sans Light" w:eastAsiaTheme="minorHAnsi" w:hAnsi="Nunito Sans Light" w:cs="Times New Roman (Textkörper CS)"/>
          <w:spacing w:val="4"/>
          <w:szCs w:val="24"/>
          <w:lang w:val="en-GB" w:eastAsia="en-US" w:bidi="ar-SA"/>
        </w:rPr>
      </w:pPr>
      <w:r w:rsidRPr="00426B86">
        <w:rPr>
          <w:rFonts w:ascii="Nunito Sans Light" w:eastAsiaTheme="minorHAnsi" w:hAnsi="Nunito Sans Light" w:cs="Times New Roman (Textkörper CS)"/>
          <w:spacing w:val="4"/>
          <w:szCs w:val="24"/>
          <w:lang w:val="en-GB" w:eastAsia="en-US" w:bidi="ar-SA"/>
        </w:rPr>
        <w:t>Automatisierte und autonome Fahrzeuge gelten als Schlüsseltechnologien für die Mobilität der Zukunft. Bevor neue Systeme im öffentlichen Straßenverkehr getestet werden dürfen, müssen Entwicklerinnen und Entwickler ein umfangreiches Genehmigungsverfahren durchlaufen. Die gemeinsame neue Expertenempfehlung von VDI und TÜV-Verband bietet nun erstmals eine kompakte und verständliche Anleitung für diesen Prozess. „Mit diesem Leitfaden wollen wir besonders denjenigen eine praktische Orientierung bieten, die nicht täglich mit Genehmigungsverfahren zu tun haben“, sagen Christof Kerkhoff (VDI) und Frank Schneider (TÜV-Verband). „Forschungs- und Entwicklungsteams sowie Start-ups erhalten damit einen klaren, schnell anwendbaren Leitfaden, um eine Erprobungsgenehmigung erfolgreich zu beantragen.“</w:t>
      </w:r>
    </w:p>
    <w:p w14:paraId="7CE190C5" w14:textId="77777777" w:rsidR="00426B86" w:rsidRPr="00426B86" w:rsidRDefault="00426B86" w:rsidP="00426B86">
      <w:pPr>
        <w:pStyle w:val="Textkrper"/>
        <w:rPr>
          <w:rFonts w:ascii="Nunito Sans Light" w:eastAsiaTheme="minorHAnsi" w:hAnsi="Nunito Sans Light" w:cs="Times New Roman (Textkörper CS)"/>
          <w:b/>
          <w:bCs/>
          <w:spacing w:val="4"/>
          <w:szCs w:val="24"/>
          <w:lang w:val="en-GB" w:eastAsia="en-US" w:bidi="ar-SA"/>
        </w:rPr>
      </w:pPr>
      <w:r w:rsidRPr="00426B86">
        <w:rPr>
          <w:rFonts w:ascii="Nunito Sans Light" w:eastAsiaTheme="minorHAnsi" w:hAnsi="Nunito Sans Light" w:cs="Times New Roman (Textkörper CS)"/>
          <w:b/>
          <w:bCs/>
          <w:spacing w:val="4"/>
          <w:szCs w:val="24"/>
          <w:lang w:val="en-GB" w:eastAsia="en-US" w:bidi="ar-SA"/>
        </w:rPr>
        <w:t>Expertenempfehlung bündelt Schritte von Vorbereitung bis Genehmigung</w:t>
      </w:r>
    </w:p>
    <w:p w14:paraId="747BC788" w14:textId="77777777" w:rsidR="00426B86" w:rsidRPr="00426B86" w:rsidRDefault="00426B86" w:rsidP="00426B86">
      <w:pPr>
        <w:pStyle w:val="Textkrper"/>
        <w:rPr>
          <w:rFonts w:ascii="Nunito Sans Light" w:eastAsiaTheme="minorHAnsi" w:hAnsi="Nunito Sans Light" w:cs="Times New Roman (Textkörper CS)"/>
          <w:spacing w:val="4"/>
          <w:szCs w:val="24"/>
          <w:lang w:val="en-GB" w:eastAsia="en-US" w:bidi="ar-SA"/>
        </w:rPr>
      </w:pPr>
      <w:r w:rsidRPr="00426B86">
        <w:rPr>
          <w:rFonts w:ascii="Nunito Sans Light" w:eastAsiaTheme="minorHAnsi" w:hAnsi="Nunito Sans Light" w:cs="Times New Roman (Textkörper CS)"/>
          <w:spacing w:val="4"/>
          <w:szCs w:val="24"/>
          <w:lang w:val="en-GB" w:eastAsia="en-US" w:bidi="ar-SA"/>
        </w:rPr>
        <w:lastRenderedPageBreak/>
        <w:t>Die Expertenempfehlung bündelt erstmals alle Anforderungen und Arbeitsschritte für die Beantragung einer Erprobungsgenehmigung und richtet sich besonders an Teams ohne umfangreiche Genehmigungserfahrung. Im Mittelpunkt steht das Entwicklungskonzept, mit dem Antragstellende Funktionsumfang, Sicherheitsstrategie und den geplanten Testbetrieb beschreiben.</w:t>
      </w:r>
    </w:p>
    <w:p w14:paraId="4BA290E2" w14:textId="77777777" w:rsidR="00426B86" w:rsidRPr="00426B86" w:rsidRDefault="00426B86" w:rsidP="00426B86">
      <w:pPr>
        <w:pStyle w:val="Textkrper"/>
        <w:numPr>
          <w:ilvl w:val="0"/>
          <w:numId w:val="7"/>
        </w:numPr>
        <w:rPr>
          <w:rFonts w:ascii="Nunito Sans Light" w:eastAsiaTheme="minorHAnsi" w:hAnsi="Nunito Sans Light" w:cs="Times New Roman (Textkörper CS)"/>
          <w:spacing w:val="4"/>
          <w:szCs w:val="24"/>
          <w:lang w:val="en-GB" w:eastAsia="en-US" w:bidi="ar-SA"/>
        </w:rPr>
      </w:pPr>
      <w:r w:rsidRPr="00426B86">
        <w:rPr>
          <w:rFonts w:ascii="Nunito Sans Light" w:eastAsiaTheme="minorHAnsi" w:hAnsi="Nunito Sans Light" w:cs="Times New Roman (Textkörper CS)"/>
          <w:b/>
          <w:bCs/>
          <w:spacing w:val="4"/>
          <w:szCs w:val="24"/>
          <w:lang w:val="en-GB" w:eastAsia="en-US" w:bidi="ar-SA"/>
        </w:rPr>
        <w:t>Schritt-für-Schritt-Anleitung:</w:t>
      </w:r>
      <w:r w:rsidRPr="00426B86">
        <w:rPr>
          <w:rFonts w:ascii="Nunito Sans Light" w:eastAsiaTheme="minorHAnsi" w:hAnsi="Nunito Sans Light" w:cs="Times New Roman (Textkörper CS)"/>
          <w:spacing w:val="4"/>
          <w:szCs w:val="24"/>
          <w:lang w:val="en-GB" w:eastAsia="en-US" w:bidi="ar-SA"/>
        </w:rPr>
        <w:t xml:space="preserve"> Die Expertenempfehlung führt kompakt durch den gesamten Genehmigungsprozess. Vom ersten Check, ob ein Fahrzeug überhaupt für Testfahrten infrage kommt, über die Erstellung der Antragsunterlagen bis zur digitalen Einreichung und der abschließenden Vor-Ort-Abnahme. Antragstellende erhalten damit einen klaren, nachvollziehbaren Ablaufplan.</w:t>
      </w:r>
    </w:p>
    <w:p w14:paraId="369D1E45" w14:textId="77777777" w:rsidR="00426B86" w:rsidRPr="00426B86" w:rsidRDefault="00426B86" w:rsidP="00426B86">
      <w:pPr>
        <w:pStyle w:val="Textkrper"/>
        <w:numPr>
          <w:ilvl w:val="0"/>
          <w:numId w:val="7"/>
        </w:numPr>
        <w:rPr>
          <w:rFonts w:ascii="Nunito Sans Light" w:eastAsiaTheme="minorHAnsi" w:hAnsi="Nunito Sans Light" w:cs="Times New Roman (Textkörper CS)"/>
          <w:spacing w:val="4"/>
          <w:szCs w:val="24"/>
          <w:lang w:val="en-GB" w:eastAsia="en-US" w:bidi="ar-SA"/>
        </w:rPr>
      </w:pPr>
      <w:r w:rsidRPr="00426B86">
        <w:rPr>
          <w:rFonts w:ascii="Nunito Sans Light" w:eastAsiaTheme="minorHAnsi" w:hAnsi="Nunito Sans Light" w:cs="Times New Roman (Textkörper CS)"/>
          <w:b/>
          <w:bCs/>
          <w:spacing w:val="4"/>
          <w:szCs w:val="24"/>
          <w:lang w:val="en-GB" w:eastAsia="en-US" w:bidi="ar-SA"/>
        </w:rPr>
        <w:t>Transparente Anforderungen:</w:t>
      </w:r>
      <w:r w:rsidRPr="00426B86">
        <w:rPr>
          <w:rFonts w:ascii="Nunito Sans Light" w:eastAsiaTheme="minorHAnsi" w:hAnsi="Nunito Sans Light" w:cs="Times New Roman (Textkörper CS)"/>
          <w:spacing w:val="4"/>
          <w:szCs w:val="24"/>
          <w:lang w:val="en-GB" w:eastAsia="en-US" w:bidi="ar-SA"/>
        </w:rPr>
        <w:t xml:space="preserve"> Es beschreibt zudem, welche Dokumente einzureichen sind: vom Entwicklungskonzept über den Beschreibungsbogen bis zu Qualifikationsnachweisen. Alle Anforderungen sind verständlich erklärt, sodass Unterlagen vollständig und korrekt eingereicht werden können.</w:t>
      </w:r>
    </w:p>
    <w:p w14:paraId="449F13AF" w14:textId="77777777" w:rsidR="00426B86" w:rsidRPr="00426B86" w:rsidRDefault="00426B86" w:rsidP="00426B86">
      <w:pPr>
        <w:pStyle w:val="Textkrper"/>
        <w:numPr>
          <w:ilvl w:val="0"/>
          <w:numId w:val="7"/>
        </w:numPr>
        <w:rPr>
          <w:rFonts w:ascii="Nunito Sans Light" w:eastAsiaTheme="minorHAnsi" w:hAnsi="Nunito Sans Light" w:cs="Times New Roman (Textkörper CS)"/>
          <w:spacing w:val="4"/>
          <w:szCs w:val="24"/>
          <w:lang w:val="en-GB" w:eastAsia="en-US" w:bidi="ar-SA"/>
        </w:rPr>
      </w:pPr>
      <w:r w:rsidRPr="00426B86">
        <w:rPr>
          <w:rFonts w:ascii="Nunito Sans Light" w:eastAsiaTheme="minorHAnsi" w:hAnsi="Nunito Sans Light" w:cs="Times New Roman (Textkörper CS)"/>
          <w:b/>
          <w:bCs/>
          <w:spacing w:val="4"/>
          <w:szCs w:val="24"/>
          <w:lang w:val="en-GB" w:eastAsia="en-US" w:bidi="ar-SA"/>
        </w:rPr>
        <w:t>Best Practices:</w:t>
      </w:r>
      <w:r w:rsidRPr="00426B86">
        <w:rPr>
          <w:rFonts w:ascii="Nunito Sans Light" w:eastAsiaTheme="minorHAnsi" w:hAnsi="Nunito Sans Light" w:cs="Times New Roman (Textkörper CS)"/>
          <w:spacing w:val="4"/>
          <w:szCs w:val="24"/>
          <w:lang w:val="en-GB" w:eastAsia="en-US" w:bidi="ar-SA"/>
        </w:rPr>
        <w:t xml:space="preserve"> Durch praxisnahe Empfehlungen wird klar, wie zentrale Inhalte – beispielsweise Funktionsumfang, Sicherheitsstrategie oder geplante technische Änderungen – schlüssig und vollständig beschrieben werden können. Damit erhalten vor allem Antragstellende ohne Vorerfahrung eine verlässliche Orientierung für ein fachlich stichhaltiges Entwicklungskonzept.</w:t>
      </w:r>
    </w:p>
    <w:p w14:paraId="25C2F984" w14:textId="77777777" w:rsidR="00426B86" w:rsidRPr="00426B86" w:rsidRDefault="00426B86" w:rsidP="00426B86">
      <w:pPr>
        <w:pStyle w:val="Textkrper"/>
        <w:numPr>
          <w:ilvl w:val="0"/>
          <w:numId w:val="7"/>
        </w:numPr>
        <w:rPr>
          <w:rFonts w:ascii="Nunito Sans Light" w:eastAsiaTheme="minorHAnsi" w:hAnsi="Nunito Sans Light" w:cs="Times New Roman (Textkörper CS)"/>
          <w:spacing w:val="4"/>
          <w:szCs w:val="24"/>
          <w:lang w:val="en-GB" w:eastAsia="en-US" w:bidi="ar-SA"/>
        </w:rPr>
      </w:pPr>
      <w:r w:rsidRPr="00426B86">
        <w:rPr>
          <w:rFonts w:ascii="Nunito Sans Light" w:eastAsiaTheme="minorHAnsi" w:hAnsi="Nunito Sans Light" w:cs="Times New Roman (Textkörper CS)"/>
          <w:b/>
          <w:bCs/>
          <w:spacing w:val="4"/>
          <w:szCs w:val="24"/>
          <w:lang w:val="en-GB" w:eastAsia="en-US" w:bidi="ar-SA"/>
        </w:rPr>
        <w:t>Abläufe bei den Behörden:</w:t>
      </w:r>
      <w:r w:rsidRPr="00426B86">
        <w:rPr>
          <w:rFonts w:ascii="Nunito Sans Light" w:eastAsiaTheme="minorHAnsi" w:hAnsi="Nunito Sans Light" w:cs="Times New Roman (Textkörper CS)"/>
          <w:spacing w:val="4"/>
          <w:szCs w:val="24"/>
          <w:lang w:val="en-GB" w:eastAsia="en-US" w:bidi="ar-SA"/>
        </w:rPr>
        <w:t xml:space="preserve"> Die Expertenempfehlung erläutert, wie die Zusammenarbeit mit dem Kraftfahrt-Bundesamt (KBA), dem Bundesamt für Sicherheit in der Informationstechnik (BSI) und den jeweils zuständigen Landesbehörden abläuft, inklusive Fristen, Zuständigkeiten und typischen Rückfragen. Dadurch werden behördliche Prozesse für Antragstellende nachvollziehbar.</w:t>
      </w:r>
    </w:p>
    <w:p w14:paraId="43EB07BB" w14:textId="77777777" w:rsidR="00426B86" w:rsidRPr="00426B86" w:rsidRDefault="00426B86" w:rsidP="00426B86">
      <w:pPr>
        <w:pStyle w:val="Textkrper"/>
        <w:numPr>
          <w:ilvl w:val="0"/>
          <w:numId w:val="7"/>
        </w:numPr>
        <w:rPr>
          <w:rFonts w:ascii="Nunito Sans Light" w:eastAsiaTheme="minorHAnsi" w:hAnsi="Nunito Sans Light" w:cs="Times New Roman (Textkörper CS)"/>
          <w:spacing w:val="4"/>
          <w:szCs w:val="24"/>
          <w:lang w:val="en-GB" w:eastAsia="en-US" w:bidi="ar-SA"/>
        </w:rPr>
      </w:pPr>
      <w:r w:rsidRPr="00426B86">
        <w:rPr>
          <w:rFonts w:ascii="Nunito Sans Light" w:eastAsiaTheme="minorHAnsi" w:hAnsi="Nunito Sans Light" w:cs="Times New Roman (Textkörper CS)"/>
          <w:b/>
          <w:bCs/>
          <w:spacing w:val="4"/>
          <w:szCs w:val="24"/>
          <w:lang w:val="en-GB" w:eastAsia="en-US" w:bidi="ar-SA"/>
        </w:rPr>
        <w:t>Rechtlicher Rahmen:</w:t>
      </w:r>
      <w:r w:rsidRPr="00426B86">
        <w:rPr>
          <w:rFonts w:ascii="Nunito Sans Light" w:eastAsiaTheme="minorHAnsi" w:hAnsi="Nunito Sans Light" w:cs="Times New Roman (Textkörper CS)"/>
          <w:spacing w:val="4"/>
          <w:szCs w:val="24"/>
          <w:lang w:val="en-GB" w:eastAsia="en-US" w:bidi="ar-SA"/>
        </w:rPr>
        <w:t xml:space="preserve"> Abschließend bietet die Expertenempfehlung eine kompakte Übersicht über alle relevanten Gesetze und Verordnungen, darunter das Straßenverkehrsgesetz (StVG) und die Autonome-Fahrzeuge-Genehmigungs- und Betriebsverordnung (AFGBV). Damit sind alle rechtlichen Grundlagen für den Antrag gebündelt an einer Stelle verfügbar.</w:t>
      </w:r>
    </w:p>
    <w:p w14:paraId="2A94756A" w14:textId="77777777" w:rsidR="00426B86" w:rsidRPr="00426B86" w:rsidRDefault="00426B86" w:rsidP="00426B86">
      <w:pPr>
        <w:pStyle w:val="Textkrper"/>
        <w:rPr>
          <w:rFonts w:ascii="Nunito Sans Light" w:eastAsiaTheme="minorHAnsi" w:hAnsi="Nunito Sans Light" w:cs="Times New Roman (Textkörper CS)"/>
          <w:spacing w:val="4"/>
          <w:szCs w:val="24"/>
          <w:lang w:val="en-GB" w:eastAsia="en-US" w:bidi="ar-SA"/>
        </w:rPr>
      </w:pPr>
      <w:r w:rsidRPr="00426B86">
        <w:rPr>
          <w:rFonts w:ascii="Nunito Sans Light" w:eastAsiaTheme="minorHAnsi" w:hAnsi="Nunito Sans Light" w:cs="Times New Roman (Textkörper CS)"/>
          <w:spacing w:val="4"/>
          <w:szCs w:val="24"/>
          <w:lang w:val="en-GB" w:eastAsia="en-US" w:bidi="ar-SA"/>
        </w:rPr>
        <w:t xml:space="preserve">„Die Veröffentlichung des Merkblatts kommt genau zur richtigen Zeit, denn immer mehr </w:t>
      </w:r>
      <w:r w:rsidRPr="00426B86">
        <w:rPr>
          <w:rFonts w:ascii="Nunito Sans Light" w:eastAsiaTheme="minorHAnsi" w:hAnsi="Nunito Sans Light" w:cs="Times New Roman (Textkörper CS)"/>
          <w:spacing w:val="4"/>
          <w:szCs w:val="24"/>
          <w:lang w:val="en-GB" w:eastAsia="en-US" w:bidi="ar-SA"/>
        </w:rPr>
        <w:lastRenderedPageBreak/>
        <w:t>Unternehmen und Forschungsteams wollen automatisierte Mobilitätslösungen im realen Verkehr erproben“, sagen Kerkhoff und Schneider. „Klare Kriterien und verständliche Abläufe erleichtern den Zugang zu Testgenehmigungen und heben gleichzeitig das technische Sicherheitsniveau. So unterstützt die Expertenempfehlung nicht nur die Weiterentwicklung neuer Technologien, sondern stärkt auch das Vertrauen von Behörden und Öffentlichkeit in automatisierte Fahrsysteme.“</w:t>
      </w:r>
    </w:p>
    <w:p w14:paraId="1C692D3D" w14:textId="77777777" w:rsidR="00426B86" w:rsidRPr="00426B86" w:rsidRDefault="00426B86" w:rsidP="00426B86">
      <w:pPr>
        <w:pStyle w:val="Textkrper"/>
        <w:rPr>
          <w:rFonts w:ascii="Nunito Sans Light" w:eastAsiaTheme="minorHAnsi" w:hAnsi="Nunito Sans Light" w:cs="Times New Roman (Textkörper CS)"/>
          <w:spacing w:val="4"/>
          <w:szCs w:val="24"/>
          <w:lang w:val="en-GB" w:eastAsia="en-US" w:bidi="ar-SA"/>
        </w:rPr>
      </w:pPr>
      <w:r w:rsidRPr="00426B86">
        <w:rPr>
          <w:rFonts w:ascii="Nunito Sans Light" w:eastAsiaTheme="minorHAnsi" w:hAnsi="Nunito Sans Light" w:cs="Times New Roman (Textkörper CS)"/>
          <w:spacing w:val="4"/>
          <w:szCs w:val="24"/>
          <w:lang w:val="en-GB" w:eastAsia="en-US" w:bidi="ar-SA"/>
        </w:rPr>
        <w:t xml:space="preserve">Der Leitfaden erscheint sowohl als VDI-Expertenempfehlung als auch als TÜV-Verband Merkblatt und wird fortlaufend an den Stand der Technik angepasst. Es schafft eine einheitliche, klar strukturierte Grundlage für effiziente Antragstellungen. Gleichzeitig unterstützt es die Weiterentwicklung und sichere Erprobung hochautomatisierter Fahrzeuge in Deutschland. </w:t>
      </w:r>
    </w:p>
    <w:p w14:paraId="0F1F2A1E" w14:textId="415C8453" w:rsidR="00626989" w:rsidRPr="00426B86" w:rsidRDefault="00426B86" w:rsidP="00426B86">
      <w:pPr>
        <w:pStyle w:val="Textkrper"/>
        <w:rPr>
          <w:rFonts w:ascii="Nunito Sans Light" w:eastAsiaTheme="minorHAnsi" w:hAnsi="Nunito Sans Light" w:cs="Times New Roman (Textkörper CS)"/>
          <w:spacing w:val="4"/>
          <w:szCs w:val="24"/>
          <w:lang w:val="en-GB" w:eastAsia="en-US" w:bidi="ar-SA"/>
        </w:rPr>
      </w:pPr>
      <w:r w:rsidRPr="00426B86">
        <w:rPr>
          <w:rFonts w:ascii="Nunito Sans Light" w:eastAsiaTheme="minorHAnsi" w:hAnsi="Nunito Sans Light" w:cs="Times New Roman (Textkörper CS)"/>
          <w:spacing w:val="4"/>
          <w:szCs w:val="24"/>
          <w:lang w:val="en-GB" w:eastAsia="en-US" w:bidi="ar-SA"/>
        </w:rPr>
        <w:t>Die Expertenempfehlung VDI/TÜV-Verband-EE 5902 „</w:t>
      </w:r>
      <w:hyperlink r:id="rId12" w:history="1">
        <w:r w:rsidRPr="00426B86">
          <w:rPr>
            <w:rStyle w:val="Hyperlink"/>
            <w:rFonts w:ascii="Nunito Sans Light" w:eastAsiaTheme="minorHAnsi" w:hAnsi="Nunito Sans Light" w:cs="Times New Roman (Textkörper CS)"/>
            <w:spacing w:val="4"/>
            <w:szCs w:val="24"/>
            <w:lang w:val="en-GB" w:eastAsia="en-US" w:bidi="ar-SA"/>
          </w:rPr>
          <w:t>Leitfaden für Erprobungsgenehmigungen für automatisierte und autonome Fahrzeuge</w:t>
        </w:r>
      </w:hyperlink>
      <w:r w:rsidRPr="00426B86">
        <w:rPr>
          <w:rFonts w:ascii="Nunito Sans Light" w:eastAsiaTheme="minorHAnsi" w:hAnsi="Nunito Sans Light" w:cs="Times New Roman (Textkörper CS)"/>
          <w:spacing w:val="4"/>
          <w:szCs w:val="24"/>
          <w:lang w:val="en-GB" w:eastAsia="en-US" w:bidi="ar-SA"/>
        </w:rPr>
        <w:t xml:space="preserve">“ </w:t>
      </w:r>
      <w:r>
        <w:rPr>
          <w:rFonts w:ascii="Nunito Sans Light" w:eastAsiaTheme="minorHAnsi" w:hAnsi="Nunito Sans Light" w:cs="Times New Roman (Textkörper CS)"/>
          <w:spacing w:val="4"/>
          <w:szCs w:val="24"/>
          <w:lang w:val="en-GB" w:eastAsia="en-US" w:bidi="ar-SA"/>
        </w:rPr>
        <w:t>erscheint</w:t>
      </w:r>
      <w:r w:rsidRPr="00426B86">
        <w:rPr>
          <w:rFonts w:ascii="Nunito Sans Light" w:eastAsiaTheme="minorHAnsi" w:hAnsi="Nunito Sans Light" w:cs="Times New Roman (Textkörper CS)"/>
          <w:spacing w:val="4"/>
          <w:szCs w:val="24"/>
          <w:lang w:val="en-GB" w:eastAsia="en-US" w:bidi="ar-SA"/>
        </w:rPr>
        <w:t xml:space="preserve"> im Dezember 202</w:t>
      </w:r>
      <w:r>
        <w:rPr>
          <w:rFonts w:ascii="Nunito Sans Light" w:eastAsiaTheme="minorHAnsi" w:hAnsi="Nunito Sans Light" w:cs="Times New Roman (Textkörper CS)"/>
          <w:spacing w:val="4"/>
          <w:szCs w:val="24"/>
          <w:lang w:val="en-GB" w:eastAsia="en-US" w:bidi="ar-SA"/>
        </w:rPr>
        <w:t>5</w:t>
      </w:r>
      <w:r w:rsidRPr="00426B86">
        <w:rPr>
          <w:rFonts w:ascii="Nunito Sans Light" w:eastAsiaTheme="minorHAnsi" w:hAnsi="Nunito Sans Light" w:cs="Times New Roman (Textkörper CS)"/>
          <w:spacing w:val="4"/>
          <w:szCs w:val="24"/>
          <w:lang w:val="en-GB" w:eastAsia="en-US" w:bidi="ar-SA"/>
        </w:rPr>
        <w:t xml:space="preserve"> und kann für 69,60 € bei </w:t>
      </w:r>
      <w:hyperlink r:id="rId13" w:history="1">
        <w:r w:rsidRPr="00612E90">
          <w:rPr>
            <w:rStyle w:val="Hyperlink"/>
            <w:rFonts w:ascii="Nunito Sans Light" w:eastAsiaTheme="minorHAnsi" w:hAnsi="Nunito Sans Light" w:cs="Times New Roman (Textkörper CS)"/>
            <w:spacing w:val="4"/>
            <w:szCs w:val="24"/>
            <w:lang w:val="en-GB" w:eastAsia="en-US" w:bidi="ar-SA"/>
          </w:rPr>
          <w:t>DIN Media bestellt werden</w:t>
        </w:r>
      </w:hyperlink>
      <w:r w:rsidRPr="00426B86">
        <w:rPr>
          <w:rFonts w:ascii="Nunito Sans Light" w:eastAsiaTheme="minorHAnsi" w:hAnsi="Nunito Sans Light" w:cs="Times New Roman (Textkörper CS)"/>
          <w:spacing w:val="4"/>
          <w:szCs w:val="24"/>
          <w:lang w:val="en-GB" w:eastAsia="en-US" w:bidi="ar-SA"/>
        </w:rPr>
        <w:t>.</w:t>
      </w:r>
      <w:r>
        <w:rPr>
          <w:rFonts w:ascii="Nunito Sans Light" w:eastAsiaTheme="minorHAnsi" w:hAnsi="Nunito Sans Light" w:cs="Times New Roman (Textkörper CS)"/>
          <w:spacing w:val="4"/>
          <w:szCs w:val="24"/>
          <w:lang w:val="en-GB" w:eastAsia="en-US" w:bidi="ar-SA"/>
        </w:rPr>
        <w:t xml:space="preserve"> </w:t>
      </w:r>
      <w:r w:rsidRPr="00426B86">
        <w:rPr>
          <w:rFonts w:ascii="Nunito Sans Light" w:eastAsiaTheme="minorHAnsi" w:hAnsi="Nunito Sans Light" w:cs="Times New Roman (Textkörper CS)"/>
          <w:szCs w:val="24"/>
          <w:lang w:val="en-GB" w:eastAsia="en-US" w:bidi="ar-SA"/>
        </w:rPr>
        <w:t>VDI-Mitglieder erhalten 10 Prozent Preisvorteil auf alle VDI-Richtlinien.</w:t>
      </w:r>
    </w:p>
    <w:p w14:paraId="6406F690" w14:textId="77777777" w:rsidR="003E28E2" w:rsidRPr="007E1A1A" w:rsidRDefault="00993EA1" w:rsidP="00DD6ED4">
      <w:pPr>
        <w:pStyle w:val="EinfAbs"/>
        <w:rPr>
          <w:lang w:val="en-US"/>
        </w:rPr>
      </w:pPr>
      <w:r>
        <w:rPr>
          <w:noProof/>
          <w:lang w:val="en-US"/>
        </w:rPr>
        <mc:AlternateContent>
          <mc:Choice Requires="wps">
            <w:drawing>
              <wp:anchor distT="0" distB="0" distL="114300" distR="114300" simplePos="0" relativeHeight="251661312" behindDoc="0" locked="0" layoutInCell="1" allowOverlap="1" wp14:anchorId="1512F423" wp14:editId="132C9658">
                <wp:simplePos x="0" y="0"/>
                <wp:positionH relativeFrom="column">
                  <wp:posOffset>-53975</wp:posOffset>
                </wp:positionH>
                <wp:positionV relativeFrom="paragraph">
                  <wp:posOffset>158115</wp:posOffset>
                </wp:positionV>
                <wp:extent cx="6096000" cy="31750"/>
                <wp:effectExtent l="0" t="0" r="19050" b="25400"/>
                <wp:wrapNone/>
                <wp:docPr id="2" name="Gerader Verbinder 2"/>
                <wp:cNvGraphicFramePr/>
                <a:graphic xmlns:a="http://schemas.openxmlformats.org/drawingml/2006/main">
                  <a:graphicData uri="http://schemas.microsoft.com/office/word/2010/wordprocessingShape">
                    <wps:wsp>
                      <wps:cNvCnPr/>
                      <wps:spPr>
                        <a:xfrm flipV="1">
                          <a:off x="0" y="0"/>
                          <a:ext cx="6096000" cy="3175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E4BBD1" id="Gerader Verbinde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5pt,12.45pt" to="475.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" strokecolor="#003da4 [3206]" strokeweight=".5pt">
                <v:stroke joinstyle="miter"/>
              </v:line>
            </w:pict>
          </mc:Fallback>
        </mc:AlternateContent>
      </w:r>
    </w:p>
    <w:p w14:paraId="7A2DD5E4" w14:textId="77777777" w:rsidR="00A81237" w:rsidRPr="00FE19D8" w:rsidRDefault="00A81237" w:rsidP="002D1159">
      <w:pPr>
        <w:pStyle w:val="EinfAbs"/>
        <w:rPr>
          <w:b/>
          <w:bCs/>
          <w:lang w:val="en-US"/>
        </w:rPr>
      </w:pPr>
    </w:p>
    <w:p w14:paraId="4B737507" w14:textId="77777777" w:rsidR="002D1159" w:rsidRPr="002D1159" w:rsidRDefault="002D1159" w:rsidP="002D1159">
      <w:pPr>
        <w:pStyle w:val="EinfAbs"/>
        <w:rPr>
          <w:b/>
          <w:bCs/>
        </w:rPr>
      </w:pPr>
      <w:r w:rsidRPr="002D1159">
        <w:rPr>
          <w:b/>
          <w:bCs/>
        </w:rPr>
        <w:t>Fachlicher Ansprechpartner:</w:t>
      </w:r>
    </w:p>
    <w:p w14:paraId="7945A9B4" w14:textId="77777777" w:rsidR="00426B86" w:rsidRPr="00426B86" w:rsidRDefault="00426B86" w:rsidP="00426B86">
      <w:pPr>
        <w:rPr>
          <w:lang w:val="en-GB"/>
        </w:rPr>
      </w:pPr>
      <w:r w:rsidRPr="00426B86">
        <w:rPr>
          <w:lang w:val="en-GB"/>
        </w:rPr>
        <w:t>Dipl.-Ing. Christof Kerkhoff</w:t>
      </w:r>
      <w:r w:rsidRPr="00426B86">
        <w:rPr>
          <w:lang w:val="en-GB"/>
        </w:rPr>
        <w:br/>
        <w:t>VDI-Gesellschaft Fahrzeug- und Verkehrstechnik</w:t>
      </w:r>
      <w:r w:rsidRPr="00426B86">
        <w:rPr>
          <w:lang w:val="en-GB"/>
        </w:rPr>
        <w:br/>
        <w:t>E-Mail: </w:t>
      </w:r>
      <w:hyperlink r:id="rId14" w:history="1">
        <w:r w:rsidRPr="00426B86">
          <w:rPr>
            <w:lang w:val="en-GB"/>
          </w:rPr>
          <w:t>fvt@vdi.de</w:t>
        </w:r>
      </w:hyperlink>
    </w:p>
    <w:p w14:paraId="7227C59B" w14:textId="77777777" w:rsidR="002D1159" w:rsidRDefault="002D1159" w:rsidP="002D1159">
      <w:pPr>
        <w:pStyle w:val="EinfAbs"/>
      </w:pPr>
    </w:p>
    <w:p w14:paraId="7AD4C2D1" w14:textId="77777777" w:rsidR="002D1159" w:rsidRDefault="002D1159" w:rsidP="002D1159">
      <w:pPr>
        <w:pStyle w:val="EinfAbs"/>
      </w:pPr>
    </w:p>
    <w:p w14:paraId="4F42C156" w14:textId="77777777" w:rsidR="002D1159" w:rsidRPr="002D1159" w:rsidRDefault="002D1159" w:rsidP="002D1159">
      <w:pPr>
        <w:pStyle w:val="EinfAbs"/>
        <w:rPr>
          <w:b/>
          <w:bCs/>
          <w:sz w:val="24"/>
          <w:szCs w:val="24"/>
        </w:rPr>
      </w:pPr>
      <w:r w:rsidRPr="002D1159">
        <w:rPr>
          <w:b/>
          <w:bCs/>
          <w:sz w:val="24"/>
          <w:szCs w:val="24"/>
        </w:rPr>
        <w:t>VDI als Gestalter der Zukunft</w:t>
      </w:r>
    </w:p>
    <w:p w14:paraId="6B489E7A" w14:textId="77777777" w:rsidR="00FB62D8" w:rsidRDefault="00FB62D8" w:rsidP="00FB62D8">
      <w:r w:rsidRPr="004C5C16">
        <w:t>Mit unserer Community und unseren rund 1</w:t>
      </w:r>
      <w:r>
        <w:t>25</w:t>
      </w:r>
      <w:r w:rsidRPr="004C5C16">
        <w:t>.000 Mitgliedern setzen wir, der VDI e.V., Impulse für die Zukunft und bilden ein einzigartiges multidisziplinäres Netzwerk, das richtungweisende Entwicklungen mitgestaltet und prägt. Als bedeutender deutscher technischer Regelsetzer bündeln wir Kompetenzen, um die Welt von morgen zu gestalten und leisten einen wichtigen Beitrag, um Fortschritt und Wohlstand zu sichern. Mit Deutschlands größter Community für Ingenieurinnen und Ingenieure, unseren Mitgliedern und unseren umfangreichen Angeboten schaffen wir das Zuhause aller technisch inspirierten 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5BF496D8" w14:textId="77777777" w:rsidR="00FB62D8" w:rsidRDefault="00FB62D8" w:rsidP="00FB62D8"/>
    <w:p w14:paraId="514BC54B" w14:textId="77777777" w:rsidR="00FB62D8" w:rsidRPr="00F36173" w:rsidRDefault="00FB62D8" w:rsidP="00FB62D8">
      <w:r w:rsidRPr="00F36173">
        <w:t xml:space="preserve">Wer ist der VDI? Und was macht der VDI? Der </w:t>
      </w:r>
      <w:hyperlink r:id="rId15" w:history="1">
        <w:r w:rsidRPr="00F36173">
          <w:rPr>
            <w:rStyle w:val="Hyperlink"/>
          </w:rPr>
          <w:t>VDI-Imagefilm</w:t>
        </w:r>
      </w:hyperlink>
      <w:r w:rsidRPr="00F36173">
        <w:t xml:space="preserve"> liefert kompakt</w:t>
      </w:r>
      <w:r>
        <w:t>e</w:t>
      </w:r>
      <w:r w:rsidRPr="00F36173">
        <w:t xml:space="preserve"> Antworten. </w:t>
      </w:r>
    </w:p>
    <w:p w14:paraId="62DCAC81" w14:textId="77777777" w:rsidR="00FB62D8" w:rsidRPr="004C5C16" w:rsidRDefault="00FB62D8" w:rsidP="00FB62D8"/>
    <w:p w14:paraId="46D2BE09" w14:textId="77777777" w:rsidR="00FB62D8" w:rsidRPr="004C5C16" w:rsidRDefault="00FB62D8" w:rsidP="00FB62D8">
      <w:r w:rsidRPr="004C5C16">
        <w:rPr>
          <w:b/>
          <w:bCs/>
        </w:rPr>
        <w:t>Hinweis an die Redaktion:</w:t>
      </w:r>
    </w:p>
    <w:p w14:paraId="1DD12BB3" w14:textId="77777777" w:rsidR="00FB62D8" w:rsidRPr="004C5C16" w:rsidRDefault="00FB62D8" w:rsidP="00FB62D8">
      <w:r w:rsidRPr="004C5C16">
        <w:rPr>
          <w:i/>
          <w:iCs/>
        </w:rPr>
        <w:t xml:space="preserve">Ihre Ansprechpartnerin in der VDI-Pressestelle: Sarah Janczura, Telefon: +49 211 62 14- 641 × E-Mail: </w:t>
      </w:r>
      <w:hyperlink r:id="rId16" w:history="1">
        <w:r w:rsidRPr="004737D4">
          <w:rPr>
            <w:rStyle w:val="Hyperlink"/>
            <w:i/>
            <w:iCs/>
          </w:rPr>
          <w:t>presse@vdi.de</w:t>
        </w:r>
      </w:hyperlink>
    </w:p>
    <w:p w14:paraId="4EFFF25B" w14:textId="336A14CE" w:rsidR="00F34607" w:rsidRPr="002D1159" w:rsidRDefault="00F34607" w:rsidP="002D1159">
      <w:pPr>
        <w:pStyle w:val="EinfAbs"/>
      </w:pPr>
    </w:p>
    <w:sectPr w:rsidR="00F34607" w:rsidRPr="002D1159" w:rsidSect="00CC3F44">
      <w:headerReference w:type="even" r:id="rId17"/>
      <w:headerReference w:type="default" r:id="rId18"/>
      <w:headerReference w:type="first" r:id="rId19"/>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D3E5" w14:textId="77777777" w:rsidR="000A5B31" w:rsidRDefault="000A5B31" w:rsidP="000154AE">
      <w:pPr>
        <w:spacing w:line="240" w:lineRule="auto"/>
      </w:pPr>
      <w:r>
        <w:separator/>
      </w:r>
    </w:p>
  </w:endnote>
  <w:endnote w:type="continuationSeparator" w:id="0">
    <w:p w14:paraId="089BA28E" w14:textId="77777777" w:rsidR="000A5B31" w:rsidRDefault="000A5B31"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Light">
    <w:altName w:val="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Soho Gothic Pro">
    <w:altName w:val="Calibri"/>
    <w:panose1 w:val="00000000000000000000"/>
    <w:charset w:val="00"/>
    <w:family w:val="swiss"/>
    <w:notTrueType/>
    <w:pitch w:val="variable"/>
    <w:sig w:usb0="A00000AF" w:usb1="4000205B" w:usb2="00000000" w:usb3="00000000" w:csb0="0000009B" w:csb1="00000000"/>
  </w:font>
  <w:font w:name="Soho Gothic Pro Medium">
    <w:altName w:val="Calibri"/>
    <w:panose1 w:val="00000000000000000000"/>
    <w:charset w:val="00"/>
    <w:family w:val="swiss"/>
    <w:notTrueType/>
    <w:pitch w:val="variable"/>
    <w:sig w:usb0="A00000AF" w:usb1="4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1DA8" w14:textId="77777777" w:rsidR="000A5B31" w:rsidRDefault="000A5B31" w:rsidP="000154AE">
      <w:pPr>
        <w:spacing w:line="240" w:lineRule="auto"/>
      </w:pPr>
      <w:r>
        <w:separator/>
      </w:r>
    </w:p>
  </w:footnote>
  <w:footnote w:type="continuationSeparator" w:id="0">
    <w:p w14:paraId="591A37E7" w14:textId="77777777" w:rsidR="000A5B31" w:rsidRDefault="000A5B31"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12486A3A" w14:textId="77777777" w:rsidR="009D6D69" w:rsidRDefault="009D6D69" w:rsidP="007E1AB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F1FF54E"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4DB96955"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5D0AB426" w14:textId="77777777" w:rsidR="00C27A88" w:rsidRDefault="009D6D69" w:rsidP="009D6D69">
    <w:pPr>
      <w:pStyle w:val="Kopfzeile"/>
      <w:ind w:firstLine="360"/>
    </w:pPr>
    <w:r>
      <w:rPr>
        <w:noProof/>
      </w:rPr>
      <w:drawing>
        <wp:anchor distT="0" distB="0" distL="114300" distR="114300" simplePos="0" relativeHeight="251669504" behindDoc="1" locked="0" layoutInCell="1" allowOverlap="1" wp14:anchorId="20E158AC" wp14:editId="00137782">
          <wp:simplePos x="0" y="0"/>
          <wp:positionH relativeFrom="column">
            <wp:posOffset>-897761</wp:posOffset>
          </wp:positionH>
          <wp:positionV relativeFrom="paragraph">
            <wp:posOffset>-2160270</wp:posOffset>
          </wp:positionV>
          <wp:extent cx="7559966" cy="106856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0162" w14:textId="77777777" w:rsidR="008B1EFE" w:rsidRDefault="003212E0" w:rsidP="006868F2">
    <w:pPr>
      <w:pStyle w:val="Kopfzeile"/>
      <w:ind w:firstLine="360"/>
    </w:pPr>
    <w:r>
      <w:rPr>
        <w:noProof/>
      </w:rPr>
      <w:drawing>
        <wp:anchor distT="0" distB="0" distL="114300" distR="114300" simplePos="0" relativeHeight="251667456" behindDoc="1" locked="0" layoutInCell="1" allowOverlap="1" wp14:anchorId="05DC7279" wp14:editId="752040EE">
          <wp:simplePos x="0" y="0"/>
          <wp:positionH relativeFrom="column">
            <wp:posOffset>-897890</wp:posOffset>
          </wp:positionH>
          <wp:positionV relativeFrom="paragraph">
            <wp:posOffset>-2173605</wp:posOffset>
          </wp:positionV>
          <wp:extent cx="7559040" cy="1068514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64384" behindDoc="0" locked="0" layoutInCell="1" allowOverlap="1" wp14:anchorId="7167E210" wp14:editId="39587454">
          <wp:simplePos x="0" y="0"/>
          <wp:positionH relativeFrom="column">
            <wp:posOffset>-902970</wp:posOffset>
          </wp:positionH>
          <wp:positionV relativeFrom="paragraph">
            <wp:posOffset>8653145</wp:posOffset>
          </wp:positionV>
          <wp:extent cx="7559675" cy="10685145"/>
          <wp:effectExtent l="0" t="0" r="0" b="0"/>
          <wp:wrapNone/>
          <wp:docPr id="17" name="Grafik 17"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0164C6"/>
    <w:multiLevelType w:val="hybridMultilevel"/>
    <w:tmpl w:val="5C300462"/>
    <w:lvl w:ilvl="0" w:tplc="DADA7B0C">
      <w:start w:val="1"/>
      <w:numFmt w:val="bullet"/>
      <w:pStyle w:val="Listenabsatz"/>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BC62F60"/>
    <w:multiLevelType w:val="hybridMultilevel"/>
    <w:tmpl w:val="C520074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77834316">
    <w:abstractNumId w:val="3"/>
  </w:num>
  <w:num w:numId="2" w16cid:durableId="1244683831">
    <w:abstractNumId w:val="1"/>
  </w:num>
  <w:num w:numId="3" w16cid:durableId="1978338330">
    <w:abstractNumId w:val="0"/>
  </w:num>
  <w:num w:numId="4" w16cid:durableId="1376154789">
    <w:abstractNumId w:val="4"/>
  </w:num>
  <w:num w:numId="5" w16cid:durableId="862939454">
    <w:abstractNumId w:val="2"/>
  </w:num>
  <w:num w:numId="6" w16cid:durableId="1931422204">
    <w:abstractNumId w:val="5"/>
  </w:num>
  <w:num w:numId="7" w16cid:durableId="1887790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86"/>
    <w:rsid w:val="0000758A"/>
    <w:rsid w:val="00013ACB"/>
    <w:rsid w:val="000154AE"/>
    <w:rsid w:val="00024104"/>
    <w:rsid w:val="00031036"/>
    <w:rsid w:val="00044EB1"/>
    <w:rsid w:val="000468D5"/>
    <w:rsid w:val="00094B13"/>
    <w:rsid w:val="000A5B31"/>
    <w:rsid w:val="000C6435"/>
    <w:rsid w:val="000E7A69"/>
    <w:rsid w:val="00102189"/>
    <w:rsid w:val="00106539"/>
    <w:rsid w:val="00124ECD"/>
    <w:rsid w:val="001578A8"/>
    <w:rsid w:val="001642D2"/>
    <w:rsid w:val="001769D7"/>
    <w:rsid w:val="001B236A"/>
    <w:rsid w:val="001E4E1F"/>
    <w:rsid w:val="0020587F"/>
    <w:rsid w:val="0027036C"/>
    <w:rsid w:val="00277786"/>
    <w:rsid w:val="00287C8C"/>
    <w:rsid w:val="002909F5"/>
    <w:rsid w:val="002A597C"/>
    <w:rsid w:val="002A67AF"/>
    <w:rsid w:val="002D1159"/>
    <w:rsid w:val="002E5EAA"/>
    <w:rsid w:val="00317ACD"/>
    <w:rsid w:val="003212E0"/>
    <w:rsid w:val="00323F57"/>
    <w:rsid w:val="0033319A"/>
    <w:rsid w:val="003358D5"/>
    <w:rsid w:val="00336851"/>
    <w:rsid w:val="003B0A27"/>
    <w:rsid w:val="003E28E2"/>
    <w:rsid w:val="00406901"/>
    <w:rsid w:val="004254B5"/>
    <w:rsid w:val="00426B86"/>
    <w:rsid w:val="00487F00"/>
    <w:rsid w:val="004A2DBA"/>
    <w:rsid w:val="004F08A3"/>
    <w:rsid w:val="004F0C93"/>
    <w:rsid w:val="00560BB7"/>
    <w:rsid w:val="00612E90"/>
    <w:rsid w:val="00626989"/>
    <w:rsid w:val="00661D46"/>
    <w:rsid w:val="00665362"/>
    <w:rsid w:val="006868F2"/>
    <w:rsid w:val="006C628B"/>
    <w:rsid w:val="006C780C"/>
    <w:rsid w:val="006D358A"/>
    <w:rsid w:val="007219AD"/>
    <w:rsid w:val="00742C94"/>
    <w:rsid w:val="0074631E"/>
    <w:rsid w:val="007719E1"/>
    <w:rsid w:val="00776623"/>
    <w:rsid w:val="007E1A1A"/>
    <w:rsid w:val="00841004"/>
    <w:rsid w:val="008605DB"/>
    <w:rsid w:val="008B1EFE"/>
    <w:rsid w:val="008D3543"/>
    <w:rsid w:val="008E18DD"/>
    <w:rsid w:val="00920E92"/>
    <w:rsid w:val="00946809"/>
    <w:rsid w:val="00952DED"/>
    <w:rsid w:val="00977999"/>
    <w:rsid w:val="00993EA1"/>
    <w:rsid w:val="009D6D69"/>
    <w:rsid w:val="009E7CB9"/>
    <w:rsid w:val="00A11C5C"/>
    <w:rsid w:val="00A5229D"/>
    <w:rsid w:val="00A64359"/>
    <w:rsid w:val="00A81237"/>
    <w:rsid w:val="00AF3522"/>
    <w:rsid w:val="00B232BD"/>
    <w:rsid w:val="00B72D28"/>
    <w:rsid w:val="00B80D3F"/>
    <w:rsid w:val="00B810DE"/>
    <w:rsid w:val="00BA06FB"/>
    <w:rsid w:val="00BD23A3"/>
    <w:rsid w:val="00BD66C1"/>
    <w:rsid w:val="00BE25A9"/>
    <w:rsid w:val="00C27A88"/>
    <w:rsid w:val="00C433C8"/>
    <w:rsid w:val="00C54CAD"/>
    <w:rsid w:val="00C63F18"/>
    <w:rsid w:val="00C8355B"/>
    <w:rsid w:val="00CA21DC"/>
    <w:rsid w:val="00CA3242"/>
    <w:rsid w:val="00CA6514"/>
    <w:rsid w:val="00CC3F44"/>
    <w:rsid w:val="00D02919"/>
    <w:rsid w:val="00D1309E"/>
    <w:rsid w:val="00D47C7C"/>
    <w:rsid w:val="00D64D5B"/>
    <w:rsid w:val="00D75FE7"/>
    <w:rsid w:val="00DC0179"/>
    <w:rsid w:val="00DD6ED4"/>
    <w:rsid w:val="00DE174E"/>
    <w:rsid w:val="00DE69E1"/>
    <w:rsid w:val="00DE6B02"/>
    <w:rsid w:val="00E10445"/>
    <w:rsid w:val="00E75B81"/>
    <w:rsid w:val="00E820FA"/>
    <w:rsid w:val="00F03762"/>
    <w:rsid w:val="00F20096"/>
    <w:rsid w:val="00F34607"/>
    <w:rsid w:val="00F4614D"/>
    <w:rsid w:val="00F562FA"/>
    <w:rsid w:val="00F86072"/>
    <w:rsid w:val="00F921BE"/>
    <w:rsid w:val="00FB62D8"/>
    <w:rsid w:val="00FB6DD6"/>
    <w:rsid w:val="00FD0FC6"/>
    <w:rsid w:val="00FE19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57AAC"/>
  <w15:chartTrackingRefBased/>
  <w15:docId w15:val="{E0538459-3CC2-4455-9A0F-8DC9F595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03762"/>
    <w:pPr>
      <w:spacing w:line="237" w:lineRule="exact"/>
    </w:pPr>
    <w:rPr>
      <w:rFonts w:ascii="Nunito Sans Light" w:hAnsi="Nunito Sans Light" w:cs="Times New Roman (Textkörper CS)"/>
      <w:color w:val="000C19" w:themeColor="text1"/>
      <w:spacing w:val="4"/>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5"/>
      </w:numPr>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qFormat/>
    <w:rsid w:val="002D1159"/>
    <w:pPr>
      <w:spacing w:line="320" w:lineRule="exact"/>
    </w:pPr>
    <w:rPr>
      <w:szCs w:val="40"/>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qFormat/>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qFormat/>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0E7A69"/>
    <w:pPr>
      <w:spacing w:after="200" w:line="240" w:lineRule="auto"/>
    </w:pPr>
    <w:rPr>
      <w:i/>
      <w:iCs/>
      <w:color w:val="4F5763" w:themeColor="text2"/>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paragraph" w:styleId="Textkrper">
    <w:name w:val="Body Text"/>
    <w:aliases w:val="05-Text"/>
    <w:basedOn w:val="Standard"/>
    <w:link w:val="TextkrperZchn"/>
    <w:uiPriority w:val="1"/>
    <w:qFormat/>
    <w:rsid w:val="00426B86"/>
    <w:pPr>
      <w:widowControl w:val="0"/>
      <w:autoSpaceDE w:val="0"/>
      <w:autoSpaceDN w:val="0"/>
      <w:spacing w:after="200" w:line="320" w:lineRule="exact"/>
    </w:pPr>
    <w:rPr>
      <w:rFonts w:ascii="Soho Gothic Pro" w:eastAsia="Soho Gothic Pro" w:hAnsi="Soho Gothic Pro" w:cs="Soho Gothic Pro"/>
      <w:spacing w:val="0"/>
      <w:szCs w:val="18"/>
      <w:lang w:eastAsia="de-DE" w:bidi="de-DE"/>
    </w:rPr>
  </w:style>
  <w:style w:type="character" w:customStyle="1" w:styleId="TextkrperZchn">
    <w:name w:val="Textkörper Zchn"/>
    <w:aliases w:val="05-Text Zchn"/>
    <w:basedOn w:val="Absatz-Standardschriftart"/>
    <w:link w:val="Textkrper"/>
    <w:uiPriority w:val="1"/>
    <w:rsid w:val="00426B86"/>
    <w:rPr>
      <w:rFonts w:ascii="Soho Gothic Pro" w:eastAsia="Soho Gothic Pro" w:hAnsi="Soho Gothic Pro" w:cs="Soho Gothic Pro"/>
      <w:color w:val="000C19" w:themeColor="text1"/>
      <w:sz w:val="20"/>
      <w:szCs w:val="18"/>
      <w:lang w:eastAsia="de-DE" w:bidi="de-DE"/>
    </w:rPr>
  </w:style>
  <w:style w:type="character" w:styleId="Hyperlink">
    <w:name w:val="Hyperlink"/>
    <w:aliases w:val="11-Hyperlink"/>
    <w:basedOn w:val="Absatz-Standardschriftart"/>
    <w:uiPriority w:val="99"/>
    <w:unhideWhenUsed/>
    <w:qFormat/>
    <w:rsid w:val="00426B86"/>
    <w:rPr>
      <w:color w:val="FE5000" w:themeColor="hyperlink"/>
      <w:u w:val="none"/>
    </w:rPr>
  </w:style>
  <w:style w:type="paragraph" w:customStyle="1" w:styleId="04-berschriftH3">
    <w:name w:val="04-Überschrift H3"/>
    <w:basedOn w:val="Textkrper"/>
    <w:link w:val="04-berschriftH3Zchn"/>
    <w:uiPriority w:val="1"/>
    <w:qFormat/>
    <w:rsid w:val="00426B86"/>
    <w:rPr>
      <w:rFonts w:ascii="Soho Gothic Pro Medium" w:hAnsi="Soho Gothic Pro Medium"/>
      <w:color w:val="231F20"/>
    </w:rPr>
  </w:style>
  <w:style w:type="character" w:customStyle="1" w:styleId="04-berschriftH3Zchn">
    <w:name w:val="04-Überschrift H3 Zchn"/>
    <w:basedOn w:val="TextkrperZchn"/>
    <w:link w:val="04-berschriftH3"/>
    <w:uiPriority w:val="1"/>
    <w:rsid w:val="00426B86"/>
    <w:rPr>
      <w:rFonts w:ascii="Soho Gothic Pro Medium" w:eastAsia="Soho Gothic Pro" w:hAnsi="Soho Gothic Pro Medium" w:cs="Soho Gothic Pro"/>
      <w:color w:val="231F20"/>
      <w:sz w:val="20"/>
      <w:szCs w:val="18"/>
      <w:lang w:eastAsia="de-DE" w:bidi="de-DE"/>
    </w:rPr>
  </w:style>
  <w:style w:type="character" w:styleId="NichtaufgelsteErwhnung">
    <w:name w:val="Unresolved Mention"/>
    <w:basedOn w:val="Absatz-Standardschriftart"/>
    <w:uiPriority w:val="99"/>
    <w:semiHidden/>
    <w:unhideWhenUsed/>
    <w:rsid w:val="00426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nmedia.de/de/technische-regel/vdi-tuev-verband-ee-5902/39658997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di.de/mitgliedschaft/vdi-richtlinien/details/vdituev-verband-ee-5902-leitfaden-fuer-erprobungsgenehmigungen-fuer-automatisierte-und-autonome-fahrzeu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vdi.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vdi.de/wirsindvdi"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vt@vd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di.ads\vdi\Daten\Allgemein\Vorlagen\VDI_EV\VDI_Pressemitteilung.dotx" TargetMode="External"/></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2037F-671E-4595-8C80-8FE652E684C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customXml/itemProps2.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customXml/itemProps3.xml><?xml version="1.0" encoding="utf-8"?>
<ds:datastoreItem xmlns:ds="http://schemas.openxmlformats.org/officeDocument/2006/customXml" ds:itemID="{BB3D26ED-BBE0-41CA-9178-92957F58C571}">
  <ds:schemaRefs>
    <ds:schemaRef ds:uri="http://schemas.microsoft.com/sharepoint/v3/contenttype/forms"/>
  </ds:schemaRefs>
</ds:datastoreItem>
</file>

<file path=customXml/itemProps4.xml><?xml version="1.0" encoding="utf-8"?>
<ds:datastoreItem xmlns:ds="http://schemas.openxmlformats.org/officeDocument/2006/customXml" ds:itemID="{1E3F17B2-059A-4482-8F5A-91193DD8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VDI_Pressemitteilung.dotx</Template>
  <TotalTime>0</TotalTime>
  <Pages>4</Pages>
  <Words>865</Words>
  <Characters>5450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Janczura</dc:creator>
  <cp:keywords/>
  <dc:description/>
  <cp:lastModifiedBy>Sarah Janczura</cp:lastModifiedBy>
  <cp:revision>5</cp:revision>
  <cp:lastPrinted>2022-05-31T16:46:00Z</cp:lastPrinted>
  <dcterms:created xsi:type="dcterms:W3CDTF">2025-11-28T08:15:00Z</dcterms:created>
  <dcterms:modified xsi:type="dcterms:W3CDTF">2025-11-28T08:35:00Z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0x0101002DEFCA0BBC0F4646A63C329727B4129D</vt:lpwstr>
  </property>
</Properties>
</file>