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335F" w14:textId="30086996"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21346968" wp14:editId="72BC8B2D">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7CB0E1F9" w14:textId="15DBA67E" w:rsidR="00732C71" w:rsidRDefault="00E43161" w:rsidP="00732C71">
                            <w:r>
                              <w:t>03</w:t>
                            </w:r>
                            <w:r w:rsidR="00732C71">
                              <w:t xml:space="preserve">. </w:t>
                            </w:r>
                            <w:r>
                              <w:t>Dezember</w:t>
                            </w:r>
                            <w:r w:rsidR="00732C71">
                              <w:t xml:space="preserve"> 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46968"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7CB0E1F9" w14:textId="15DBA67E" w:rsidR="00732C71" w:rsidRDefault="00E43161" w:rsidP="00732C71">
                      <w:r>
                        <w:t>03</w:t>
                      </w:r>
                      <w:r w:rsidR="00732C71">
                        <w:t xml:space="preserve">. </w:t>
                      </w:r>
                      <w:r>
                        <w:t>Dezember</w:t>
                      </w:r>
                      <w:r w:rsidR="00732C71">
                        <w:t xml:space="preserve"> 202</w:t>
                      </w:r>
                      <w:r w:rsidR="00C76C43">
                        <w:t>4</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463439BB" wp14:editId="4F7A4CB8">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F93131">
        <w:t>Detox auf dem Acker: Mit weniger</w:t>
      </w:r>
      <w:r w:rsidR="00F93131">
        <w:br/>
        <w:t xml:space="preserve">Pestiziden Ernährung sichern  </w:t>
      </w:r>
    </w:p>
    <w:p w14:paraId="5E3FAE82" w14:textId="0CE8BB4E" w:rsidR="00732C71" w:rsidRPr="00BF12CE" w:rsidRDefault="00A176D6" w:rsidP="00944EFE">
      <w:pPr>
        <w:pStyle w:val="2bold"/>
        <w:spacing w:line="300" w:lineRule="atLeast"/>
        <w:rPr>
          <w:rStyle w:val="TitelZchn"/>
          <w:b/>
          <w:bCs w:val="0"/>
          <w:sz w:val="20"/>
        </w:rPr>
      </w:pPr>
      <w:r>
        <w:t xml:space="preserve">Tagung zur </w:t>
      </w:r>
      <w:r w:rsidR="00F93131">
        <w:t xml:space="preserve">DBU-Förderinitiative – </w:t>
      </w:r>
      <w:r>
        <w:t>4,7</w:t>
      </w:r>
      <w:r w:rsidR="00F93131">
        <w:t xml:space="preserve"> Millionen Euro für Projekte</w:t>
      </w:r>
    </w:p>
    <w:p w14:paraId="4C1699C0" w14:textId="77777777" w:rsidR="00732C71" w:rsidRDefault="00732C71" w:rsidP="00732C71">
      <w:pPr>
        <w:pStyle w:val="Default"/>
      </w:pPr>
    </w:p>
    <w:p w14:paraId="1A90BC9A" w14:textId="6B7AADA8" w:rsidR="00433C62" w:rsidRDefault="00732C71" w:rsidP="00A176D6">
      <w:pPr>
        <w:pStyle w:val="Textbold"/>
        <w:jc w:val="both"/>
      </w:pPr>
      <w:r w:rsidRPr="00686764">
        <w:rPr>
          <w:noProof/>
        </w:rPr>
        <mc:AlternateContent>
          <mc:Choice Requires="wps">
            <w:drawing>
              <wp:anchor distT="0" distB="0" distL="114300" distR="114300" simplePos="0" relativeHeight="251660288" behindDoc="0" locked="1" layoutInCell="0" allowOverlap="0" wp14:anchorId="3B75E128" wp14:editId="344B9D04">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524D6711"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5E128" id="_x0000_s1027" type="#_x0000_t202" style="position:absolute;left:0;text-align:left;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524D6711"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F93131">
        <w:t xml:space="preserve">Mit einer Abschlussveranstaltung heute (Dienstag) und morgen geht </w:t>
      </w:r>
      <w:r w:rsidR="00B2063A">
        <w:t>die seit 2020 laufende</w:t>
      </w:r>
      <w:r w:rsidR="00F93131">
        <w:t xml:space="preserve"> Förderinitiative der Deutschen Bundesstiftung Umwelt (DBU) </w:t>
      </w:r>
      <w:r w:rsidR="00B2063A">
        <w:t>zur Vermeidung und Verminderung von Pestiziden in der Umwelt unter dem Titel „</w:t>
      </w:r>
      <w:r w:rsidR="00B2063A" w:rsidRPr="00E33089">
        <w:t>Detox</w:t>
      </w:r>
      <w:r w:rsidR="00B2063A">
        <w:t xml:space="preserve"> auf dem Acker“ zu Ende. „</w:t>
      </w:r>
      <w:r w:rsidR="00433C62">
        <w:t>Wir können Wege für einen nachhaltigeren Umgang mit Böden, Wiesen, Wasser und Luft finden“, sagt DBU-Generalsekretär Alexander Bonde. „Das ist ein wichtiges Ergebnis unserer Förderinitiative. Landwirtschaft und Umweltschutz hängen eng zusammen. Die Beispiele aus der Praxis zeigen, wie die Sicherung sowohl von Nahrung als auch Natur gelingt.“ Die DBU hat im Zuge der Förderinitiative rund ein Dutzend Projekte unterstützt – mit insgesamt 4,7 Millionen Euro.</w:t>
      </w:r>
    </w:p>
    <w:p w14:paraId="3CCB5CCB" w14:textId="4F576ACE" w:rsidR="00B72A5D" w:rsidRPr="003E6A2B" w:rsidRDefault="00B6552A" w:rsidP="00B72A5D">
      <w:pPr>
        <w:pStyle w:val="KeinLeerraum"/>
      </w:pPr>
      <w:r>
        <w:t>Zweitägige Konferenz</w:t>
      </w:r>
      <w:r w:rsidR="00882FA5">
        <w:t xml:space="preserve"> mit Keynote, Impulsvortrag und Podiumsdiskussion</w:t>
      </w:r>
    </w:p>
    <w:p w14:paraId="60B3A2AC" w14:textId="05427C7E" w:rsidR="00732C71" w:rsidRPr="00433C62" w:rsidRDefault="00433C62" w:rsidP="00433C62">
      <w:pPr>
        <w:pStyle w:val="Textbold"/>
        <w:jc w:val="both"/>
        <w:rPr>
          <w:b w:val="0"/>
          <w:bCs/>
        </w:rPr>
      </w:pPr>
      <w:r>
        <w:rPr>
          <w:b w:val="0"/>
          <w:bCs/>
        </w:rPr>
        <w:t>Bei der Vermeidung oder Verringerung von Pflanzenschutzmitteln in der Umwelt fällt dem Agrarsektor eine Schlüsselrolle zu. Denn vor</w:t>
      </w:r>
      <w:r w:rsidRPr="00433C62">
        <w:rPr>
          <w:b w:val="0"/>
          <w:bCs/>
        </w:rPr>
        <w:t xml:space="preserve"> allem in intensiv bewirtschafteten Agrarlandschaften sind Pestizide eine Hauptursache für Arten- und Lebensraumverlust </w:t>
      </w:r>
      <w:r w:rsidRPr="007C74CA">
        <w:rPr>
          <w:b w:val="0"/>
          <w:bCs/>
        </w:rPr>
        <w:t xml:space="preserve">und den Rückgang biologischer Vielfalt. Doch es gibt alternative Lösungen – zum Wohl von Landwirtschaft und Umwelt. </w:t>
      </w:r>
      <w:r w:rsidR="00B2063A" w:rsidRPr="007C74CA">
        <w:rPr>
          <w:b w:val="0"/>
          <w:bCs/>
        </w:rPr>
        <w:t xml:space="preserve">Die zweitägige Konferenz </w:t>
      </w:r>
      <w:r w:rsidR="00B6552A" w:rsidRPr="007C74CA">
        <w:rPr>
          <w:b w:val="0"/>
          <w:bCs/>
        </w:rPr>
        <w:t xml:space="preserve">im DBU Zentrum für Umweltkommunikation </w:t>
      </w:r>
      <w:r w:rsidR="00B2063A" w:rsidRPr="007C74CA">
        <w:rPr>
          <w:b w:val="0"/>
          <w:bCs/>
        </w:rPr>
        <w:t xml:space="preserve">startet heute Mittag nach der Begrüßung durch Dr. Maximilian Hempel, Leiter der DBU-Abteilung Umweltforschung, mit einer </w:t>
      </w:r>
      <w:r w:rsidR="00B2063A" w:rsidRPr="007C74CA">
        <w:rPr>
          <w:b w:val="0"/>
          <w:bCs/>
          <w:i/>
          <w:iCs/>
        </w:rPr>
        <w:t>Keynote</w:t>
      </w:r>
      <w:r w:rsidR="00B2063A" w:rsidRPr="007C74CA">
        <w:rPr>
          <w:b w:val="0"/>
          <w:bCs/>
        </w:rPr>
        <w:t xml:space="preserve"> von Prof. Dr. Jens Dauber vom Thünen-Institut Braunschweig. Sein Anliegen: Stellschrauben für eine zukunftsfähige Landwirtschaft. Reichlich Gesprächsstoff dürften anschließend neben Hempels Erläuterungen zur DBU-Förderinitiative</w:t>
      </w:r>
      <w:r w:rsidR="00A3007D" w:rsidRPr="007C74CA">
        <w:rPr>
          <w:b w:val="0"/>
          <w:bCs/>
        </w:rPr>
        <w:t xml:space="preserve"> ein Impulsvortrag von Prof. Dr. Dirk Bunke vom Ökoinstitut Freiburg zu Zielkonflikten und Handlungslösungen beim Spagat Pflanzenschutz sowie eine Podiumsdiskussion zur Frage liefern, ob Ernährungssicherung in intakten Ökosystemen auch ohne Pestizide möglich ist. Morgen steht die Tagung ganz im Zeichen diverser Workshops, unter anderem zu den Themen Monitoring und Kooperationsmodelle, Reduzierung von Pflanzenschutzmitteln durch Digitalisierung sowie dem </w:t>
      </w:r>
      <w:r w:rsidR="00B9504E" w:rsidRPr="007C74CA">
        <w:rPr>
          <w:b w:val="0"/>
          <w:bCs/>
        </w:rPr>
        <w:t>Potenzial</w:t>
      </w:r>
      <w:r w:rsidR="00A3007D" w:rsidRPr="007C74CA">
        <w:rPr>
          <w:b w:val="0"/>
          <w:bCs/>
        </w:rPr>
        <w:t xml:space="preserve"> von Nützlingen.</w:t>
      </w:r>
    </w:p>
    <w:p w14:paraId="4637B99E" w14:textId="4E2D8D7D" w:rsidR="0036671D" w:rsidRPr="003E6A2B" w:rsidRDefault="00882FA5" w:rsidP="0036671D">
      <w:pPr>
        <w:pStyle w:val="KeinLeerraum"/>
      </w:pPr>
      <w:r>
        <w:t>Zu viel chemischer Pflanzenschutz eine Gefahr für die biologische Vielfalt – und damit für den Menschen</w:t>
      </w:r>
      <w:r w:rsidR="0036671D" w:rsidRPr="003E6A2B">
        <w:t xml:space="preserve"> </w:t>
      </w:r>
    </w:p>
    <w:p w14:paraId="3843AEB0" w14:textId="4100252B" w:rsidR="00B9504E" w:rsidRDefault="001A411B" w:rsidP="00A176D6">
      <w:pPr>
        <w:pStyle w:val="Textklein"/>
        <w:spacing w:after="240" w:line="300" w:lineRule="atLeast"/>
        <w:jc w:val="both"/>
        <w:rPr>
          <w:color w:val="auto"/>
          <w:sz w:val="18"/>
        </w:rPr>
      </w:pPr>
      <w:r>
        <w:rPr>
          <w:color w:val="auto"/>
          <w:sz w:val="18"/>
        </w:rPr>
        <w:t>Die Ambition der DBU-Förderinitiative erklärt Bonde folgendermaßen: „</w:t>
      </w:r>
      <w:r w:rsidR="00E33089">
        <w:rPr>
          <w:color w:val="auto"/>
          <w:sz w:val="18"/>
        </w:rPr>
        <w:t xml:space="preserve">Es geht </w:t>
      </w:r>
      <w:r w:rsidR="007E513C">
        <w:rPr>
          <w:color w:val="auto"/>
          <w:sz w:val="18"/>
        </w:rPr>
        <w:t>um zukunftsfähige Perspektiven für Bäuerinnen und Bauern, damit deren wirtschaftliche Existenzgrundlage selbst bei Verzicht und Reduktion von Pestiziden gesichert bleibt. Die Ideen und Innovationen sollen aber zugleich der Umwelt zugutekommen.“ Denn z</w:t>
      </w:r>
      <w:r w:rsidR="00B9504E">
        <w:rPr>
          <w:color w:val="auto"/>
          <w:sz w:val="18"/>
        </w:rPr>
        <w:t xml:space="preserve">u </w:t>
      </w:r>
      <w:r w:rsidR="00B9504E">
        <w:rPr>
          <w:color w:val="auto"/>
          <w:sz w:val="18"/>
        </w:rPr>
        <w:lastRenderedPageBreak/>
        <w:t xml:space="preserve">viel chemischer Pflanzenschutz </w:t>
      </w:r>
      <w:r w:rsidR="007E513C">
        <w:rPr>
          <w:color w:val="auto"/>
          <w:sz w:val="18"/>
        </w:rPr>
        <w:t>bedrohe die</w:t>
      </w:r>
      <w:r w:rsidR="00B9504E">
        <w:rPr>
          <w:color w:val="auto"/>
          <w:sz w:val="18"/>
        </w:rPr>
        <w:t xml:space="preserve"> biologische Vielfal</w:t>
      </w:r>
      <w:r w:rsidR="007E513C">
        <w:rPr>
          <w:color w:val="auto"/>
          <w:sz w:val="18"/>
        </w:rPr>
        <w:t>t – „m</w:t>
      </w:r>
      <w:r w:rsidR="008B6067">
        <w:rPr>
          <w:color w:val="auto"/>
          <w:sz w:val="18"/>
        </w:rPr>
        <w:t xml:space="preserve">it </w:t>
      </w:r>
      <w:r w:rsidR="00B9504E">
        <w:rPr>
          <w:color w:val="auto"/>
          <w:sz w:val="18"/>
        </w:rPr>
        <w:t>direkte</w:t>
      </w:r>
      <w:r w:rsidR="008B6067">
        <w:rPr>
          <w:color w:val="auto"/>
          <w:sz w:val="18"/>
        </w:rPr>
        <w:t>n</w:t>
      </w:r>
      <w:r w:rsidR="00B9504E">
        <w:rPr>
          <w:color w:val="auto"/>
          <w:sz w:val="18"/>
        </w:rPr>
        <w:t xml:space="preserve"> </w:t>
      </w:r>
      <w:r w:rsidR="008B6067">
        <w:rPr>
          <w:color w:val="auto"/>
          <w:sz w:val="18"/>
        </w:rPr>
        <w:t xml:space="preserve">Folgen für </w:t>
      </w:r>
      <w:r w:rsidR="00B9504E">
        <w:rPr>
          <w:color w:val="auto"/>
          <w:sz w:val="18"/>
        </w:rPr>
        <w:t>Menschen.</w:t>
      </w:r>
      <w:r w:rsidR="008B6067">
        <w:rPr>
          <w:color w:val="auto"/>
          <w:sz w:val="18"/>
        </w:rPr>
        <w:t xml:space="preserve"> Sinkt zum Beispiel die Zahl von Bienen, Hummeln, Schmetterlingen und Käfern, werden auch weniger Kulturpflanzen bestäubt, von Kirschen und Kaffee bis Erdbeeren, Raps und Wassermelonen</w:t>
      </w:r>
      <w:r w:rsidR="00E33089">
        <w:rPr>
          <w:color w:val="auto"/>
          <w:sz w:val="18"/>
        </w:rPr>
        <w:t>“, so Bonde. Tatsächlich sind von den etwas mehr als 100 weltweit am meisten angebauten Kulturpflanzen rund 90 auf Bestäubung angewiesen. Käme es zu einem Worst-Case-Szenario und einem Totalverlust unter den Bestäubern</w:t>
      </w:r>
      <w:r w:rsidR="008E1BF5">
        <w:rPr>
          <w:color w:val="auto"/>
          <w:sz w:val="18"/>
        </w:rPr>
        <w:t>,</w:t>
      </w:r>
      <w:r w:rsidR="00E33089">
        <w:rPr>
          <w:color w:val="auto"/>
          <w:sz w:val="18"/>
        </w:rPr>
        <w:t xml:space="preserve"> droht laut Experten ein nahezu vollständiger Ernteverlust. Bonde: „Deshalb ist ein Detox auf dem Acker – aber auch in der gesamten Umwelt – so notwendig.“</w:t>
      </w:r>
    </w:p>
    <w:p w14:paraId="23BC3461" w14:textId="47E3362F" w:rsidR="0036671D" w:rsidRPr="003E6A2B" w:rsidRDefault="00882FA5" w:rsidP="0036671D">
      <w:pPr>
        <w:pStyle w:val="KeinLeerraum"/>
      </w:pPr>
      <w:r>
        <w:t>„Viele innovative und zugleich nicht-chemische Pflanzenschutzmethoden“</w:t>
      </w:r>
      <w:r w:rsidR="0036671D" w:rsidRPr="003E6A2B">
        <w:t xml:space="preserve"> </w:t>
      </w:r>
    </w:p>
    <w:p w14:paraId="63B7F844" w14:textId="7D3433C8" w:rsidR="0036671D" w:rsidRDefault="00E33089" w:rsidP="00A176D6">
      <w:pPr>
        <w:pStyle w:val="Textklein"/>
        <w:spacing w:after="240" w:line="300" w:lineRule="atLeast"/>
        <w:jc w:val="both"/>
        <w:rPr>
          <w:color w:val="auto"/>
          <w:sz w:val="18"/>
        </w:rPr>
      </w:pPr>
      <w:r>
        <w:rPr>
          <w:color w:val="auto"/>
          <w:sz w:val="18"/>
        </w:rPr>
        <w:t xml:space="preserve">Nach den Worten von DBU-Abteilungsleiter Hempel ist davon auszugehen, „dass derzeit in Deutschland im vergangenen Vierteljahrhundert der Pestizidverkauf kaum zurückgegangen ist“. Hempel zufolge </w:t>
      </w:r>
      <w:r w:rsidR="002A094E">
        <w:rPr>
          <w:color w:val="auto"/>
          <w:sz w:val="18"/>
        </w:rPr>
        <w:t xml:space="preserve">kommen demnach </w:t>
      </w:r>
      <w:r>
        <w:rPr>
          <w:color w:val="auto"/>
          <w:sz w:val="18"/>
        </w:rPr>
        <w:t xml:space="preserve">bundesweit </w:t>
      </w:r>
      <w:r w:rsidR="002A094E">
        <w:rPr>
          <w:color w:val="auto"/>
          <w:sz w:val="18"/>
        </w:rPr>
        <w:t xml:space="preserve">jedes Jahr etwa 30.000 Tonnen Wirkstoffe in ungefähr 90.000 Tonnen Pflanzenschutzmittelprodukten zum Einsatz. </w:t>
      </w:r>
      <w:r w:rsidR="00DE2AF3">
        <w:rPr>
          <w:color w:val="auto"/>
          <w:sz w:val="18"/>
        </w:rPr>
        <w:t xml:space="preserve">Und nach aktuellen Angaben des Umweltbundesamtes auf Grundlage von Daten des Bundesamtes für Verbraucherschutz und Lebensmittelsicherheit waren 2021 bundesweit 950 Pflanzenschutzmittel mit 1.809 Handelsnamen zugelassen. </w:t>
      </w:r>
      <w:r w:rsidR="002A094E">
        <w:rPr>
          <w:color w:val="auto"/>
          <w:sz w:val="18"/>
        </w:rPr>
        <w:t>Hempel: „Wir haben 2020 die Förderinitiative zur Pestizidvermeidung auch deshalb ins Leben gerufen, weil zwar die Nachfrage nach umweltschonenden Pestizid-Alternativen hoch, das praxiserprobte Angebot allerdings recht überschaubar ist</w:t>
      </w:r>
      <w:r w:rsidR="00DE2AF3">
        <w:rPr>
          <w:color w:val="auto"/>
          <w:sz w:val="18"/>
        </w:rPr>
        <w:t xml:space="preserve">.“ Nun, zum Abschluss der </w:t>
      </w:r>
      <w:r w:rsidR="00EC74D0">
        <w:rPr>
          <w:color w:val="auto"/>
          <w:sz w:val="18"/>
        </w:rPr>
        <w:t>Förderinitiative,</w:t>
      </w:r>
      <w:r w:rsidR="00DE2AF3">
        <w:rPr>
          <w:color w:val="auto"/>
          <w:sz w:val="18"/>
        </w:rPr>
        <w:t xml:space="preserve"> „können wir ein erfreuliches Ergebnis vorlegen: Zusammen mit den Projektpartnern ist es gelungen, viele innovative und zugleich nicht-chemische Pflanzenschutzmethoden zu entwickeln. Darauf lässt sich hervorragend aufbauen.“ Das soll auch ein Anreiz für kluge Köpfe sein. Denn das Bewerbungsverfahren für die DBU-Förderinitiative Pestizidvermeidung ist zwar abgeschlossen. „Aber im Zuge der DBU-Fördertätigkeit können natürlich zu diesem wichtigen Umweltschutz-Thema </w:t>
      </w:r>
      <w:r w:rsidR="00D7497C">
        <w:rPr>
          <w:color w:val="auto"/>
          <w:sz w:val="18"/>
        </w:rPr>
        <w:t xml:space="preserve">weitere </w:t>
      </w:r>
      <w:r w:rsidR="00DE2AF3">
        <w:rPr>
          <w:color w:val="auto"/>
          <w:sz w:val="18"/>
        </w:rPr>
        <w:t xml:space="preserve">Projektanträge eingereicht werden“, so Hempel. Der Link dazu: </w:t>
      </w:r>
      <w:hyperlink r:id="rId8" w:history="1">
        <w:r w:rsidR="00DE2AF3" w:rsidRPr="0048451B">
          <w:rPr>
            <w:rStyle w:val="Hyperlink"/>
            <w:sz w:val="18"/>
          </w:rPr>
          <w:t>www.dbu.de/antragstellung</w:t>
        </w:r>
      </w:hyperlink>
      <w:r w:rsidR="00DE2AF3">
        <w:rPr>
          <w:color w:val="auto"/>
          <w:sz w:val="18"/>
        </w:rPr>
        <w:t xml:space="preserve">. </w:t>
      </w:r>
    </w:p>
    <w:p w14:paraId="53EEDA1D" w14:textId="68B415A5" w:rsidR="0036671D" w:rsidRPr="003E6A2B" w:rsidRDefault="00882FA5" w:rsidP="0036671D">
      <w:pPr>
        <w:pStyle w:val="KeinLeerraum"/>
      </w:pPr>
      <w:r>
        <w:t xml:space="preserve">Nützlingsrollwiesen: wie </w:t>
      </w:r>
      <w:r w:rsidR="00D7497C">
        <w:t>ein</w:t>
      </w:r>
      <w:r>
        <w:t xml:space="preserve"> Rollrasen im Fußballstadion</w:t>
      </w:r>
      <w:r w:rsidR="0036671D" w:rsidRPr="003E6A2B">
        <w:t xml:space="preserve"> </w:t>
      </w:r>
    </w:p>
    <w:p w14:paraId="0902067F" w14:textId="0F551E5B" w:rsidR="002C6C5A" w:rsidRDefault="002C6C5A" w:rsidP="00A176D6">
      <w:pPr>
        <w:pStyle w:val="Textklein"/>
        <w:spacing w:after="240" w:line="300" w:lineRule="atLeast"/>
        <w:jc w:val="both"/>
        <w:rPr>
          <w:color w:val="auto"/>
          <w:sz w:val="18"/>
        </w:rPr>
      </w:pPr>
      <w:r>
        <w:rPr>
          <w:color w:val="auto"/>
          <w:sz w:val="18"/>
        </w:rPr>
        <w:t>Ein besonders erfolgreiches Projekt der DBU-Förderinitiative war laut Hempel die in der Staatsschule für Garten</w:t>
      </w:r>
      <w:r w:rsidR="00D7497C">
        <w:rPr>
          <w:color w:val="auto"/>
          <w:sz w:val="18"/>
        </w:rPr>
        <w:t>bau</w:t>
      </w:r>
      <w:r>
        <w:rPr>
          <w:color w:val="auto"/>
          <w:sz w:val="18"/>
        </w:rPr>
        <w:t xml:space="preserve"> </w:t>
      </w:r>
      <w:r w:rsidR="00825730">
        <w:rPr>
          <w:color w:val="auto"/>
          <w:sz w:val="18"/>
        </w:rPr>
        <w:t xml:space="preserve">in </w:t>
      </w:r>
      <w:r>
        <w:rPr>
          <w:color w:val="auto"/>
          <w:sz w:val="18"/>
        </w:rPr>
        <w:t xml:space="preserve">Stuttgart-Hohenheim entwickelte Idee einer Nützlingsrollwiese </w:t>
      </w:r>
      <w:r w:rsidR="000A77F6">
        <w:rPr>
          <w:color w:val="auto"/>
          <w:sz w:val="18"/>
        </w:rPr>
        <w:t xml:space="preserve">im Freilandbau – </w:t>
      </w:r>
      <w:r>
        <w:rPr>
          <w:color w:val="auto"/>
          <w:sz w:val="18"/>
        </w:rPr>
        <w:t>zunächst für Salatkulturen und Kohlrabipflanzen</w:t>
      </w:r>
      <w:r w:rsidR="000A77F6">
        <w:rPr>
          <w:color w:val="auto"/>
          <w:sz w:val="18"/>
        </w:rPr>
        <w:t xml:space="preserve">. Der Trick: Die Nützlingsrollwiese wird auf einem Geflecht von Hanf und Kokosfasern vorkultiviert und mit gewünschten Nützlingen als Schädlingsbekämpfer bestückt. Pünktlich zur Pflanzung etwa von Kopfsalat wird die Nützlingsrollwiese ins Freiland gebracht – ähnlich wie ein Rollrasen im Fußballstadion oder eigenen Hausgarten. </w:t>
      </w:r>
      <w:r w:rsidR="00D7497C">
        <w:rPr>
          <w:color w:val="auto"/>
          <w:sz w:val="18"/>
        </w:rPr>
        <w:t>A</w:t>
      </w:r>
      <w:r w:rsidR="000A77F6">
        <w:rPr>
          <w:color w:val="auto"/>
          <w:sz w:val="18"/>
        </w:rPr>
        <w:t xml:space="preserve">nderes Beispiel: Ein Team aus dem bayerischen Straubing hat für den Gemüseanbau ein biobasiertes </w:t>
      </w:r>
      <w:proofErr w:type="spellStart"/>
      <w:r w:rsidR="000A77F6">
        <w:rPr>
          <w:color w:val="auto"/>
          <w:sz w:val="18"/>
        </w:rPr>
        <w:t>Mulchverfahren</w:t>
      </w:r>
      <w:proofErr w:type="spellEnd"/>
      <w:r w:rsidR="000A77F6">
        <w:rPr>
          <w:color w:val="auto"/>
          <w:sz w:val="18"/>
        </w:rPr>
        <w:t xml:space="preserve"> in die Praxis umgesetzt. Dabei dient eine Zwei-Komponenten-Misch</w:t>
      </w:r>
      <w:r w:rsidR="00BE247A">
        <w:rPr>
          <w:color w:val="auto"/>
          <w:sz w:val="18"/>
        </w:rPr>
        <w:t>ung</w:t>
      </w:r>
      <w:r w:rsidR="000A77F6">
        <w:rPr>
          <w:color w:val="auto"/>
          <w:sz w:val="18"/>
        </w:rPr>
        <w:t xml:space="preserve"> aus nachwachsenden Rohstoffen</w:t>
      </w:r>
      <w:r w:rsidR="006301FF">
        <w:rPr>
          <w:color w:val="auto"/>
          <w:sz w:val="18"/>
        </w:rPr>
        <w:t xml:space="preserve"> als </w:t>
      </w:r>
      <w:proofErr w:type="spellStart"/>
      <w:r w:rsidR="006301FF">
        <w:rPr>
          <w:color w:val="auto"/>
          <w:sz w:val="18"/>
        </w:rPr>
        <w:t>Mulchmaterial</w:t>
      </w:r>
      <w:proofErr w:type="spellEnd"/>
      <w:r w:rsidR="006301FF">
        <w:rPr>
          <w:color w:val="auto"/>
          <w:sz w:val="18"/>
        </w:rPr>
        <w:t xml:space="preserve"> und wird per Spritzgerät ausgebracht. Das Material ist biologisch abbaubar, geliert schnell auf der Erdoberfläche und härtet aus. Das Ziel: Beikräuter werden in ihrer Keimung gehemmt und bereits gekeimte Pflanzen am Wachstum gehindert.</w:t>
      </w:r>
    </w:p>
    <w:p w14:paraId="16BDDED7" w14:textId="77777777" w:rsidR="002C6C5A" w:rsidRDefault="002C6C5A" w:rsidP="00944EFE">
      <w:pPr>
        <w:pStyle w:val="Textklein"/>
        <w:spacing w:after="240" w:line="300" w:lineRule="atLeast"/>
        <w:rPr>
          <w:color w:val="auto"/>
          <w:sz w:val="18"/>
        </w:rPr>
      </w:pPr>
    </w:p>
    <w:p w14:paraId="2326FA7B" w14:textId="6B6F14C2" w:rsidR="002C6C5A" w:rsidRDefault="002C6C5A" w:rsidP="002C6C5A">
      <w:pPr>
        <w:pStyle w:val="Textklein"/>
        <w:numPr>
          <w:ilvl w:val="0"/>
          <w:numId w:val="1"/>
        </w:numPr>
        <w:spacing w:after="240" w:line="300" w:lineRule="atLeast"/>
        <w:rPr>
          <w:color w:val="auto"/>
          <w:sz w:val="18"/>
        </w:rPr>
      </w:pPr>
      <w:r w:rsidRPr="002C6C5A">
        <w:rPr>
          <w:b/>
          <w:bCs/>
          <w:color w:val="auto"/>
          <w:sz w:val="18"/>
        </w:rPr>
        <w:t>Infos zur DBU-Förderinitiative „Vermeidung und Verminderung von Pestiziden in der Umwelt“ finden sich hier:</w:t>
      </w:r>
      <w:r>
        <w:rPr>
          <w:color w:val="auto"/>
          <w:sz w:val="18"/>
        </w:rPr>
        <w:t xml:space="preserve"> </w:t>
      </w:r>
      <w:hyperlink r:id="rId9" w:history="1">
        <w:r w:rsidRPr="0048451B">
          <w:rPr>
            <w:rStyle w:val="Hyperlink"/>
            <w:sz w:val="18"/>
          </w:rPr>
          <w:t>https://www.dbu.de/themen/foerderinitiativen/pestizidvermeidung/</w:t>
        </w:r>
      </w:hyperlink>
      <w:r>
        <w:rPr>
          <w:color w:val="auto"/>
          <w:sz w:val="18"/>
        </w:rPr>
        <w:t xml:space="preserve"> </w:t>
      </w:r>
      <w:r w:rsidR="00042653">
        <w:rPr>
          <w:color w:val="auto"/>
          <w:sz w:val="18"/>
        </w:rPr>
        <w:br/>
      </w:r>
    </w:p>
    <w:p w14:paraId="667492E6" w14:textId="77777777" w:rsidR="007364A9"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7364A9" w:rsidRPr="0086554F" w:rsidSect="00A176D6">
      <w:headerReference w:type="default" r:id="rId10"/>
      <w:footerReference w:type="default" r:id="rId11"/>
      <w:pgSz w:w="11906" w:h="16838"/>
      <w:pgMar w:top="1701" w:right="737" w:bottom="2552" w:left="62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320F" w14:textId="77777777" w:rsidR="00E43161" w:rsidRDefault="00E43161" w:rsidP="00732C71">
      <w:pPr>
        <w:spacing w:after="0" w:line="240" w:lineRule="auto"/>
      </w:pPr>
      <w:r>
        <w:separator/>
      </w:r>
    </w:p>
  </w:endnote>
  <w:endnote w:type="continuationSeparator" w:id="0">
    <w:p w14:paraId="48E81B49" w14:textId="77777777" w:rsidR="00E43161" w:rsidRDefault="00E43161"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9B63"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291EC18D" wp14:editId="63BE76FB">
              <wp:simplePos x="0" y="0"/>
              <wp:positionH relativeFrom="page">
                <wp:align>center</wp:align>
              </wp:positionH>
              <wp:positionV relativeFrom="paragraph">
                <wp:posOffset>-1147568</wp:posOffset>
              </wp:positionV>
              <wp:extent cx="4769892" cy="1050878"/>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892" cy="1050878"/>
                      </a:xfrm>
                      <a:prstGeom prst="rect">
                        <a:avLst/>
                      </a:prstGeom>
                      <a:noFill/>
                      <a:ln w="9525">
                        <a:noFill/>
                        <a:miter lim="800000"/>
                        <a:headEnd/>
                        <a:tailEnd/>
                      </a:ln>
                    </wps:spPr>
                    <wps:txbx>
                      <w:txbxContent>
                        <w:tbl>
                          <w:tblPr>
                            <w:tblStyle w:val="Tabellenraster"/>
                            <w:tblW w:w="7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5"/>
                            <w:gridCol w:w="2252"/>
                            <w:gridCol w:w="2401"/>
                          </w:tblGrid>
                          <w:tr w:rsidR="0036671D" w14:paraId="6D234E2E" w14:textId="77777777" w:rsidTr="00042653">
                            <w:trPr>
                              <w:trHeight w:val="1413"/>
                            </w:trPr>
                            <w:tc>
                              <w:tcPr>
                                <w:tcW w:w="2515" w:type="dxa"/>
                              </w:tcPr>
                              <w:p w14:paraId="4087AC34" w14:textId="4C30EC17" w:rsidR="0036671D" w:rsidRPr="00732C71" w:rsidRDefault="0036671D" w:rsidP="000F1B70">
                                <w:pPr>
                                  <w:spacing w:before="120"/>
                                  <w:rPr>
                                    <w:b/>
                                    <w:sz w:val="12"/>
                                    <w:szCs w:val="12"/>
                                  </w:rPr>
                                </w:pPr>
                                <w:r w:rsidRPr="00732C71">
                                  <w:rPr>
                                    <w:b/>
                                    <w:sz w:val="12"/>
                                    <w:szCs w:val="12"/>
                                  </w:rPr>
                                  <w:t>Nr.</w:t>
                                </w:r>
                                <w:r w:rsidR="00042653">
                                  <w:rPr>
                                    <w:b/>
                                    <w:sz w:val="12"/>
                                    <w:szCs w:val="12"/>
                                  </w:rPr>
                                  <w:t xml:space="preserve"> </w:t>
                                </w:r>
                                <w:r>
                                  <w:rPr>
                                    <w:b/>
                                    <w:sz w:val="12"/>
                                    <w:szCs w:val="12"/>
                                  </w:rPr>
                                  <w:t>132</w:t>
                                </w:r>
                                <w:r w:rsidRPr="00732C71">
                                  <w:rPr>
                                    <w:b/>
                                    <w:sz w:val="12"/>
                                    <w:szCs w:val="12"/>
                                  </w:rPr>
                                  <w:t>/202</w:t>
                                </w:r>
                                <w:r>
                                  <w:rPr>
                                    <w:b/>
                                    <w:sz w:val="12"/>
                                    <w:szCs w:val="12"/>
                                  </w:rPr>
                                  <w:t>4</w:t>
                                </w:r>
                                <w:r w:rsidR="00042653">
                                  <w:rPr>
                                    <w:b/>
                                    <w:sz w:val="12"/>
                                    <w:szCs w:val="12"/>
                                  </w:rPr>
                                  <w:t xml:space="preserve"> </w:t>
                                </w:r>
                                <w:r w:rsidR="000F1B70">
                                  <w:rPr>
                                    <w:b/>
                                    <w:sz w:val="12"/>
                                    <w:szCs w:val="12"/>
                                  </w:rPr>
                                  <w:t xml:space="preserve">         AZ 35949</w:t>
                                </w:r>
                                <w:r w:rsidR="000F1B70">
                                  <w:rPr>
                                    <w:b/>
                                    <w:sz w:val="12"/>
                                    <w:szCs w:val="12"/>
                                  </w:rPr>
                                  <w:br/>
                                </w:r>
                                <w:r w:rsidR="00042653">
                                  <w:rPr>
                                    <w:b/>
                                    <w:sz w:val="12"/>
                                    <w:szCs w:val="12"/>
                                  </w:rPr>
                                  <w:t xml:space="preserve">  </w:t>
                                </w:r>
                                <w:r w:rsidR="000F1B70">
                                  <w:rPr>
                                    <w:b/>
                                    <w:sz w:val="12"/>
                                    <w:szCs w:val="12"/>
                                  </w:rPr>
                                  <w:t xml:space="preserve">                             </w:t>
                                </w:r>
                                <w:r w:rsidR="00042653">
                                  <w:rPr>
                                    <w:b/>
                                    <w:sz w:val="12"/>
                                    <w:szCs w:val="12"/>
                                  </w:rPr>
                                  <w:t xml:space="preserve"> </w:t>
                                </w:r>
                                <w:r w:rsidR="000F1B70">
                                  <w:rPr>
                                    <w:b/>
                                    <w:sz w:val="12"/>
                                    <w:szCs w:val="12"/>
                                  </w:rPr>
                                  <w:t>AZ 35896</w:t>
                                </w:r>
                                <w:r w:rsidR="000F1B70">
                                  <w:rPr>
                                    <w:b/>
                                    <w:sz w:val="12"/>
                                    <w:szCs w:val="12"/>
                                  </w:rPr>
                                  <w:br/>
                                </w:r>
                              </w:p>
                              <w:p w14:paraId="2FE60D53" w14:textId="00F72196" w:rsidR="0036671D" w:rsidRPr="00732C71" w:rsidRDefault="0036671D" w:rsidP="0036671D">
                                <w:pPr>
                                  <w:pStyle w:val="Fuzeile"/>
                                  <w:rPr>
                                    <w:sz w:val="12"/>
                                    <w:szCs w:val="12"/>
                                  </w:rPr>
                                </w:pPr>
                                <w:r w:rsidRPr="00732C71">
                                  <w:rPr>
                                    <w:sz w:val="12"/>
                                    <w:szCs w:val="12"/>
                                  </w:rPr>
                                  <w:t>Klaus Jongebloed</w:t>
                                </w:r>
                              </w:p>
                              <w:p w14:paraId="2799F91A" w14:textId="0E587BA6" w:rsidR="0036671D" w:rsidRPr="00C76C43" w:rsidRDefault="0036671D" w:rsidP="00C518A8">
                                <w:pPr>
                                  <w:pStyle w:val="Fuzeile"/>
                                  <w:rPr>
                                    <w:sz w:val="12"/>
                                    <w:szCs w:val="12"/>
                                  </w:rPr>
                                </w:pPr>
                                <w:r w:rsidRPr="00732C71">
                                  <w:rPr>
                                    <w:sz w:val="12"/>
                                    <w:szCs w:val="12"/>
                                  </w:rPr>
                                  <w:br/>
                                </w:r>
                                <w:r w:rsidR="000F1B70">
                                  <w:rPr>
                                    <w:sz w:val="12"/>
                                    <w:szCs w:val="12"/>
                                  </w:rPr>
                                  <w:t>Claudia Holitschke</w:t>
                                </w:r>
                              </w:p>
                            </w:tc>
                            <w:tc>
                              <w:tcPr>
                                <w:tcW w:w="2252" w:type="dxa"/>
                              </w:tcPr>
                              <w:p w14:paraId="58F62D04" w14:textId="77777777" w:rsidR="0036671D" w:rsidRPr="00732C71" w:rsidRDefault="0036671D"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7729D2BC" w14:textId="77777777" w:rsidR="0036671D" w:rsidRPr="00732C71" w:rsidRDefault="0036671D" w:rsidP="00C518A8">
                                <w:pPr>
                                  <w:tabs>
                                    <w:tab w:val="left" w:pos="743"/>
                                  </w:tabs>
                                  <w:rPr>
                                    <w:sz w:val="12"/>
                                    <w:szCs w:val="12"/>
                                  </w:rPr>
                                </w:pPr>
                                <w:r w:rsidRPr="00732C71">
                                  <w:rPr>
                                    <w:sz w:val="12"/>
                                    <w:szCs w:val="12"/>
                                  </w:rPr>
                                  <w:t>Telefon</w:t>
                                </w:r>
                                <w:r w:rsidRPr="00732C71">
                                  <w:rPr>
                                    <w:sz w:val="12"/>
                                    <w:szCs w:val="12"/>
                                  </w:rPr>
                                  <w:tab/>
                                  <w:t>+49 541 9633-521</w:t>
                                </w:r>
                              </w:p>
                              <w:p w14:paraId="1A865FCC" w14:textId="77777777" w:rsidR="0036671D" w:rsidRPr="00732C71" w:rsidRDefault="0036671D"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3015E55C" w14:textId="77777777" w:rsidR="0036671D" w:rsidRPr="00732C71" w:rsidRDefault="0036671D" w:rsidP="00C518A8">
                                <w:pPr>
                                  <w:pStyle w:val="Fuzeile"/>
                                  <w:rPr>
                                    <w:rStyle w:val="Hyperlink"/>
                                    <w:sz w:val="12"/>
                                    <w:szCs w:val="12"/>
                                  </w:rPr>
                                </w:pPr>
                                <w:hyperlink r:id="rId2" w:history="1">
                                  <w:r w:rsidRPr="00732C71">
                                    <w:rPr>
                                      <w:rStyle w:val="Hyperlink"/>
                                      <w:sz w:val="12"/>
                                      <w:szCs w:val="12"/>
                                    </w:rPr>
                                    <w:t>www.dbu.de</w:t>
                                  </w:r>
                                </w:hyperlink>
                              </w:p>
                              <w:p w14:paraId="530CC281" w14:textId="77777777" w:rsidR="0036671D" w:rsidRPr="00732C71" w:rsidRDefault="0036671D" w:rsidP="00C518A8">
                                <w:pPr>
                                  <w:pStyle w:val="Fuzeile"/>
                                </w:pPr>
                              </w:p>
                            </w:tc>
                            <w:tc>
                              <w:tcPr>
                                <w:tcW w:w="2401" w:type="dxa"/>
                              </w:tcPr>
                              <w:p w14:paraId="2B8E9EAA" w14:textId="77777777" w:rsidR="0036671D" w:rsidRPr="00732C71" w:rsidRDefault="0036671D"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AE9D6A0" wp14:editId="67DB7BEF">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6A2E686C" wp14:editId="1168E6F5">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070F1D1" wp14:editId="07F983DF">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969A465" w14:textId="77777777" w:rsidR="0036671D" w:rsidRPr="00732C71" w:rsidRDefault="0036671D" w:rsidP="00C518A8">
                                <w:pPr>
                                  <w:tabs>
                                    <w:tab w:val="left" w:pos="601"/>
                                    <w:tab w:val="left" w:pos="1168"/>
                                  </w:tabs>
                                  <w:spacing w:before="120" w:after="60"/>
                                  <w:rPr>
                                    <w:b/>
                                    <w:bCs/>
                                    <w:sz w:val="12"/>
                                    <w:szCs w:val="12"/>
                                  </w:rPr>
                                </w:pPr>
                                <w:r>
                                  <w:rPr>
                                    <w:noProof/>
                                    <w:sz w:val="12"/>
                                    <w:szCs w:val="12"/>
                                  </w:rPr>
                                  <w:drawing>
                                    <wp:inline distT="0" distB="0" distL="0" distR="0" wp14:anchorId="0A44A42F" wp14:editId="065B5776">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937046C" wp14:editId="4EB18E6B">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CB185C0" wp14:editId="1164D94A">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14:paraId="7E7B2D1F"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EC18D" id="_x0000_t202" coordsize="21600,21600" o:spt="202" path="m,l,21600r21600,l21600,xe">
              <v:stroke joinstyle="miter"/>
              <v:path gradientshapeok="t" o:connecttype="rect"/>
            </v:shapetype>
            <v:shape id="_x0000_s1028" type="#_x0000_t202" style="position:absolute;margin-left:0;margin-top:-90.35pt;width:375.6pt;height:8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h+QEAAM4DAAAOAAAAZHJzL2Uyb0RvYy54bWysU1Fv0zAQfkfiP1h+p0mrdm2jptPYGEIa&#10;A2nwA1zHaSxsnzm7Tcav5+x0XQVviDxYvpz93X3ffd5cD9awo8KgwdV8Oik5U05Co92+5t+/3b9b&#10;cRaicI0w4FTNn1Xg19u3bza9r9QMOjCNQkYgLlS9r3kXo6+KIshOWREm4JWjZAtoRaQQ90WDoid0&#10;a4pZWV4VPWDjEaQKgf7ejUm+zfhtq2T80rZBRWZqTr3FvGJed2ktthtR7VH4TstTG+IfurBCOyp6&#10;hroTUbAD6r+grJYIAdo4kWALaFstVeZAbKblH2yeOuFV5kLiBH+WKfw/WPl4fPJfkcXhPQw0wEwi&#10;+AeQPwJzcNsJt1c3iNB3SjRUeJokK3ofqtPVJHWoQgLZ9Z+hoSGLQ4QMNLRokyrEkxE6DeD5LLoa&#10;IpP0c768Wq/WM84k5ablolwtV7mGqF6uewzxowLL0qbmSFPN8OL4EGJqR1QvR1I1B/famDxZ41hf&#10;8/VitsgXLjJWRzKe0bbmqzJ9oxUSyw+uyZej0GbcUwHjTrQT05FzHHYDHUz0d9A8kwAIo8HoQdCm&#10;A/zFWU/mqnn4eRCoODOfHIm4ns7nyY05mC+WMwrwMrO7zAgnCarmkbNxexuzg0euNyR2q7MMr52c&#10;eiXTZHVOBk+uvIzzqddnuP0NAAD//wMAUEsDBBQABgAIAAAAIQDqP6gc3gAAAAkBAAAPAAAAZHJz&#10;L2Rvd25yZXYueG1sTI/NTsMwEITvSH0Haytxa+1EhJY0ToVAXEGUH4nbNt4mUeN1FLtNeHvcEz3O&#10;zmrmm2I72U6cafCtYw3JUoEgrpxpudbw+fGyWIPwAdlg55g0/JKHbTm7KTA3buR3Ou9CLWII+xw1&#10;NCH0uZS+asiiX7qeOHoHN1gMUQ61NAOOMdx2MlXqXlpsOTY02NNTQ9Vxd7Iavl4PP9936q1+tlk/&#10;uklJtg9S69v59LgBEWgK/89wwY/oUEamvTux8aLTEIcEDYtkrVYgor/KkhTE/nLKUpBlIa8XlH8A&#10;AAD//wMAUEsBAi0AFAAGAAgAAAAhALaDOJL+AAAA4QEAABMAAAAAAAAAAAAAAAAAAAAAAFtDb250&#10;ZW50X1R5cGVzXS54bWxQSwECLQAUAAYACAAAACEAOP0h/9YAAACUAQAACwAAAAAAAAAAAAAAAAAv&#10;AQAAX3JlbHMvLnJlbHNQSwECLQAUAAYACAAAACEAiPcPofkBAADOAwAADgAAAAAAAAAAAAAAAAAu&#10;AgAAZHJzL2Uyb0RvYy54bWxQSwECLQAUAAYACAAAACEA6j+oHN4AAAAJAQAADwAAAAAAAAAAAAAA&#10;AABTBAAAZHJzL2Rvd25yZXYueG1sUEsFBgAAAAAEAAQA8wAAAF4FAAAAAA==&#10;" filled="f" stroked="f">
              <v:textbox>
                <w:txbxContent>
                  <w:tbl>
                    <w:tblPr>
                      <w:tblStyle w:val="Tabellenraster"/>
                      <w:tblW w:w="7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5"/>
                      <w:gridCol w:w="2252"/>
                      <w:gridCol w:w="2401"/>
                    </w:tblGrid>
                    <w:tr w:rsidR="0036671D" w14:paraId="6D234E2E" w14:textId="77777777" w:rsidTr="00042653">
                      <w:trPr>
                        <w:trHeight w:val="1413"/>
                      </w:trPr>
                      <w:tc>
                        <w:tcPr>
                          <w:tcW w:w="2515" w:type="dxa"/>
                        </w:tcPr>
                        <w:p w14:paraId="4087AC34" w14:textId="4C30EC17" w:rsidR="0036671D" w:rsidRPr="00732C71" w:rsidRDefault="0036671D" w:rsidP="000F1B70">
                          <w:pPr>
                            <w:spacing w:before="120"/>
                            <w:rPr>
                              <w:b/>
                              <w:sz w:val="12"/>
                              <w:szCs w:val="12"/>
                            </w:rPr>
                          </w:pPr>
                          <w:r w:rsidRPr="00732C71">
                            <w:rPr>
                              <w:b/>
                              <w:sz w:val="12"/>
                              <w:szCs w:val="12"/>
                            </w:rPr>
                            <w:t>Nr.</w:t>
                          </w:r>
                          <w:r w:rsidR="00042653">
                            <w:rPr>
                              <w:b/>
                              <w:sz w:val="12"/>
                              <w:szCs w:val="12"/>
                            </w:rPr>
                            <w:t xml:space="preserve"> </w:t>
                          </w:r>
                          <w:r>
                            <w:rPr>
                              <w:b/>
                              <w:sz w:val="12"/>
                              <w:szCs w:val="12"/>
                            </w:rPr>
                            <w:t>132</w:t>
                          </w:r>
                          <w:r w:rsidRPr="00732C71">
                            <w:rPr>
                              <w:b/>
                              <w:sz w:val="12"/>
                              <w:szCs w:val="12"/>
                            </w:rPr>
                            <w:t>/202</w:t>
                          </w:r>
                          <w:r>
                            <w:rPr>
                              <w:b/>
                              <w:sz w:val="12"/>
                              <w:szCs w:val="12"/>
                            </w:rPr>
                            <w:t>4</w:t>
                          </w:r>
                          <w:r w:rsidR="00042653">
                            <w:rPr>
                              <w:b/>
                              <w:sz w:val="12"/>
                              <w:szCs w:val="12"/>
                            </w:rPr>
                            <w:t xml:space="preserve"> </w:t>
                          </w:r>
                          <w:r w:rsidR="000F1B70">
                            <w:rPr>
                              <w:b/>
                              <w:sz w:val="12"/>
                              <w:szCs w:val="12"/>
                            </w:rPr>
                            <w:t xml:space="preserve">         AZ 35949</w:t>
                          </w:r>
                          <w:r w:rsidR="000F1B70">
                            <w:rPr>
                              <w:b/>
                              <w:sz w:val="12"/>
                              <w:szCs w:val="12"/>
                            </w:rPr>
                            <w:br/>
                          </w:r>
                          <w:r w:rsidR="00042653">
                            <w:rPr>
                              <w:b/>
                              <w:sz w:val="12"/>
                              <w:szCs w:val="12"/>
                            </w:rPr>
                            <w:t xml:space="preserve">  </w:t>
                          </w:r>
                          <w:r w:rsidR="000F1B70">
                            <w:rPr>
                              <w:b/>
                              <w:sz w:val="12"/>
                              <w:szCs w:val="12"/>
                            </w:rPr>
                            <w:t xml:space="preserve">                             </w:t>
                          </w:r>
                          <w:r w:rsidR="00042653">
                            <w:rPr>
                              <w:b/>
                              <w:sz w:val="12"/>
                              <w:szCs w:val="12"/>
                            </w:rPr>
                            <w:t xml:space="preserve"> </w:t>
                          </w:r>
                          <w:r w:rsidR="000F1B70">
                            <w:rPr>
                              <w:b/>
                              <w:sz w:val="12"/>
                              <w:szCs w:val="12"/>
                            </w:rPr>
                            <w:t>AZ 35896</w:t>
                          </w:r>
                          <w:r w:rsidR="000F1B70">
                            <w:rPr>
                              <w:b/>
                              <w:sz w:val="12"/>
                              <w:szCs w:val="12"/>
                            </w:rPr>
                            <w:br/>
                          </w:r>
                        </w:p>
                        <w:p w14:paraId="2FE60D53" w14:textId="00F72196" w:rsidR="0036671D" w:rsidRPr="00732C71" w:rsidRDefault="0036671D" w:rsidP="0036671D">
                          <w:pPr>
                            <w:pStyle w:val="Fuzeile"/>
                            <w:rPr>
                              <w:sz w:val="12"/>
                              <w:szCs w:val="12"/>
                            </w:rPr>
                          </w:pPr>
                          <w:r w:rsidRPr="00732C71">
                            <w:rPr>
                              <w:sz w:val="12"/>
                              <w:szCs w:val="12"/>
                            </w:rPr>
                            <w:t>Klaus Jongebloed</w:t>
                          </w:r>
                        </w:p>
                        <w:p w14:paraId="2799F91A" w14:textId="0E587BA6" w:rsidR="0036671D" w:rsidRPr="00C76C43" w:rsidRDefault="0036671D" w:rsidP="00C518A8">
                          <w:pPr>
                            <w:pStyle w:val="Fuzeile"/>
                            <w:rPr>
                              <w:sz w:val="12"/>
                              <w:szCs w:val="12"/>
                            </w:rPr>
                          </w:pPr>
                          <w:r w:rsidRPr="00732C71">
                            <w:rPr>
                              <w:sz w:val="12"/>
                              <w:szCs w:val="12"/>
                            </w:rPr>
                            <w:br/>
                          </w:r>
                          <w:r w:rsidR="000F1B70">
                            <w:rPr>
                              <w:sz w:val="12"/>
                              <w:szCs w:val="12"/>
                            </w:rPr>
                            <w:t>Claudia Holitschke</w:t>
                          </w:r>
                        </w:p>
                      </w:tc>
                      <w:tc>
                        <w:tcPr>
                          <w:tcW w:w="2252" w:type="dxa"/>
                        </w:tcPr>
                        <w:p w14:paraId="58F62D04" w14:textId="77777777" w:rsidR="0036671D" w:rsidRPr="00732C71" w:rsidRDefault="0036671D"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7729D2BC" w14:textId="77777777" w:rsidR="0036671D" w:rsidRPr="00732C71" w:rsidRDefault="0036671D" w:rsidP="00C518A8">
                          <w:pPr>
                            <w:tabs>
                              <w:tab w:val="left" w:pos="743"/>
                            </w:tabs>
                            <w:rPr>
                              <w:sz w:val="12"/>
                              <w:szCs w:val="12"/>
                            </w:rPr>
                          </w:pPr>
                          <w:r w:rsidRPr="00732C71">
                            <w:rPr>
                              <w:sz w:val="12"/>
                              <w:szCs w:val="12"/>
                            </w:rPr>
                            <w:t>Telefon</w:t>
                          </w:r>
                          <w:r w:rsidRPr="00732C71">
                            <w:rPr>
                              <w:sz w:val="12"/>
                              <w:szCs w:val="12"/>
                            </w:rPr>
                            <w:tab/>
                            <w:t>+49 541 9633-521</w:t>
                          </w:r>
                        </w:p>
                        <w:p w14:paraId="1A865FCC" w14:textId="77777777" w:rsidR="0036671D" w:rsidRPr="00732C71" w:rsidRDefault="0036671D"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3015E55C" w14:textId="77777777" w:rsidR="0036671D" w:rsidRPr="00732C71" w:rsidRDefault="0036671D" w:rsidP="00C518A8">
                          <w:pPr>
                            <w:pStyle w:val="Fuzeile"/>
                            <w:rPr>
                              <w:rStyle w:val="Hyperlink"/>
                              <w:sz w:val="12"/>
                              <w:szCs w:val="12"/>
                            </w:rPr>
                          </w:pPr>
                          <w:hyperlink r:id="rId16" w:history="1">
                            <w:r w:rsidRPr="00732C71">
                              <w:rPr>
                                <w:rStyle w:val="Hyperlink"/>
                                <w:sz w:val="12"/>
                                <w:szCs w:val="12"/>
                              </w:rPr>
                              <w:t>www.dbu.de</w:t>
                            </w:r>
                          </w:hyperlink>
                        </w:p>
                        <w:p w14:paraId="530CC281" w14:textId="77777777" w:rsidR="0036671D" w:rsidRPr="00732C71" w:rsidRDefault="0036671D" w:rsidP="00C518A8">
                          <w:pPr>
                            <w:pStyle w:val="Fuzeile"/>
                          </w:pPr>
                        </w:p>
                      </w:tc>
                      <w:tc>
                        <w:tcPr>
                          <w:tcW w:w="2401" w:type="dxa"/>
                        </w:tcPr>
                        <w:p w14:paraId="2B8E9EAA" w14:textId="77777777" w:rsidR="0036671D" w:rsidRPr="00732C71" w:rsidRDefault="0036671D"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2AE9D6A0" wp14:editId="67DB7BEF">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6A2E686C" wp14:editId="1168E6F5">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070F1D1" wp14:editId="07F983DF">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969A465" w14:textId="77777777" w:rsidR="0036671D" w:rsidRPr="00732C71" w:rsidRDefault="0036671D" w:rsidP="00C518A8">
                          <w:pPr>
                            <w:tabs>
                              <w:tab w:val="left" w:pos="601"/>
                              <w:tab w:val="left" w:pos="1168"/>
                            </w:tabs>
                            <w:spacing w:before="120" w:after="60"/>
                            <w:rPr>
                              <w:b/>
                              <w:bCs/>
                              <w:sz w:val="12"/>
                              <w:szCs w:val="12"/>
                            </w:rPr>
                          </w:pPr>
                          <w:r>
                            <w:rPr>
                              <w:noProof/>
                              <w:sz w:val="12"/>
                              <w:szCs w:val="12"/>
                            </w:rPr>
                            <w:drawing>
                              <wp:inline distT="0" distB="0" distL="0" distR="0" wp14:anchorId="0A44A42F" wp14:editId="065B5776">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7937046C" wp14:editId="4EB18E6B">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0CB185C0" wp14:editId="1164D94A">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14:paraId="7E7B2D1F" w14:textId="77777777" w:rsidR="00732C71" w:rsidRDefault="00732C71" w:rsidP="00732C71"/>
                </w:txbxContent>
              </v:textbox>
              <w10:wrap anchorx="page"/>
            </v:shape>
          </w:pict>
        </mc:Fallback>
      </mc:AlternateContent>
    </w:r>
  </w:p>
  <w:p w14:paraId="089126AB"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284F" w14:textId="77777777" w:rsidR="00E43161" w:rsidRDefault="00E43161" w:rsidP="00732C71">
      <w:pPr>
        <w:spacing w:after="0" w:line="240" w:lineRule="auto"/>
      </w:pPr>
      <w:r>
        <w:separator/>
      </w:r>
    </w:p>
  </w:footnote>
  <w:footnote w:type="continuationSeparator" w:id="0">
    <w:p w14:paraId="22984A0C" w14:textId="77777777" w:rsidR="00E43161" w:rsidRDefault="00E43161"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02780"/>
      <w:docPartObj>
        <w:docPartGallery w:val="Page Numbers (Top of Page)"/>
        <w:docPartUnique/>
      </w:docPartObj>
    </w:sdtPr>
    <w:sdtEndPr/>
    <w:sdtContent>
      <w:p w14:paraId="4296386D"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17FF7F92" w14:textId="77777777" w:rsidR="00732C71" w:rsidRDefault="00732C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D56AD"/>
    <w:multiLevelType w:val="hybridMultilevel"/>
    <w:tmpl w:val="EBDA9BB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998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61"/>
    <w:rsid w:val="00042653"/>
    <w:rsid w:val="00047968"/>
    <w:rsid w:val="000A77F6"/>
    <w:rsid w:val="000F1B70"/>
    <w:rsid w:val="00111323"/>
    <w:rsid w:val="00131EE0"/>
    <w:rsid w:val="00190629"/>
    <w:rsid w:val="001A411B"/>
    <w:rsid w:val="0022799C"/>
    <w:rsid w:val="00230B5E"/>
    <w:rsid w:val="002667EC"/>
    <w:rsid w:val="00271DF3"/>
    <w:rsid w:val="002A094E"/>
    <w:rsid w:val="002C6C5A"/>
    <w:rsid w:val="002D2337"/>
    <w:rsid w:val="00331CE3"/>
    <w:rsid w:val="0036671D"/>
    <w:rsid w:val="00393CD8"/>
    <w:rsid w:val="003C17E6"/>
    <w:rsid w:val="003E5C92"/>
    <w:rsid w:val="003F00F0"/>
    <w:rsid w:val="00424F67"/>
    <w:rsid w:val="00433C62"/>
    <w:rsid w:val="004D1831"/>
    <w:rsid w:val="006301FF"/>
    <w:rsid w:val="00631FD8"/>
    <w:rsid w:val="006353DD"/>
    <w:rsid w:val="00686764"/>
    <w:rsid w:val="006914C4"/>
    <w:rsid w:val="00732C71"/>
    <w:rsid w:val="007364A9"/>
    <w:rsid w:val="007C74CA"/>
    <w:rsid w:val="007E513C"/>
    <w:rsid w:val="00825730"/>
    <w:rsid w:val="00860B02"/>
    <w:rsid w:val="0086554F"/>
    <w:rsid w:val="00882FA5"/>
    <w:rsid w:val="008B6067"/>
    <w:rsid w:val="008C355F"/>
    <w:rsid w:val="008E1BF5"/>
    <w:rsid w:val="008E5AAF"/>
    <w:rsid w:val="00944EFE"/>
    <w:rsid w:val="009A1674"/>
    <w:rsid w:val="00A12465"/>
    <w:rsid w:val="00A176D6"/>
    <w:rsid w:val="00A3007D"/>
    <w:rsid w:val="00A71291"/>
    <w:rsid w:val="00A8043D"/>
    <w:rsid w:val="00B2063A"/>
    <w:rsid w:val="00B6552A"/>
    <w:rsid w:val="00B72A5D"/>
    <w:rsid w:val="00B9504E"/>
    <w:rsid w:val="00BE247A"/>
    <w:rsid w:val="00C76C43"/>
    <w:rsid w:val="00D12268"/>
    <w:rsid w:val="00D7497C"/>
    <w:rsid w:val="00DB74A3"/>
    <w:rsid w:val="00DE2AF3"/>
    <w:rsid w:val="00E33089"/>
    <w:rsid w:val="00E43161"/>
    <w:rsid w:val="00EC74D0"/>
    <w:rsid w:val="00F43C2D"/>
    <w:rsid w:val="00F9313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34A6F"/>
  <w15:docId w15:val="{D6CE095C-2EFE-4691-ACB8-EEC2A2F7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DE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u.de/antragstell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bu.de/themen/foerderinitiativen/pestizidvermeidun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5.png"/><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K:\ABTS-DAT\REF-PRES\Ver&#246;ffentlichungen%202024\2024%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2</Pages>
  <Words>854</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Jongebloed, Klaus</dc:creator>
  <cp:lastModifiedBy>Jongebloed, Klaus</cp:lastModifiedBy>
  <cp:revision>3</cp:revision>
  <dcterms:created xsi:type="dcterms:W3CDTF">2024-12-02T21:16:00Z</dcterms:created>
  <dcterms:modified xsi:type="dcterms:W3CDTF">2024-12-02T21:30:00Z</dcterms:modified>
</cp:coreProperties>
</file>