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48D1228F" w:rsidR="00CA79D7" w:rsidRPr="006456EA" w:rsidRDefault="00161817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top-7-in</w:t>
      </w:r>
      <w:r w:rsidR="00970962">
        <w:rPr>
          <w:rFonts w:ascii="Source Sans Pro" w:hAnsi="Source Sans Pro" w:cs="Source Sans Pro"/>
          <w:caps/>
          <w:color w:val="0086A8"/>
          <w:sz w:val="22"/>
          <w:szCs w:val="22"/>
        </w:rPr>
        <w:t>DUSTRIE-/LogistikM</w:t>
      </w:r>
      <w:r w:rsidR="001D52AA">
        <w:rPr>
          <w:rFonts w:ascii="Source Sans Pro" w:hAnsi="Source Sans Pro" w:cs="Source Sans Pro"/>
          <w:caps/>
          <w:color w:val="0086A8"/>
          <w:sz w:val="22"/>
          <w:szCs w:val="22"/>
        </w:rPr>
        <w:t>ärkte</w:t>
      </w:r>
      <w:r w:rsidR="00970962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202</w:t>
      </w:r>
      <w:r w:rsidR="005F75B9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CA79D7" w:rsidRPr="006456E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1CB0FF2D" w14:textId="65E7281E" w:rsidR="007A774C" w:rsidRDefault="0059570E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Logistikobjekte weniger von Zinswende betroffen als Büros</w:t>
      </w:r>
    </w:p>
    <w:p w14:paraId="31D56178" w14:textId="3982D864" w:rsidR="00F8679F" w:rsidRDefault="00F8679F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36"/>
          <w:szCs w:val="36"/>
        </w:rPr>
      </w:pPr>
    </w:p>
    <w:p w14:paraId="465B0679" w14:textId="6BB44C37" w:rsidR="002218FB" w:rsidRDefault="00CE1E51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6DC5FD" wp14:editId="7670699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407129" cy="2353310"/>
            <wp:effectExtent l="19050" t="19050" r="22225" b="279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P-Industrie-Logistik-Spitzenrendit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129" cy="23533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E514612" w14:textId="1C0E3B62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32332485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5C6F304E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11D75AC8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7479D1D5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745D3F7F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6D38DF38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3B0F79F4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633E6F62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5F4D0E25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55973F72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47C775DA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21C1F66E" w14:textId="77777777" w:rsidR="002218FB" w:rsidRDefault="002218FB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3CACD137" w14:textId="1B8ADED7" w:rsidR="00D54180" w:rsidRPr="00D57A2F" w:rsidRDefault="00987C4D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39309A">
        <w:rPr>
          <w:rFonts w:ascii="Source Sans Pro" w:hAnsi="Source Sans Pro" w:cs="Source Sans Pro"/>
          <w:color w:val="0086A8"/>
          <w:sz w:val="22"/>
          <w:szCs w:val="22"/>
        </w:rPr>
        <w:t>14</w:t>
      </w:r>
      <w:r w:rsidR="007D5A52" w:rsidRPr="0039309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Pr="0039309A">
        <w:rPr>
          <w:rFonts w:ascii="Source Sans Pro" w:hAnsi="Source Sans Pro" w:cs="Source Sans Pro"/>
          <w:color w:val="0087A8"/>
          <w:sz w:val="22"/>
          <w:szCs w:val="22"/>
        </w:rPr>
        <w:t>Dezember</w:t>
      </w:r>
      <w:r w:rsidR="000021F4" w:rsidRPr="0039309A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5F75B9" w:rsidRPr="0039309A">
        <w:rPr>
          <w:rFonts w:ascii="Source Sans Pro" w:hAnsi="Source Sans Pro" w:cs="Source Sans Pro"/>
          <w:color w:val="0087A8"/>
          <w:sz w:val="22"/>
          <w:szCs w:val="22"/>
        </w:rPr>
        <w:t>3</w:t>
      </w:r>
      <w:r w:rsidR="007D5A52" w:rsidRPr="0039309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 w:rsidRPr="0039309A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39309A" w:rsidRPr="0039309A">
        <w:rPr>
          <w:rFonts w:ascii="Source Sans Pro" w:hAnsi="Source Sans Pro" w:cs="Arial"/>
          <w:color w:val="auto"/>
          <w:sz w:val="22"/>
          <w:szCs w:val="20"/>
        </w:rPr>
        <w:t xml:space="preserve">Der </w:t>
      </w:r>
      <w:r w:rsidR="0039309A">
        <w:rPr>
          <w:rFonts w:ascii="Source Sans Pro" w:hAnsi="Source Sans Pro" w:cs="Arial"/>
          <w:sz w:val="22"/>
        </w:rPr>
        <w:t xml:space="preserve">Konjunkturrückgang und </w:t>
      </w:r>
      <w:r w:rsidR="00E52FC1">
        <w:rPr>
          <w:rFonts w:ascii="Source Sans Pro" w:hAnsi="Source Sans Pro" w:cs="Arial"/>
          <w:sz w:val="22"/>
        </w:rPr>
        <w:t>die Ungewissheit über</w:t>
      </w:r>
      <w:r w:rsidR="0039309A">
        <w:rPr>
          <w:rFonts w:ascii="Source Sans Pro" w:hAnsi="Source Sans Pro" w:cs="Arial"/>
          <w:sz w:val="22"/>
        </w:rPr>
        <w:t xml:space="preserve"> weitere wirtschaftliche Entwicklung</w:t>
      </w:r>
      <w:r w:rsidR="00E52FC1">
        <w:rPr>
          <w:rFonts w:ascii="Source Sans Pro" w:hAnsi="Source Sans Pro" w:cs="Arial"/>
          <w:sz w:val="22"/>
        </w:rPr>
        <w:t>en</w:t>
      </w:r>
      <w:r w:rsidR="0039309A">
        <w:rPr>
          <w:rFonts w:ascii="Source Sans Pro" w:hAnsi="Source Sans Pro" w:cs="Arial"/>
          <w:sz w:val="22"/>
        </w:rPr>
        <w:t xml:space="preserve"> </w:t>
      </w:r>
      <w:r w:rsidR="00E52FC1">
        <w:rPr>
          <w:rFonts w:ascii="Source Sans Pro" w:hAnsi="Source Sans Pro" w:cs="Arial"/>
          <w:sz w:val="22"/>
        </w:rPr>
        <w:t xml:space="preserve">prägten 2023 die </w:t>
      </w:r>
      <w:r w:rsidR="00E52FC1" w:rsidRPr="0039309A">
        <w:rPr>
          <w:rFonts w:ascii="Source Sans Pro" w:hAnsi="Source Sans Pro" w:cs="Arial"/>
          <w:sz w:val="22"/>
        </w:rPr>
        <w:t>Top-7-Märkte für Industrie- und Logistik</w:t>
      </w:r>
      <w:r w:rsidR="0046307F">
        <w:rPr>
          <w:rFonts w:ascii="Source Sans Pro" w:hAnsi="Source Sans Pro" w:cs="Arial"/>
          <w:sz w:val="22"/>
        </w:rPr>
        <w:t>-</w:t>
      </w:r>
      <w:r w:rsidR="00E52FC1" w:rsidRPr="0039309A">
        <w:rPr>
          <w:rFonts w:ascii="Source Sans Pro" w:hAnsi="Source Sans Pro" w:cs="Arial"/>
          <w:sz w:val="22"/>
        </w:rPr>
        <w:t>immobilien</w:t>
      </w:r>
      <w:r w:rsidR="00E52FC1">
        <w:rPr>
          <w:rFonts w:ascii="Source Sans Pro" w:hAnsi="Source Sans Pro" w:cs="Arial"/>
          <w:sz w:val="22"/>
        </w:rPr>
        <w:t>. Besonders in Köln und Düsseldorf resultierte daraus ein</w:t>
      </w:r>
      <w:r w:rsidR="0039309A">
        <w:rPr>
          <w:rFonts w:ascii="Source Sans Pro" w:hAnsi="Source Sans Pro" w:cs="Arial"/>
          <w:sz w:val="22"/>
        </w:rPr>
        <w:t xml:space="preserve"> Rückgang der </w:t>
      </w:r>
      <w:r w:rsidR="0046307F">
        <w:rPr>
          <w:rFonts w:ascii="Source Sans Pro" w:hAnsi="Source Sans Pro" w:cs="Arial"/>
          <w:sz w:val="22"/>
        </w:rPr>
        <w:t>N</w:t>
      </w:r>
      <w:r w:rsidR="0039309A">
        <w:rPr>
          <w:rFonts w:ascii="Source Sans Pro" w:hAnsi="Source Sans Pro" w:cs="Arial"/>
          <w:sz w:val="22"/>
        </w:rPr>
        <w:t xml:space="preserve">achfrage. </w:t>
      </w:r>
      <w:r w:rsidR="0039309A" w:rsidRPr="0039309A">
        <w:rPr>
          <w:rFonts w:ascii="Source Sans Pro" w:hAnsi="Source Sans Pro" w:cs="Arial"/>
          <w:i/>
          <w:sz w:val="22"/>
        </w:rPr>
        <w:t>„</w:t>
      </w:r>
      <w:r w:rsidR="00B301B5">
        <w:rPr>
          <w:rFonts w:ascii="Source Sans Pro" w:hAnsi="Source Sans Pro" w:cs="Arial"/>
          <w:i/>
          <w:sz w:val="22"/>
        </w:rPr>
        <w:t>In der Folge</w:t>
      </w:r>
      <w:r w:rsidR="00B301B5" w:rsidRPr="0039309A">
        <w:rPr>
          <w:rFonts w:ascii="Source Sans Pro" w:hAnsi="Source Sans Pro" w:cs="Arial"/>
          <w:i/>
          <w:sz w:val="22"/>
        </w:rPr>
        <w:t xml:space="preserve"> </w:t>
      </w:r>
      <w:r w:rsidR="0039309A" w:rsidRPr="0039309A">
        <w:rPr>
          <w:rFonts w:ascii="Source Sans Pro" w:hAnsi="Source Sans Pro" w:cs="Arial"/>
          <w:i/>
          <w:sz w:val="22"/>
        </w:rPr>
        <w:t>hat das Angebot an Bestandsflächen</w:t>
      </w:r>
      <w:r w:rsidR="006D552B">
        <w:rPr>
          <w:rFonts w:ascii="Source Sans Pro" w:hAnsi="Source Sans Pro" w:cs="Arial"/>
          <w:i/>
          <w:sz w:val="22"/>
        </w:rPr>
        <w:t xml:space="preserve"> grundsätzlich</w:t>
      </w:r>
      <w:r w:rsidR="0039309A" w:rsidRPr="0039309A">
        <w:rPr>
          <w:rFonts w:ascii="Source Sans Pro" w:hAnsi="Source Sans Pro" w:cs="Arial"/>
          <w:i/>
          <w:sz w:val="22"/>
        </w:rPr>
        <w:t xml:space="preserve"> zugenommen</w:t>
      </w:r>
      <w:r w:rsidR="006D552B">
        <w:rPr>
          <w:rFonts w:ascii="Source Sans Pro" w:hAnsi="Source Sans Pro" w:cs="Arial"/>
          <w:i/>
          <w:sz w:val="22"/>
        </w:rPr>
        <w:t xml:space="preserve">. </w:t>
      </w:r>
      <w:r w:rsidR="006D552B" w:rsidRPr="00D57A2F">
        <w:rPr>
          <w:rFonts w:ascii="Source Sans Pro" w:hAnsi="Source Sans Pro" w:cs="Source Sans Pro"/>
          <w:i/>
          <w:sz w:val="22"/>
          <w:szCs w:val="22"/>
        </w:rPr>
        <w:t>Allerdings häufig nicht in den nachgefragten Lagen oder mit unpassenden Objekteigenschaften</w:t>
      </w:r>
      <w:r w:rsidR="0039309A" w:rsidRPr="0039309A">
        <w:rPr>
          <w:rFonts w:ascii="Source Sans Pro" w:hAnsi="Source Sans Pro" w:cs="Arial"/>
          <w:i/>
          <w:sz w:val="22"/>
        </w:rPr>
        <w:t>“,</w:t>
      </w:r>
      <w:r w:rsidR="0039309A">
        <w:rPr>
          <w:rFonts w:ascii="Source Sans Pro" w:hAnsi="Source Sans Pro" w:cs="Arial"/>
          <w:sz w:val="22"/>
        </w:rPr>
        <w:t xml:space="preserve"> erklärt </w:t>
      </w:r>
      <w:r w:rsidR="0039309A">
        <w:rPr>
          <w:rFonts w:ascii="Source Sans Pro" w:hAnsi="Source Sans Pro" w:cs="Source Sans Pro"/>
          <w:b/>
          <w:sz w:val="22"/>
          <w:szCs w:val="22"/>
        </w:rPr>
        <w:t>Björn Holzwarth</w:t>
      </w:r>
      <w:r w:rsidR="0039309A" w:rsidRPr="00177AA4">
        <w:rPr>
          <w:rFonts w:ascii="Source Sans Pro" w:hAnsi="Source Sans Pro" w:cs="Source Sans Pro"/>
          <w:sz w:val="22"/>
          <w:szCs w:val="22"/>
        </w:rPr>
        <w:t>, Sprecher des Gewerbeimmobiliennetzwerkes German Property Partners (GPP</w:t>
      </w:r>
      <w:r w:rsidR="0039309A">
        <w:rPr>
          <w:rFonts w:ascii="Source Sans Pro" w:hAnsi="Source Sans Pro" w:cs="Source Sans Pro"/>
          <w:sz w:val="22"/>
          <w:szCs w:val="22"/>
        </w:rPr>
        <w:t>)</w:t>
      </w:r>
      <w:r w:rsidR="0039309A" w:rsidRPr="00177AA4">
        <w:rPr>
          <w:rFonts w:ascii="Source Sans Pro" w:hAnsi="Source Sans Pro" w:cs="Source Sans Pro"/>
          <w:sz w:val="22"/>
          <w:szCs w:val="22"/>
        </w:rPr>
        <w:t>.</w:t>
      </w:r>
      <w:r w:rsidR="0039309A">
        <w:rPr>
          <w:rFonts w:ascii="Source Sans Pro" w:hAnsi="Source Sans Pro" w:cs="Source Sans Pro"/>
          <w:sz w:val="22"/>
          <w:szCs w:val="22"/>
        </w:rPr>
        <w:t xml:space="preserve"> </w:t>
      </w:r>
      <w:r w:rsidR="0039309A" w:rsidRPr="00D57A2F">
        <w:rPr>
          <w:rFonts w:ascii="Source Sans Pro" w:hAnsi="Source Sans Pro" w:cs="Source Sans Pro"/>
          <w:i/>
          <w:sz w:val="22"/>
          <w:szCs w:val="22"/>
        </w:rPr>
        <w:t xml:space="preserve">„Hinzu kommt, dass die Neubauaktivitäten aufgrund </w:t>
      </w:r>
      <w:r w:rsidR="00E52FC1">
        <w:rPr>
          <w:rFonts w:ascii="Source Sans Pro" w:hAnsi="Source Sans Pro" w:cs="Source Sans Pro"/>
          <w:i/>
          <w:sz w:val="22"/>
          <w:szCs w:val="22"/>
        </w:rPr>
        <w:t xml:space="preserve">des </w:t>
      </w:r>
      <w:r w:rsidR="0039309A" w:rsidRPr="00D57A2F">
        <w:rPr>
          <w:rFonts w:ascii="Source Sans Pro" w:hAnsi="Source Sans Pro" w:cs="Source Sans Pro"/>
          <w:i/>
          <w:sz w:val="22"/>
          <w:szCs w:val="22"/>
        </w:rPr>
        <w:t xml:space="preserve">herausfordernden Finanzierungsumfelds nachgelassen haben. </w:t>
      </w:r>
      <w:r w:rsidR="00D57A2F" w:rsidRPr="00D57A2F">
        <w:rPr>
          <w:rFonts w:ascii="Source Sans Pro" w:hAnsi="Source Sans Pro" w:cs="Source Sans Pro"/>
          <w:i/>
          <w:sz w:val="22"/>
          <w:szCs w:val="22"/>
        </w:rPr>
        <w:t xml:space="preserve">Insgesamt mangelt es </w:t>
      </w:r>
      <w:r w:rsidR="00E52FC1">
        <w:rPr>
          <w:rFonts w:ascii="Source Sans Pro" w:hAnsi="Source Sans Pro" w:cs="Source Sans Pro"/>
          <w:i/>
          <w:sz w:val="22"/>
          <w:szCs w:val="22"/>
        </w:rPr>
        <w:t>somit</w:t>
      </w:r>
      <w:r w:rsidR="00D57A2F" w:rsidRPr="00D57A2F">
        <w:rPr>
          <w:rFonts w:ascii="Source Sans Pro" w:hAnsi="Source Sans Pro" w:cs="Source Sans Pro"/>
          <w:i/>
          <w:sz w:val="22"/>
          <w:szCs w:val="22"/>
        </w:rPr>
        <w:t xml:space="preserve"> nach wie vor an </w:t>
      </w:r>
      <w:r w:rsidR="00380A1B">
        <w:rPr>
          <w:rFonts w:ascii="Source Sans Pro" w:hAnsi="Source Sans Pro" w:cs="Source Sans Pro"/>
          <w:i/>
          <w:sz w:val="22"/>
          <w:szCs w:val="22"/>
        </w:rPr>
        <w:t>geeigneten</w:t>
      </w:r>
      <w:r w:rsidR="00B301B5">
        <w:rPr>
          <w:rFonts w:ascii="Source Sans Pro" w:hAnsi="Source Sans Pro" w:cs="Source Sans Pro"/>
          <w:i/>
          <w:sz w:val="22"/>
          <w:szCs w:val="22"/>
        </w:rPr>
        <w:t>, attraktiven</w:t>
      </w:r>
      <w:r w:rsidR="00380A1B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E874DF">
        <w:rPr>
          <w:rFonts w:ascii="Source Sans Pro" w:hAnsi="Source Sans Pro" w:cs="Source Sans Pro"/>
          <w:i/>
          <w:sz w:val="22"/>
          <w:szCs w:val="22"/>
        </w:rPr>
        <w:t>Industrie- und Logistikf</w:t>
      </w:r>
      <w:r w:rsidR="00D57A2F" w:rsidRPr="00D57A2F">
        <w:rPr>
          <w:rFonts w:ascii="Source Sans Pro" w:hAnsi="Source Sans Pro" w:cs="Source Sans Pro"/>
          <w:i/>
          <w:sz w:val="22"/>
          <w:szCs w:val="22"/>
        </w:rPr>
        <w:t>lächen.“</w:t>
      </w:r>
    </w:p>
    <w:p w14:paraId="43A0E45B" w14:textId="77777777" w:rsidR="00800715" w:rsidRDefault="00800715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</w:p>
    <w:p w14:paraId="0423D186" w14:textId="0C753FE5" w:rsidR="00895E64" w:rsidRDefault="00227F3A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 w:rsidRPr="00227F3A">
        <w:rPr>
          <w:rFonts w:ascii="Source Sans Pro" w:hAnsi="Source Sans Pro" w:cs="Arial"/>
          <w:bCs/>
          <w:sz w:val="22"/>
          <w:szCs w:val="22"/>
        </w:rPr>
        <w:t xml:space="preserve">Die </w:t>
      </w:r>
      <w:r w:rsidR="00D5191D">
        <w:rPr>
          <w:rFonts w:ascii="Source Sans Pro" w:hAnsi="Source Sans Pro" w:cs="Arial"/>
          <w:bCs/>
          <w:sz w:val="22"/>
          <w:szCs w:val="22"/>
        </w:rPr>
        <w:t>Entwicklung</w:t>
      </w:r>
      <w:r w:rsidR="00D57A2F">
        <w:rPr>
          <w:rFonts w:ascii="Source Sans Pro" w:hAnsi="Source Sans Pro" w:cs="Arial"/>
          <w:bCs/>
          <w:sz w:val="22"/>
          <w:szCs w:val="22"/>
        </w:rPr>
        <w:t>en</w:t>
      </w:r>
      <w:r w:rsidR="00D5191D">
        <w:rPr>
          <w:rFonts w:ascii="Source Sans Pro" w:hAnsi="Source Sans Pro" w:cs="Arial"/>
          <w:bCs/>
          <w:sz w:val="22"/>
          <w:szCs w:val="22"/>
        </w:rPr>
        <w:t xml:space="preserve"> der</w:t>
      </w:r>
      <w:r w:rsidRPr="00227F3A">
        <w:rPr>
          <w:rFonts w:ascii="Source Sans Pro" w:hAnsi="Source Sans Pro" w:cs="Arial"/>
          <w:bCs/>
          <w:sz w:val="22"/>
          <w:szCs w:val="22"/>
        </w:rPr>
        <w:t xml:space="preserve"> Spitzenmieten, Grundstückspreise</w:t>
      </w:r>
      <w:r w:rsidR="00F922F2">
        <w:rPr>
          <w:rFonts w:ascii="Source Sans Pro" w:hAnsi="Source Sans Pro" w:cs="Arial"/>
          <w:bCs/>
          <w:sz w:val="22"/>
          <w:szCs w:val="22"/>
        </w:rPr>
        <w:t xml:space="preserve"> und Spitzenrenditen</w:t>
      </w:r>
      <w:r w:rsidRPr="00227F3A">
        <w:rPr>
          <w:rFonts w:ascii="Source Sans Pro" w:hAnsi="Source Sans Pro" w:cs="Arial"/>
          <w:bCs/>
          <w:sz w:val="22"/>
          <w:szCs w:val="22"/>
        </w:rPr>
        <w:t xml:space="preserve"> an den Top-7-Standorten in Deutschland haben die GPP-Unternehmen </w:t>
      </w:r>
      <w:proofErr w:type="spellStart"/>
      <w:r w:rsidRPr="00227F3A">
        <w:rPr>
          <w:rFonts w:ascii="Source Sans Pro" w:hAnsi="Source Sans Pro" w:cs="Arial"/>
          <w:bCs/>
          <w:sz w:val="22"/>
          <w:szCs w:val="22"/>
        </w:rPr>
        <w:t>Anteon</w:t>
      </w:r>
      <w:proofErr w:type="spellEnd"/>
      <w:r w:rsidRPr="00227F3A">
        <w:rPr>
          <w:rFonts w:ascii="Source Sans Pro" w:hAnsi="Source Sans Pro" w:cs="Arial"/>
          <w:bCs/>
          <w:sz w:val="22"/>
          <w:szCs w:val="22"/>
        </w:rPr>
        <w:t xml:space="preserve"> Immobilien, E &amp; G Real Estate, GREIF &amp; CONTZEN Immobilien und Grossmann &amp; Berger in einer Datenübersicht zusammengestellt.</w:t>
      </w:r>
    </w:p>
    <w:p w14:paraId="043E0DDC" w14:textId="77777777" w:rsidR="00227F3A" w:rsidRDefault="00227F3A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</w:p>
    <w:p w14:paraId="322FBB6A" w14:textId="1A57709A" w:rsidR="00277140" w:rsidRDefault="00E874DF" w:rsidP="006D668B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Mangel an Flächen befeuert Spitzen</w:t>
      </w:r>
      <w:r w:rsidR="00E52FC1">
        <w:rPr>
          <w:rFonts w:ascii="Source Sans Pro" w:hAnsi="Source Sans Pro" w:cs="Source Sans Pro"/>
          <w:caps/>
          <w:color w:val="0086A8"/>
          <w:sz w:val="22"/>
          <w:szCs w:val="22"/>
        </w:rPr>
        <w:t>mieten</w:t>
      </w:r>
    </w:p>
    <w:p w14:paraId="05BD9D06" w14:textId="6A39F49C" w:rsidR="00987C4D" w:rsidRPr="00D26112" w:rsidRDefault="006C519E" w:rsidP="00D26112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sz w:val="22"/>
        </w:rPr>
      </w:pPr>
      <w:r>
        <w:rPr>
          <w:rFonts w:ascii="Source Sans Pro" w:hAnsi="Source Sans Pro" w:cs="Arial"/>
          <w:sz w:val="22"/>
        </w:rPr>
        <w:t>Inf</w:t>
      </w:r>
      <w:r w:rsidR="00D54180" w:rsidRPr="00720770">
        <w:rPr>
          <w:rFonts w:ascii="Source Sans Pro" w:hAnsi="Source Sans Pro" w:cs="Arial"/>
          <w:sz w:val="22"/>
        </w:rPr>
        <w:t xml:space="preserve">olge </w:t>
      </w:r>
      <w:r w:rsidR="006D552B" w:rsidRPr="006D552B">
        <w:rPr>
          <w:rFonts w:ascii="Source Sans Pro" w:hAnsi="Source Sans Pro" w:cs="Arial"/>
          <w:sz w:val="22"/>
        </w:rPr>
        <w:t xml:space="preserve">der </w:t>
      </w:r>
      <w:r w:rsidR="003864E7">
        <w:rPr>
          <w:rFonts w:ascii="Source Sans Pro" w:hAnsi="Source Sans Pro" w:cs="Arial"/>
          <w:sz w:val="22"/>
        </w:rPr>
        <w:t xml:space="preserve">oft </w:t>
      </w:r>
      <w:r w:rsidR="006D552B" w:rsidRPr="006D552B">
        <w:rPr>
          <w:rFonts w:ascii="Source Sans Pro" w:hAnsi="Source Sans Pro" w:cs="Arial"/>
          <w:sz w:val="22"/>
        </w:rPr>
        <w:t>nicht zueinander passenden Angebots- und Nachfragelage</w:t>
      </w:r>
      <w:r w:rsidR="006D552B" w:rsidRPr="006D552B" w:rsidDel="006D552B">
        <w:rPr>
          <w:rFonts w:ascii="Source Sans Pro" w:hAnsi="Source Sans Pro" w:cs="Arial"/>
          <w:sz w:val="22"/>
        </w:rPr>
        <w:t xml:space="preserve"> </w:t>
      </w:r>
      <w:r w:rsidR="00720770">
        <w:rPr>
          <w:rFonts w:ascii="Source Sans Pro" w:hAnsi="Source Sans Pro" w:cs="Arial"/>
          <w:sz w:val="22"/>
        </w:rPr>
        <w:t>kletterten</w:t>
      </w:r>
      <w:r w:rsidR="00D54180" w:rsidRPr="00720770">
        <w:rPr>
          <w:rFonts w:ascii="Source Sans Pro" w:hAnsi="Source Sans Pro" w:cs="Arial"/>
          <w:sz w:val="22"/>
        </w:rPr>
        <w:t xml:space="preserve"> die Spitzenmieten in </w:t>
      </w:r>
      <w:r w:rsidR="00720770">
        <w:rPr>
          <w:rFonts w:ascii="Source Sans Pro" w:hAnsi="Source Sans Pro" w:cs="Arial"/>
          <w:sz w:val="22"/>
        </w:rPr>
        <w:t xml:space="preserve">den </w:t>
      </w:r>
      <w:r w:rsidR="00D54180" w:rsidRPr="00720770">
        <w:rPr>
          <w:rFonts w:ascii="Source Sans Pro" w:hAnsi="Source Sans Pro" w:cs="Arial"/>
          <w:sz w:val="22"/>
        </w:rPr>
        <w:t xml:space="preserve">Top-7-Logistikregionen </w:t>
      </w:r>
      <w:r w:rsidR="00720770" w:rsidRPr="00720770">
        <w:rPr>
          <w:rFonts w:ascii="Source Sans Pro" w:hAnsi="Source Sans Pro" w:cs="Arial"/>
          <w:sz w:val="22"/>
        </w:rPr>
        <w:t xml:space="preserve">weiter </w:t>
      </w:r>
      <w:r w:rsidR="00720770">
        <w:rPr>
          <w:rFonts w:ascii="Source Sans Pro" w:hAnsi="Source Sans Pro" w:cs="Arial"/>
          <w:sz w:val="22"/>
        </w:rPr>
        <w:t>in die Höhe – sowohl in den Stadtgebieten (+12 % auf 8,</w:t>
      </w:r>
      <w:r w:rsidR="000A786B">
        <w:rPr>
          <w:rFonts w:ascii="Source Sans Pro" w:hAnsi="Source Sans Pro" w:cs="Arial"/>
          <w:sz w:val="22"/>
        </w:rPr>
        <w:t xml:space="preserve">70 </w:t>
      </w:r>
      <w:r w:rsidR="00720770">
        <w:rPr>
          <w:rFonts w:ascii="Source Sans Pro" w:hAnsi="Source Sans Pro" w:cs="Arial"/>
          <w:sz w:val="22"/>
        </w:rPr>
        <w:t>€</w:t>
      </w:r>
      <w:r w:rsidR="00380A1B">
        <w:rPr>
          <w:rFonts w:ascii="Source Sans Pro" w:hAnsi="Source Sans Pro" w:cs="Arial"/>
          <w:sz w:val="22"/>
        </w:rPr>
        <w:t>/m²/Monat</w:t>
      </w:r>
      <w:r w:rsidR="00720770">
        <w:rPr>
          <w:rFonts w:ascii="Source Sans Pro" w:hAnsi="Source Sans Pro" w:cs="Arial"/>
          <w:sz w:val="22"/>
        </w:rPr>
        <w:t>) als auch</w:t>
      </w:r>
      <w:r w:rsidR="00F358AD">
        <w:rPr>
          <w:rFonts w:ascii="Source Sans Pro" w:hAnsi="Source Sans Pro" w:cs="Arial"/>
          <w:sz w:val="22"/>
        </w:rPr>
        <w:t xml:space="preserve"> im Umland </w:t>
      </w:r>
      <w:r w:rsidR="00720770">
        <w:rPr>
          <w:rFonts w:ascii="Source Sans Pro" w:hAnsi="Source Sans Pro" w:cs="Arial"/>
          <w:sz w:val="22"/>
        </w:rPr>
        <w:t>(+12 % auf 7,</w:t>
      </w:r>
      <w:r w:rsidR="000A786B">
        <w:rPr>
          <w:rFonts w:ascii="Source Sans Pro" w:hAnsi="Source Sans Pro" w:cs="Arial"/>
          <w:sz w:val="22"/>
        </w:rPr>
        <w:t xml:space="preserve">60 </w:t>
      </w:r>
      <w:r w:rsidR="00720770">
        <w:rPr>
          <w:rFonts w:ascii="Source Sans Pro" w:hAnsi="Source Sans Pro" w:cs="Arial"/>
          <w:sz w:val="22"/>
        </w:rPr>
        <w:t>€</w:t>
      </w:r>
      <w:r w:rsidR="006D552B">
        <w:rPr>
          <w:rFonts w:ascii="Source Sans Pro" w:hAnsi="Source Sans Pro" w:cs="Arial"/>
          <w:sz w:val="22"/>
        </w:rPr>
        <w:t>/m²/Monat</w:t>
      </w:r>
      <w:r w:rsidR="00720770">
        <w:rPr>
          <w:rFonts w:ascii="Source Sans Pro" w:hAnsi="Source Sans Pro" w:cs="Arial"/>
          <w:sz w:val="22"/>
        </w:rPr>
        <w:t xml:space="preserve">). Den höchsten Anstieg in den </w:t>
      </w:r>
      <w:r w:rsidR="00720770" w:rsidRPr="00720770">
        <w:rPr>
          <w:rFonts w:ascii="Source Sans Pro" w:hAnsi="Source Sans Pro" w:cs="Arial"/>
          <w:sz w:val="22"/>
          <w:u w:val="single"/>
        </w:rPr>
        <w:t>Stadtgebieten</w:t>
      </w:r>
      <w:r w:rsidR="00720770">
        <w:rPr>
          <w:rFonts w:ascii="Source Sans Pro" w:hAnsi="Source Sans Pro" w:cs="Arial"/>
          <w:sz w:val="22"/>
        </w:rPr>
        <w:t xml:space="preserve"> erfasste GPP in Stuttgart (</w:t>
      </w:r>
      <w:r w:rsidR="00F358AD">
        <w:rPr>
          <w:rFonts w:ascii="Source Sans Pro" w:hAnsi="Source Sans Pro" w:cs="Arial"/>
          <w:sz w:val="22"/>
        </w:rPr>
        <w:t xml:space="preserve">+21 % auf 8,50 </w:t>
      </w:r>
      <w:r w:rsidR="006D552B">
        <w:rPr>
          <w:rFonts w:ascii="Source Sans Pro" w:hAnsi="Source Sans Pro" w:cs="Arial"/>
          <w:sz w:val="22"/>
        </w:rPr>
        <w:t>€/m²/Monat</w:t>
      </w:r>
      <w:r w:rsidR="00720770">
        <w:rPr>
          <w:rFonts w:ascii="Source Sans Pro" w:hAnsi="Source Sans Pro" w:cs="Arial"/>
          <w:sz w:val="22"/>
        </w:rPr>
        <w:t xml:space="preserve">). Ein ähnlich hohes Plus zeigte sich in </w:t>
      </w:r>
      <w:r w:rsidR="00F358AD">
        <w:rPr>
          <w:rFonts w:ascii="Source Sans Pro" w:hAnsi="Source Sans Pro" w:cs="Arial"/>
          <w:sz w:val="22"/>
        </w:rPr>
        <w:t xml:space="preserve">Berlin (+16 % auf 9,40 </w:t>
      </w:r>
      <w:r w:rsidR="006D552B">
        <w:rPr>
          <w:rFonts w:ascii="Source Sans Pro" w:hAnsi="Source Sans Pro" w:cs="Arial"/>
          <w:sz w:val="22"/>
        </w:rPr>
        <w:t>€/m²/Monat</w:t>
      </w:r>
      <w:r w:rsidR="00F358AD">
        <w:rPr>
          <w:rFonts w:ascii="Source Sans Pro" w:hAnsi="Source Sans Pro" w:cs="Arial"/>
          <w:sz w:val="22"/>
        </w:rPr>
        <w:t xml:space="preserve">) und München (+14 % auf 9,80 </w:t>
      </w:r>
      <w:r w:rsidR="006D552B">
        <w:rPr>
          <w:rFonts w:ascii="Source Sans Pro" w:hAnsi="Source Sans Pro" w:cs="Arial"/>
          <w:sz w:val="22"/>
        </w:rPr>
        <w:t>€/m²/Monat</w:t>
      </w:r>
      <w:r w:rsidR="00F358AD">
        <w:rPr>
          <w:rFonts w:ascii="Source Sans Pro" w:hAnsi="Source Sans Pro" w:cs="Arial"/>
          <w:sz w:val="22"/>
        </w:rPr>
        <w:t xml:space="preserve">). In der bayerischen Landeshauptstadt wurde </w:t>
      </w:r>
      <w:r w:rsidR="005C1F78">
        <w:rPr>
          <w:rFonts w:ascii="Source Sans Pro" w:hAnsi="Source Sans Pro" w:cs="Arial"/>
          <w:sz w:val="22"/>
        </w:rPr>
        <w:t xml:space="preserve">damit </w:t>
      </w:r>
      <w:r w:rsidR="00380A1B">
        <w:rPr>
          <w:rFonts w:ascii="Source Sans Pro" w:hAnsi="Source Sans Pro" w:cs="Arial"/>
          <w:sz w:val="22"/>
        </w:rPr>
        <w:t xml:space="preserve">auch </w:t>
      </w:r>
      <w:r w:rsidR="00F358AD">
        <w:rPr>
          <w:rFonts w:ascii="Source Sans Pro" w:hAnsi="Source Sans Pro" w:cs="Arial"/>
          <w:sz w:val="22"/>
        </w:rPr>
        <w:t xml:space="preserve">die höchste </w:t>
      </w:r>
      <w:r w:rsidR="00380A1B">
        <w:rPr>
          <w:rFonts w:ascii="Source Sans Pro" w:hAnsi="Source Sans Pro" w:cs="Arial"/>
          <w:sz w:val="22"/>
        </w:rPr>
        <w:t>absolute Spitzenm</w:t>
      </w:r>
      <w:r w:rsidR="00F358AD">
        <w:rPr>
          <w:rFonts w:ascii="Source Sans Pro" w:hAnsi="Source Sans Pro" w:cs="Arial"/>
          <w:sz w:val="22"/>
        </w:rPr>
        <w:t>iete realisiert.</w:t>
      </w:r>
      <w:r w:rsidR="005C1F78">
        <w:rPr>
          <w:rFonts w:ascii="Source Sans Pro" w:hAnsi="Source Sans Pro" w:cs="Arial"/>
          <w:sz w:val="22"/>
        </w:rPr>
        <w:t xml:space="preserve"> </w:t>
      </w:r>
      <w:r w:rsidR="00F358AD">
        <w:rPr>
          <w:rFonts w:ascii="Source Sans Pro" w:hAnsi="Source Sans Pro" w:cs="Arial"/>
          <w:sz w:val="22"/>
        </w:rPr>
        <w:t xml:space="preserve">Auch in den </w:t>
      </w:r>
      <w:r w:rsidR="00F358AD" w:rsidRPr="00F358AD">
        <w:rPr>
          <w:rFonts w:ascii="Source Sans Pro" w:hAnsi="Source Sans Pro" w:cs="Arial"/>
          <w:sz w:val="22"/>
          <w:u w:val="single"/>
        </w:rPr>
        <w:t>Umlandgemeinden</w:t>
      </w:r>
      <w:r w:rsidR="00F358AD" w:rsidRPr="00F358AD">
        <w:rPr>
          <w:rFonts w:ascii="Source Sans Pro" w:hAnsi="Source Sans Pro" w:cs="Arial"/>
          <w:sz w:val="22"/>
        </w:rPr>
        <w:t xml:space="preserve"> </w:t>
      </w:r>
      <w:r w:rsidR="00F358AD">
        <w:rPr>
          <w:rFonts w:ascii="Source Sans Pro" w:hAnsi="Source Sans Pro" w:cs="Arial"/>
          <w:sz w:val="22"/>
        </w:rPr>
        <w:t xml:space="preserve">stiegen die Spitzenmieten in Stuttgart (+21 % auf 9,90 </w:t>
      </w:r>
      <w:r w:rsidR="006D552B">
        <w:rPr>
          <w:rFonts w:ascii="Source Sans Pro" w:hAnsi="Source Sans Pro" w:cs="Arial"/>
          <w:sz w:val="22"/>
        </w:rPr>
        <w:t>€/m²/Monat</w:t>
      </w:r>
      <w:r w:rsidR="00F358AD">
        <w:rPr>
          <w:rFonts w:ascii="Source Sans Pro" w:hAnsi="Source Sans Pro" w:cs="Arial"/>
          <w:sz w:val="22"/>
        </w:rPr>
        <w:t>) und Berlin (</w:t>
      </w:r>
      <w:r w:rsidR="00380A1B">
        <w:rPr>
          <w:rFonts w:ascii="Source Sans Pro" w:hAnsi="Source Sans Pro" w:cs="Arial"/>
          <w:sz w:val="22"/>
        </w:rPr>
        <w:t>+</w:t>
      </w:r>
      <w:r w:rsidR="00F358AD">
        <w:rPr>
          <w:rFonts w:ascii="Source Sans Pro" w:hAnsi="Source Sans Pro" w:cs="Arial"/>
          <w:sz w:val="22"/>
        </w:rPr>
        <w:t xml:space="preserve">19 % auf 7,40 </w:t>
      </w:r>
      <w:r w:rsidR="006D552B">
        <w:rPr>
          <w:rFonts w:ascii="Source Sans Pro" w:hAnsi="Source Sans Pro" w:cs="Arial"/>
          <w:sz w:val="22"/>
        </w:rPr>
        <w:t>€/m²/Monat</w:t>
      </w:r>
      <w:r w:rsidR="00F358AD">
        <w:rPr>
          <w:rFonts w:ascii="Source Sans Pro" w:hAnsi="Source Sans Pro" w:cs="Arial"/>
          <w:sz w:val="22"/>
        </w:rPr>
        <w:t xml:space="preserve">) am deutlichsten an. Die höchste </w:t>
      </w:r>
      <w:r w:rsidR="00380A1B">
        <w:rPr>
          <w:rFonts w:ascii="Source Sans Pro" w:hAnsi="Source Sans Pro" w:cs="Arial"/>
          <w:sz w:val="22"/>
        </w:rPr>
        <w:t>Spitzenm</w:t>
      </w:r>
      <w:r w:rsidR="00F358AD">
        <w:rPr>
          <w:rFonts w:ascii="Source Sans Pro" w:hAnsi="Source Sans Pro" w:cs="Arial"/>
          <w:sz w:val="22"/>
        </w:rPr>
        <w:t xml:space="preserve">iete außerhalb des Stadtgebiets </w:t>
      </w:r>
      <w:r w:rsidR="006D552B" w:rsidRPr="006D552B">
        <w:rPr>
          <w:rFonts w:ascii="Source Sans Pro" w:hAnsi="Source Sans Pro" w:cs="Arial"/>
          <w:sz w:val="22"/>
        </w:rPr>
        <w:t>ermittelte GPP für Stuttgart</w:t>
      </w:r>
      <w:r w:rsidR="00F358AD">
        <w:rPr>
          <w:rFonts w:ascii="Source Sans Pro" w:hAnsi="Source Sans Pro" w:cs="Arial"/>
          <w:sz w:val="22"/>
        </w:rPr>
        <w:t>.</w:t>
      </w:r>
    </w:p>
    <w:p w14:paraId="0831288D" w14:textId="01BE8F0B" w:rsidR="00277140" w:rsidRPr="004863E3" w:rsidRDefault="00277140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</w:p>
    <w:p w14:paraId="6051B24B" w14:textId="30F42E1F" w:rsidR="00987C4D" w:rsidRPr="006C519E" w:rsidRDefault="00E874DF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Stagnierende bis sinkende</w:t>
      </w:r>
      <w:r w:rsidR="00987C4D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  <w:r w:rsidR="0011460A" w:rsidRPr="00BC5B4E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GRUNDSTÜCKSPREISE </w:t>
      </w:r>
    </w:p>
    <w:p w14:paraId="763EF093" w14:textId="5BC3F41E" w:rsidR="00987C4D" w:rsidRPr="00071BC0" w:rsidRDefault="006C519E" w:rsidP="00071BC0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sz w:val="22"/>
        </w:rPr>
      </w:pPr>
      <w:r>
        <w:rPr>
          <w:rFonts w:ascii="Source Sans Pro" w:hAnsi="Source Sans Pro" w:cs="Arial"/>
          <w:sz w:val="22"/>
        </w:rPr>
        <w:t>Die Preise für Gewerbebauland zeigten</w:t>
      </w:r>
      <w:r w:rsidR="004E670E">
        <w:rPr>
          <w:rFonts w:ascii="Source Sans Pro" w:hAnsi="Source Sans Pro" w:cs="Arial"/>
          <w:sz w:val="22"/>
        </w:rPr>
        <w:t xml:space="preserve"> 2023</w:t>
      </w:r>
      <w:r w:rsidR="003E730F">
        <w:rPr>
          <w:rFonts w:ascii="Source Sans Pro" w:hAnsi="Source Sans Pro" w:cs="Arial"/>
          <w:sz w:val="22"/>
        </w:rPr>
        <w:t xml:space="preserve"> aufgrund der rückläufigen Grundstücksnachfrage </w:t>
      </w:r>
      <w:r w:rsidR="00E52FC1">
        <w:rPr>
          <w:rFonts w:ascii="Source Sans Pro" w:hAnsi="Source Sans Pro" w:cs="Arial"/>
          <w:sz w:val="22"/>
        </w:rPr>
        <w:t xml:space="preserve">an einigen Top-7-Standorten </w:t>
      </w:r>
      <w:r>
        <w:rPr>
          <w:rFonts w:ascii="Source Sans Pro" w:hAnsi="Source Sans Pro" w:cs="Arial"/>
          <w:sz w:val="22"/>
        </w:rPr>
        <w:t>stagnierende bis fallende Tendenzen.</w:t>
      </w:r>
      <w:r w:rsidR="003E730F">
        <w:rPr>
          <w:rFonts w:ascii="Source Sans Pro" w:hAnsi="Source Sans Pro" w:cs="Arial"/>
          <w:sz w:val="22"/>
        </w:rPr>
        <w:t xml:space="preserve"> </w:t>
      </w:r>
      <w:r w:rsidR="005529DE">
        <w:rPr>
          <w:rFonts w:ascii="Source Sans Pro" w:hAnsi="Source Sans Pro" w:cs="Arial"/>
          <w:sz w:val="22"/>
        </w:rPr>
        <w:t xml:space="preserve">In Berlin erfasste GPP ein Minus von bis </w:t>
      </w:r>
      <w:r w:rsidR="00127F1C">
        <w:rPr>
          <w:rFonts w:ascii="Source Sans Pro" w:hAnsi="Source Sans Pro" w:cs="Arial"/>
          <w:sz w:val="22"/>
        </w:rPr>
        <w:t xml:space="preserve">zu </w:t>
      </w:r>
      <w:r w:rsidR="005529DE">
        <w:rPr>
          <w:rFonts w:ascii="Source Sans Pro" w:hAnsi="Source Sans Pro" w:cs="Arial"/>
          <w:sz w:val="22"/>
        </w:rPr>
        <w:t>14</w:t>
      </w:r>
      <w:r w:rsidR="00BF17BE">
        <w:rPr>
          <w:rFonts w:ascii="Source Sans Pro" w:hAnsi="Source Sans Pro" w:cs="Arial"/>
          <w:sz w:val="22"/>
        </w:rPr>
        <w:t xml:space="preserve"> %</w:t>
      </w:r>
      <w:r w:rsidR="005529DE">
        <w:rPr>
          <w:rFonts w:ascii="Source Sans Pro" w:hAnsi="Source Sans Pro" w:cs="Arial"/>
          <w:sz w:val="22"/>
        </w:rPr>
        <w:t xml:space="preserve"> im Stadtgebiet und </w:t>
      </w:r>
      <w:r w:rsidR="000A786B">
        <w:rPr>
          <w:rFonts w:ascii="Source Sans Pro" w:hAnsi="Source Sans Pro" w:cs="Arial"/>
          <w:sz w:val="22"/>
        </w:rPr>
        <w:t>von</w:t>
      </w:r>
      <w:r w:rsidR="005529DE">
        <w:rPr>
          <w:rFonts w:ascii="Source Sans Pro" w:hAnsi="Source Sans Pro" w:cs="Arial"/>
          <w:sz w:val="22"/>
        </w:rPr>
        <w:t xml:space="preserve"> bis </w:t>
      </w:r>
      <w:r w:rsidR="00127F1C">
        <w:rPr>
          <w:rFonts w:ascii="Source Sans Pro" w:hAnsi="Source Sans Pro" w:cs="Arial"/>
          <w:sz w:val="22"/>
        </w:rPr>
        <w:t xml:space="preserve">zu </w:t>
      </w:r>
      <w:r w:rsidR="005529DE">
        <w:rPr>
          <w:rFonts w:ascii="Source Sans Pro" w:hAnsi="Source Sans Pro" w:cs="Arial"/>
          <w:sz w:val="22"/>
        </w:rPr>
        <w:t>16 % im Umland und im Großraum.</w:t>
      </w:r>
      <w:r w:rsidR="00E52FC1">
        <w:rPr>
          <w:rFonts w:ascii="Source Sans Pro" w:hAnsi="Source Sans Pro" w:cs="Arial"/>
          <w:sz w:val="22"/>
        </w:rPr>
        <w:t xml:space="preserve"> </w:t>
      </w:r>
      <w:r w:rsidR="00071BC0">
        <w:rPr>
          <w:rFonts w:ascii="Source Sans Pro" w:hAnsi="Source Sans Pro" w:cs="Arial"/>
          <w:sz w:val="22"/>
        </w:rPr>
        <w:t xml:space="preserve">Eine Ausnahme </w:t>
      </w:r>
      <w:r w:rsidR="00E9220E">
        <w:rPr>
          <w:rFonts w:ascii="Source Sans Pro" w:hAnsi="Source Sans Pro" w:cs="Arial"/>
          <w:sz w:val="22"/>
        </w:rPr>
        <w:t xml:space="preserve">war </w:t>
      </w:r>
      <w:r w:rsidR="00071BC0">
        <w:rPr>
          <w:rFonts w:ascii="Source Sans Pro" w:hAnsi="Source Sans Pro" w:cs="Arial"/>
          <w:sz w:val="22"/>
        </w:rPr>
        <w:t xml:space="preserve">die Logistikregion Stuttgart. Industrielle Transformationsprozesse, vor allem in der </w:t>
      </w:r>
      <w:proofErr w:type="gramStart"/>
      <w:r w:rsidR="00071BC0">
        <w:rPr>
          <w:rFonts w:ascii="Source Sans Pro" w:hAnsi="Source Sans Pro" w:cs="Arial"/>
          <w:sz w:val="22"/>
        </w:rPr>
        <w:t>Automobil</w:t>
      </w:r>
      <w:r w:rsidR="00941775">
        <w:rPr>
          <w:rFonts w:ascii="Source Sans Pro" w:hAnsi="Source Sans Pro" w:cs="Arial"/>
          <w:sz w:val="22"/>
        </w:rPr>
        <w:t>-</w:t>
      </w:r>
      <w:r w:rsidR="00071BC0">
        <w:rPr>
          <w:rFonts w:ascii="Source Sans Pro" w:hAnsi="Source Sans Pro" w:cs="Arial"/>
          <w:sz w:val="22"/>
        </w:rPr>
        <w:lastRenderedPageBreak/>
        <w:t>industrie</w:t>
      </w:r>
      <w:proofErr w:type="gramEnd"/>
      <w:r w:rsidR="00071BC0">
        <w:rPr>
          <w:rFonts w:ascii="Source Sans Pro" w:hAnsi="Source Sans Pro" w:cs="Arial"/>
          <w:sz w:val="22"/>
        </w:rPr>
        <w:t>, sorgten dort für</w:t>
      </w:r>
      <w:r w:rsidR="00E52FC1">
        <w:rPr>
          <w:rFonts w:ascii="Source Sans Pro" w:hAnsi="Source Sans Pro" w:cs="Arial"/>
          <w:sz w:val="22"/>
        </w:rPr>
        <w:t xml:space="preserve"> einen</w:t>
      </w:r>
      <w:r w:rsidR="00071BC0">
        <w:rPr>
          <w:rFonts w:ascii="Source Sans Pro" w:hAnsi="Source Sans Pro" w:cs="Arial"/>
          <w:sz w:val="22"/>
        </w:rPr>
        <w:t xml:space="preserve"> hohe</w:t>
      </w:r>
      <w:r w:rsidR="00E52FC1">
        <w:rPr>
          <w:rFonts w:ascii="Source Sans Pro" w:hAnsi="Source Sans Pro" w:cs="Arial"/>
          <w:sz w:val="22"/>
        </w:rPr>
        <w:t>n</w:t>
      </w:r>
      <w:r w:rsidR="00071BC0">
        <w:rPr>
          <w:rFonts w:ascii="Source Sans Pro" w:hAnsi="Source Sans Pro" w:cs="Arial"/>
          <w:sz w:val="22"/>
        </w:rPr>
        <w:t xml:space="preserve"> Grundst</w:t>
      </w:r>
      <w:r w:rsidR="00E52FC1">
        <w:rPr>
          <w:rFonts w:ascii="Source Sans Pro" w:hAnsi="Source Sans Pro" w:cs="Arial"/>
          <w:sz w:val="22"/>
        </w:rPr>
        <w:t>ücksbedarf</w:t>
      </w:r>
      <w:r w:rsidR="00071BC0">
        <w:rPr>
          <w:rFonts w:ascii="Source Sans Pro" w:hAnsi="Source Sans Pro" w:cs="Arial"/>
          <w:sz w:val="22"/>
        </w:rPr>
        <w:t xml:space="preserve"> – und einen Preisanstieg von 25 bis 50 % im Umland und im Großraum.</w:t>
      </w:r>
    </w:p>
    <w:p w14:paraId="6F65F8F9" w14:textId="77777777" w:rsidR="0011460A" w:rsidRDefault="0011460A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17748CD7" w14:textId="5ED15DB0" w:rsidR="00F922F2" w:rsidRDefault="00E874D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steigende Renditen durch rückläufiges Transaktionsgeschehen</w:t>
      </w:r>
    </w:p>
    <w:p w14:paraId="1B67B414" w14:textId="5D7162BB" w:rsidR="007F154C" w:rsidRDefault="00E56BAE" w:rsidP="003E3204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iCs/>
          <w:sz w:val="22"/>
        </w:rPr>
      </w:pPr>
      <w:r w:rsidRPr="00327E60">
        <w:rPr>
          <w:rFonts w:ascii="Source Sans Pro" w:hAnsi="Source Sans Pro" w:cs="Arial"/>
          <w:sz w:val="22"/>
        </w:rPr>
        <w:t xml:space="preserve">Das Investmentangebot </w:t>
      </w:r>
      <w:r w:rsidRPr="00327E60">
        <w:rPr>
          <w:rFonts w:ascii="Source Sans Pro" w:hAnsi="Source Sans Pro" w:cs="Arial"/>
          <w:iCs/>
          <w:sz w:val="22"/>
        </w:rPr>
        <w:t xml:space="preserve">auf den Top-7-Märkten für Industrie- und Logistikimmobilien hat 2023 insgesamt </w:t>
      </w:r>
      <w:r w:rsidR="00E52FC1" w:rsidRPr="00327E60">
        <w:rPr>
          <w:rFonts w:ascii="Source Sans Pro" w:hAnsi="Source Sans Pro" w:cs="Arial"/>
          <w:iCs/>
          <w:sz w:val="22"/>
        </w:rPr>
        <w:t xml:space="preserve">abgenommen, </w:t>
      </w:r>
      <w:r w:rsidRPr="00327E60">
        <w:rPr>
          <w:rFonts w:ascii="Source Sans Pro" w:hAnsi="Source Sans Pro" w:cs="Arial"/>
          <w:iCs/>
          <w:sz w:val="22"/>
        </w:rPr>
        <w:t>die Transaktionen sind im Vorjahresvergleich zurückgegangen</w:t>
      </w:r>
      <w:r w:rsidR="00127F1C">
        <w:rPr>
          <w:rFonts w:ascii="Source Sans Pro" w:hAnsi="Source Sans Pro" w:cs="Arial"/>
          <w:iCs/>
          <w:sz w:val="22"/>
        </w:rPr>
        <w:t xml:space="preserve">. </w:t>
      </w:r>
      <w:r w:rsidRPr="00327E60">
        <w:rPr>
          <w:rFonts w:ascii="Source Sans Pro" w:hAnsi="Source Sans Pro" w:cs="Arial"/>
          <w:iCs/>
          <w:sz w:val="22"/>
        </w:rPr>
        <w:t xml:space="preserve">Der Preisfindungsprozess und die allgemeine Zurückhaltung der Investoren setzen sich </w:t>
      </w:r>
      <w:r w:rsidR="00E277BD">
        <w:rPr>
          <w:rFonts w:ascii="Source Sans Pro" w:hAnsi="Source Sans Pro" w:cs="Arial"/>
          <w:iCs/>
          <w:sz w:val="22"/>
        </w:rPr>
        <w:t xml:space="preserve">vorerst noch </w:t>
      </w:r>
      <w:r w:rsidRPr="00327E60">
        <w:rPr>
          <w:rFonts w:ascii="Source Sans Pro" w:hAnsi="Source Sans Pro" w:cs="Arial"/>
          <w:iCs/>
          <w:sz w:val="22"/>
        </w:rPr>
        <w:t>fort.</w:t>
      </w:r>
      <w:r w:rsidR="00ED75F9">
        <w:rPr>
          <w:rFonts w:ascii="Source Sans Pro" w:hAnsi="Source Sans Pro" w:cs="Arial"/>
          <w:iCs/>
          <w:sz w:val="22"/>
        </w:rPr>
        <w:t xml:space="preserve"> Dies konnte auch die gewisse Marktbelebung der letzten Monate nicht kompensieren.</w:t>
      </w:r>
      <w:r>
        <w:rPr>
          <w:rFonts w:ascii="Source Sans Pro" w:hAnsi="Source Sans Pro" w:cs="Arial"/>
          <w:i/>
          <w:iCs/>
          <w:sz w:val="22"/>
        </w:rPr>
        <w:t xml:space="preserve"> </w:t>
      </w:r>
      <w:r>
        <w:rPr>
          <w:rFonts w:ascii="Source Sans Pro" w:hAnsi="Source Sans Pro" w:cs="Arial"/>
          <w:iCs/>
          <w:sz w:val="22"/>
        </w:rPr>
        <w:t>Resultierend aus</w:t>
      </w:r>
      <w:r w:rsidR="006D552B" w:rsidRPr="006D552B">
        <w:rPr>
          <w:rFonts w:ascii="Source Sans Pro" w:hAnsi="Source Sans Pro" w:cs="Arial"/>
          <w:iCs/>
          <w:sz w:val="22"/>
        </w:rPr>
        <w:t xml:space="preserve"> der </w:t>
      </w:r>
      <w:r w:rsidR="000A786B">
        <w:rPr>
          <w:rFonts w:ascii="Source Sans Pro" w:hAnsi="Source Sans Pro" w:cs="Arial"/>
          <w:iCs/>
          <w:sz w:val="22"/>
        </w:rPr>
        <w:t>niedrigen</w:t>
      </w:r>
      <w:r w:rsidR="000A786B" w:rsidRPr="006D552B">
        <w:rPr>
          <w:rFonts w:ascii="Source Sans Pro" w:hAnsi="Source Sans Pro" w:cs="Arial"/>
          <w:iCs/>
          <w:sz w:val="22"/>
        </w:rPr>
        <w:t xml:space="preserve"> </w:t>
      </w:r>
      <w:r w:rsidR="006D552B" w:rsidRPr="006D552B">
        <w:rPr>
          <w:rFonts w:ascii="Source Sans Pro" w:hAnsi="Source Sans Pro" w:cs="Arial"/>
          <w:iCs/>
          <w:sz w:val="22"/>
        </w:rPr>
        <w:t>Transaktionsdynamik</w:t>
      </w:r>
      <w:r w:rsidR="006D552B" w:rsidRPr="006D552B" w:rsidDel="006D552B">
        <w:rPr>
          <w:rFonts w:ascii="Source Sans Pro" w:hAnsi="Source Sans Pro" w:cs="Arial"/>
          <w:iCs/>
          <w:sz w:val="22"/>
        </w:rPr>
        <w:t xml:space="preserve"> </w:t>
      </w:r>
      <w:r w:rsidR="00B301B5">
        <w:rPr>
          <w:rFonts w:ascii="Source Sans Pro" w:hAnsi="Source Sans Pro" w:cs="Arial"/>
          <w:iCs/>
          <w:sz w:val="22"/>
        </w:rPr>
        <w:t>und steigende</w:t>
      </w:r>
      <w:r w:rsidR="00151919">
        <w:rPr>
          <w:rFonts w:ascii="Source Sans Pro" w:hAnsi="Source Sans Pro" w:cs="Arial"/>
          <w:iCs/>
          <w:sz w:val="22"/>
        </w:rPr>
        <w:t>n</w:t>
      </w:r>
      <w:r w:rsidR="00B301B5">
        <w:rPr>
          <w:rFonts w:ascii="Source Sans Pro" w:hAnsi="Source Sans Pro" w:cs="Arial"/>
          <w:iCs/>
          <w:sz w:val="22"/>
        </w:rPr>
        <w:t xml:space="preserve"> Zinsen </w:t>
      </w:r>
      <w:r>
        <w:rPr>
          <w:rFonts w:ascii="Source Sans Pro" w:hAnsi="Source Sans Pro" w:cs="Arial"/>
          <w:iCs/>
          <w:sz w:val="22"/>
        </w:rPr>
        <w:t xml:space="preserve">stiegen die Spitzenrenditen im Jahresverlauf weiter an. </w:t>
      </w:r>
      <w:r w:rsidR="007F154C">
        <w:rPr>
          <w:rFonts w:ascii="Source Sans Pro" w:hAnsi="Source Sans Pro" w:cs="Arial"/>
          <w:iCs/>
          <w:sz w:val="22"/>
        </w:rPr>
        <w:t>D</w:t>
      </w:r>
      <w:r w:rsidR="007F154C" w:rsidRPr="007F154C">
        <w:rPr>
          <w:rFonts w:ascii="Source Sans Pro" w:hAnsi="Source Sans Pro" w:cs="Arial"/>
          <w:iCs/>
          <w:sz w:val="22"/>
        </w:rPr>
        <w:t xml:space="preserve">ie Spanne zwischen </w:t>
      </w:r>
      <w:r w:rsidR="007F154C">
        <w:rPr>
          <w:rFonts w:ascii="Source Sans Pro" w:hAnsi="Source Sans Pro" w:cs="Arial"/>
          <w:iCs/>
          <w:sz w:val="22"/>
        </w:rPr>
        <w:t>den Top-7-</w:t>
      </w:r>
      <w:r w:rsidR="007F154C" w:rsidRPr="007F154C">
        <w:rPr>
          <w:rFonts w:ascii="Source Sans Pro" w:hAnsi="Source Sans Pro" w:cs="Arial"/>
          <w:iCs/>
          <w:sz w:val="22"/>
        </w:rPr>
        <w:t xml:space="preserve">Märkten </w:t>
      </w:r>
      <w:r w:rsidR="000A786B">
        <w:rPr>
          <w:rFonts w:ascii="Source Sans Pro" w:hAnsi="Source Sans Pro" w:cs="Arial"/>
          <w:iCs/>
          <w:sz w:val="22"/>
        </w:rPr>
        <w:t>wurde enger</w:t>
      </w:r>
      <w:r w:rsidR="006D552B">
        <w:rPr>
          <w:rFonts w:ascii="Source Sans Pro" w:hAnsi="Source Sans Pro" w:cs="Arial"/>
          <w:iCs/>
          <w:sz w:val="22"/>
        </w:rPr>
        <w:t xml:space="preserve"> </w:t>
      </w:r>
      <w:r w:rsidR="006D552B" w:rsidRPr="006D552B">
        <w:rPr>
          <w:rFonts w:ascii="Source Sans Pro" w:hAnsi="Source Sans Pro" w:cs="Arial"/>
          <w:iCs/>
          <w:sz w:val="22"/>
        </w:rPr>
        <w:t>und bewegte sich</w:t>
      </w:r>
      <w:r w:rsidR="000A786B">
        <w:rPr>
          <w:rFonts w:ascii="Source Sans Pro" w:hAnsi="Source Sans Pro" w:cs="Arial"/>
          <w:iCs/>
          <w:sz w:val="22"/>
        </w:rPr>
        <w:t xml:space="preserve"> im 4. Quartal</w:t>
      </w:r>
      <w:r w:rsidR="006D552B" w:rsidRPr="006D552B">
        <w:rPr>
          <w:rFonts w:ascii="Source Sans Pro" w:hAnsi="Source Sans Pro" w:cs="Arial"/>
          <w:iCs/>
          <w:sz w:val="22"/>
        </w:rPr>
        <w:t xml:space="preserve"> lediglich zwischen 4,4 % und 4,5 %.</w:t>
      </w:r>
      <w:r w:rsidR="006D552B">
        <w:rPr>
          <w:rFonts w:ascii="Source Sans Pro" w:hAnsi="Source Sans Pro" w:cs="Arial"/>
          <w:iCs/>
          <w:sz w:val="22"/>
        </w:rPr>
        <w:t xml:space="preserve"> </w:t>
      </w:r>
      <w:r w:rsidR="007F154C" w:rsidRPr="007F154C">
        <w:rPr>
          <w:rFonts w:ascii="Source Sans Pro" w:hAnsi="Source Sans Pro" w:cs="Arial"/>
          <w:iCs/>
          <w:sz w:val="22"/>
        </w:rPr>
        <w:t>Der Top-7-Mittelwert belief sich auf 4,43 %.</w:t>
      </w:r>
      <w:r w:rsidR="007F154C">
        <w:rPr>
          <w:rFonts w:ascii="Source Sans Pro" w:hAnsi="Source Sans Pro" w:cs="Arial"/>
          <w:iCs/>
          <w:sz w:val="22"/>
        </w:rPr>
        <w:t xml:space="preserve"> Am deutlichsten kletterten die Spitzenrenditen in München und Berlin in die Höhe (jeweils +0,90 %-Punkte auf 4,40 %).</w:t>
      </w:r>
    </w:p>
    <w:p w14:paraId="3112D9C9" w14:textId="77777777" w:rsidR="007F154C" w:rsidRDefault="007F154C" w:rsidP="003E3204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iCs/>
          <w:sz w:val="22"/>
        </w:rPr>
      </w:pPr>
    </w:p>
    <w:p w14:paraId="4E2564B1" w14:textId="153ED87E" w:rsidR="00157320" w:rsidRDefault="0088580A" w:rsidP="003E3204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iCs/>
          <w:sz w:val="22"/>
        </w:rPr>
      </w:pPr>
      <w:r>
        <w:rPr>
          <w:rFonts w:ascii="Source Sans Pro" w:hAnsi="Source Sans Pro" w:cs="Arial"/>
          <w:iCs/>
          <w:sz w:val="22"/>
        </w:rPr>
        <w:t>Im Schnitt</w:t>
      </w:r>
      <w:r w:rsidRPr="00E56BAE">
        <w:rPr>
          <w:rFonts w:ascii="Source Sans Pro" w:hAnsi="Source Sans Pro" w:cs="Arial"/>
          <w:iCs/>
          <w:sz w:val="22"/>
        </w:rPr>
        <w:t xml:space="preserve"> </w:t>
      </w:r>
      <w:r w:rsidR="009F3A99" w:rsidRPr="00F8679F">
        <w:rPr>
          <w:rFonts w:ascii="Source Sans Pro" w:hAnsi="Source Sans Pro" w:cs="Arial"/>
          <w:iCs/>
          <w:sz w:val="22"/>
        </w:rPr>
        <w:t>stieg</w:t>
      </w:r>
      <w:r w:rsidR="007F154C" w:rsidRPr="00F8679F">
        <w:rPr>
          <w:rFonts w:ascii="Source Sans Pro" w:hAnsi="Source Sans Pro" w:cs="Arial"/>
          <w:iCs/>
          <w:sz w:val="22"/>
        </w:rPr>
        <w:t xml:space="preserve"> die Spitzenrendite für </w:t>
      </w:r>
      <w:r w:rsidR="00D70C68">
        <w:rPr>
          <w:rFonts w:ascii="Source Sans Pro" w:hAnsi="Source Sans Pro" w:cs="Arial"/>
          <w:iCs/>
          <w:sz w:val="22"/>
        </w:rPr>
        <w:t>Top-7-</w:t>
      </w:r>
      <w:r w:rsidR="007F154C" w:rsidRPr="00F8679F">
        <w:rPr>
          <w:rFonts w:ascii="Source Sans Pro" w:hAnsi="Source Sans Pro" w:cs="Arial"/>
          <w:iCs/>
          <w:sz w:val="22"/>
        </w:rPr>
        <w:t xml:space="preserve">Logistikimmobilien </w:t>
      </w:r>
      <w:r w:rsidR="004F392F" w:rsidRPr="00F8679F">
        <w:rPr>
          <w:rFonts w:ascii="Source Sans Pro" w:hAnsi="Source Sans Pro" w:cs="Arial"/>
          <w:iCs/>
          <w:sz w:val="22"/>
        </w:rPr>
        <w:t xml:space="preserve">im Vorjahresvergleich </w:t>
      </w:r>
      <w:r w:rsidR="009F3A99" w:rsidRPr="00F8679F">
        <w:rPr>
          <w:rFonts w:ascii="Source Sans Pro" w:hAnsi="Source Sans Pro" w:cs="Arial"/>
          <w:iCs/>
          <w:sz w:val="22"/>
        </w:rPr>
        <w:t xml:space="preserve">um </w:t>
      </w:r>
      <w:r w:rsidR="007F154C" w:rsidRPr="00F8679F">
        <w:rPr>
          <w:rFonts w:ascii="Source Sans Pro" w:hAnsi="Source Sans Pro" w:cs="Arial"/>
          <w:iCs/>
          <w:sz w:val="22"/>
        </w:rPr>
        <w:t xml:space="preserve">rund 0,60 %-Punkte </w:t>
      </w:r>
      <w:r w:rsidR="009F3A99" w:rsidRPr="00F8679F">
        <w:rPr>
          <w:rFonts w:ascii="Source Sans Pro" w:hAnsi="Source Sans Pro" w:cs="Arial"/>
          <w:iCs/>
          <w:sz w:val="22"/>
        </w:rPr>
        <w:t>an</w:t>
      </w:r>
      <w:r w:rsidR="007F154C" w:rsidRPr="00F8679F">
        <w:rPr>
          <w:rFonts w:ascii="Source Sans Pro" w:hAnsi="Source Sans Pro" w:cs="Arial"/>
          <w:iCs/>
          <w:sz w:val="22"/>
        </w:rPr>
        <w:t xml:space="preserve">. </w:t>
      </w:r>
      <w:r w:rsidR="00F8679F" w:rsidRPr="00F8679F">
        <w:rPr>
          <w:rFonts w:ascii="Source Sans Pro" w:hAnsi="Source Sans Pro" w:cs="Arial"/>
          <w:iCs/>
          <w:sz w:val="22"/>
        </w:rPr>
        <w:t>Bei</w:t>
      </w:r>
      <w:r w:rsidR="007F154C" w:rsidRPr="00F8679F">
        <w:rPr>
          <w:rFonts w:ascii="Source Sans Pro" w:hAnsi="Source Sans Pro" w:cs="Arial"/>
          <w:iCs/>
          <w:sz w:val="22"/>
        </w:rPr>
        <w:t xml:space="preserve"> </w:t>
      </w:r>
      <w:r w:rsidR="00D70C68">
        <w:rPr>
          <w:rFonts w:ascii="Source Sans Pro" w:hAnsi="Source Sans Pro" w:cs="Arial"/>
          <w:iCs/>
          <w:sz w:val="22"/>
        </w:rPr>
        <w:t>Top-7-</w:t>
      </w:r>
      <w:r w:rsidR="007F154C" w:rsidRPr="00F8679F">
        <w:rPr>
          <w:rFonts w:ascii="Source Sans Pro" w:hAnsi="Source Sans Pro" w:cs="Arial"/>
          <w:iCs/>
          <w:sz w:val="22"/>
        </w:rPr>
        <w:t>Büroobjekten</w:t>
      </w:r>
      <w:r w:rsidR="00F8679F" w:rsidRPr="00F8679F">
        <w:rPr>
          <w:rFonts w:ascii="Source Sans Pro" w:hAnsi="Source Sans Pro" w:cs="Arial"/>
          <w:iCs/>
          <w:sz w:val="22"/>
        </w:rPr>
        <w:t xml:space="preserve"> war dieses Plus </w:t>
      </w:r>
      <w:r w:rsidR="003864E7">
        <w:rPr>
          <w:rFonts w:ascii="Source Sans Pro" w:hAnsi="Source Sans Pro" w:cs="Arial"/>
          <w:iCs/>
          <w:sz w:val="22"/>
        </w:rPr>
        <w:t xml:space="preserve">noch </w:t>
      </w:r>
      <w:r w:rsidR="00921508">
        <w:rPr>
          <w:rFonts w:ascii="Source Sans Pro" w:hAnsi="Source Sans Pro" w:cs="Arial"/>
          <w:iCs/>
          <w:sz w:val="22"/>
        </w:rPr>
        <w:t>deutlich höher</w:t>
      </w:r>
      <w:r w:rsidR="007F154C" w:rsidRPr="00F8679F">
        <w:rPr>
          <w:rFonts w:ascii="Source Sans Pro" w:hAnsi="Source Sans Pro" w:cs="Arial"/>
          <w:iCs/>
          <w:sz w:val="22"/>
        </w:rPr>
        <w:t>.</w:t>
      </w:r>
      <w:r w:rsidR="007F154C" w:rsidRPr="00F8679F">
        <w:t xml:space="preserve"> </w:t>
      </w:r>
      <w:r w:rsidR="006D552B" w:rsidRPr="00327E60">
        <w:rPr>
          <w:i/>
        </w:rPr>
        <w:t>„</w:t>
      </w:r>
      <w:r w:rsidR="00F8679F" w:rsidRPr="00327E60">
        <w:rPr>
          <w:rFonts w:ascii="Source Sans Pro" w:hAnsi="Source Sans Pro" w:cs="Arial"/>
          <w:i/>
          <w:iCs/>
          <w:sz w:val="22"/>
        </w:rPr>
        <w:t xml:space="preserve">Demnach waren Logistikimmobilien </w:t>
      </w:r>
      <w:r w:rsidR="007F154C" w:rsidRPr="00327E60">
        <w:rPr>
          <w:rFonts w:ascii="Source Sans Pro" w:hAnsi="Source Sans Pro" w:cs="Arial"/>
          <w:i/>
          <w:iCs/>
          <w:sz w:val="22"/>
        </w:rPr>
        <w:t xml:space="preserve">auf dem Investmentmarkt </w:t>
      </w:r>
      <w:r w:rsidR="00F8679F" w:rsidRPr="00327E60">
        <w:rPr>
          <w:rFonts w:ascii="Source Sans Pro" w:hAnsi="Source Sans Pro" w:cs="Arial"/>
          <w:i/>
          <w:iCs/>
          <w:sz w:val="22"/>
        </w:rPr>
        <w:t xml:space="preserve">bislang </w:t>
      </w:r>
      <w:r w:rsidR="004F392F" w:rsidRPr="00327E60">
        <w:rPr>
          <w:rFonts w:ascii="Source Sans Pro" w:hAnsi="Source Sans Pro" w:cs="Arial"/>
          <w:i/>
          <w:iCs/>
          <w:sz w:val="22"/>
        </w:rPr>
        <w:t xml:space="preserve">weniger stark </w:t>
      </w:r>
      <w:r w:rsidR="007F154C" w:rsidRPr="00327E60">
        <w:rPr>
          <w:rFonts w:ascii="Source Sans Pro" w:hAnsi="Source Sans Pro" w:cs="Arial"/>
          <w:i/>
          <w:iCs/>
          <w:sz w:val="22"/>
        </w:rPr>
        <w:t>von der Zinswende und anderen Strukturverschiebungen betroffen als Büros</w:t>
      </w:r>
      <w:r w:rsidR="006D552B" w:rsidRPr="00327E60">
        <w:rPr>
          <w:rFonts w:ascii="Source Sans Pro" w:hAnsi="Source Sans Pro" w:cs="Arial"/>
          <w:i/>
          <w:iCs/>
          <w:sz w:val="22"/>
        </w:rPr>
        <w:t>“,</w:t>
      </w:r>
      <w:r w:rsidR="006D552B">
        <w:rPr>
          <w:rFonts w:ascii="Source Sans Pro" w:hAnsi="Source Sans Pro" w:cs="Arial"/>
          <w:iCs/>
          <w:sz w:val="22"/>
        </w:rPr>
        <w:t xml:space="preserve"> ordnet </w:t>
      </w:r>
      <w:r w:rsidR="006D552B" w:rsidRPr="00327E60">
        <w:rPr>
          <w:rFonts w:ascii="Source Sans Pro" w:hAnsi="Source Sans Pro" w:cs="Arial"/>
          <w:b/>
          <w:iCs/>
          <w:sz w:val="22"/>
        </w:rPr>
        <w:t>Holzwarth</w:t>
      </w:r>
      <w:r w:rsidR="006D552B">
        <w:rPr>
          <w:rFonts w:ascii="Source Sans Pro" w:hAnsi="Source Sans Pro" w:cs="Arial"/>
          <w:iCs/>
          <w:sz w:val="22"/>
        </w:rPr>
        <w:t xml:space="preserve"> ein</w:t>
      </w:r>
      <w:r w:rsidR="007F154C" w:rsidRPr="00707F8B">
        <w:rPr>
          <w:rFonts w:ascii="Source Sans Pro" w:hAnsi="Source Sans Pro" w:cs="Arial"/>
          <w:iCs/>
          <w:sz w:val="22"/>
        </w:rPr>
        <w:t xml:space="preserve">. </w:t>
      </w:r>
      <w:r w:rsidR="006D552B" w:rsidRPr="00327E60">
        <w:rPr>
          <w:rFonts w:ascii="Source Sans Pro" w:hAnsi="Source Sans Pro" w:cs="Arial"/>
          <w:i/>
          <w:iCs/>
          <w:sz w:val="22"/>
        </w:rPr>
        <w:t>„</w:t>
      </w:r>
      <w:r w:rsidR="007F154C" w:rsidRPr="00327E60">
        <w:rPr>
          <w:rFonts w:ascii="Source Sans Pro" w:hAnsi="Source Sans Pro" w:cs="Arial"/>
          <w:i/>
          <w:iCs/>
          <w:sz w:val="22"/>
        </w:rPr>
        <w:t xml:space="preserve">Nachdem Letztere viele Jahre lang als sicherere </w:t>
      </w:r>
      <w:proofErr w:type="spellStart"/>
      <w:r w:rsidR="00331527" w:rsidRPr="00327E60">
        <w:rPr>
          <w:rFonts w:ascii="Source Sans Pro" w:hAnsi="Source Sans Pro" w:cs="Arial"/>
          <w:i/>
          <w:iCs/>
          <w:sz w:val="22"/>
        </w:rPr>
        <w:t>Asset</w:t>
      </w:r>
      <w:r w:rsidR="007F154C" w:rsidRPr="00327E60">
        <w:rPr>
          <w:rFonts w:ascii="Source Sans Pro" w:hAnsi="Source Sans Pro" w:cs="Arial"/>
          <w:i/>
          <w:iCs/>
          <w:sz w:val="22"/>
        </w:rPr>
        <w:t>klasse</w:t>
      </w:r>
      <w:proofErr w:type="spellEnd"/>
      <w:r w:rsidR="007F154C" w:rsidRPr="00327E60">
        <w:rPr>
          <w:rFonts w:ascii="Source Sans Pro" w:hAnsi="Source Sans Pro" w:cs="Arial"/>
          <w:i/>
          <w:iCs/>
          <w:sz w:val="22"/>
        </w:rPr>
        <w:t xml:space="preserve"> galten, </w:t>
      </w:r>
      <w:r w:rsidR="00127F1C" w:rsidRPr="00127F1C">
        <w:rPr>
          <w:rFonts w:ascii="Source Sans Pro" w:hAnsi="Source Sans Pro" w:cs="Arial"/>
          <w:i/>
          <w:iCs/>
          <w:sz w:val="22"/>
        </w:rPr>
        <w:t>verl</w:t>
      </w:r>
      <w:r w:rsidR="003864E7">
        <w:rPr>
          <w:rFonts w:ascii="Source Sans Pro" w:hAnsi="Source Sans Pro" w:cs="Arial"/>
          <w:i/>
          <w:iCs/>
          <w:sz w:val="22"/>
        </w:rPr>
        <w:t>o</w:t>
      </w:r>
      <w:r w:rsidR="00127F1C" w:rsidRPr="00127F1C">
        <w:rPr>
          <w:rFonts w:ascii="Source Sans Pro" w:hAnsi="Source Sans Pro" w:cs="Arial"/>
          <w:i/>
          <w:iCs/>
          <w:sz w:val="22"/>
        </w:rPr>
        <w:t xml:space="preserve">ren </w:t>
      </w:r>
      <w:r w:rsidR="00101574">
        <w:rPr>
          <w:rFonts w:ascii="Source Sans Pro" w:hAnsi="Source Sans Pro" w:cs="Arial"/>
          <w:i/>
          <w:iCs/>
          <w:sz w:val="22"/>
        </w:rPr>
        <w:t xml:space="preserve">sie für viele Investoren weitaus mehr an Wert als </w:t>
      </w:r>
      <w:r w:rsidR="00127F1C" w:rsidRPr="00127F1C">
        <w:rPr>
          <w:rFonts w:ascii="Source Sans Pro" w:hAnsi="Source Sans Pro" w:cs="Arial"/>
          <w:i/>
          <w:iCs/>
          <w:sz w:val="22"/>
        </w:rPr>
        <w:t>Logistikobjekte</w:t>
      </w:r>
      <w:r w:rsidR="0059570E">
        <w:rPr>
          <w:rFonts w:ascii="Source Sans Pro" w:hAnsi="Source Sans Pro" w:cs="Arial"/>
          <w:i/>
          <w:iCs/>
          <w:sz w:val="22"/>
        </w:rPr>
        <w:t>.</w:t>
      </w:r>
      <w:r w:rsidR="006D552B" w:rsidRPr="00327E60">
        <w:rPr>
          <w:rFonts w:ascii="Source Sans Pro" w:hAnsi="Source Sans Pro" w:cs="Arial"/>
          <w:i/>
          <w:iCs/>
          <w:sz w:val="22"/>
        </w:rPr>
        <w:t>“</w:t>
      </w:r>
    </w:p>
    <w:p w14:paraId="68B44C4E" w14:textId="77777777" w:rsidR="00987C4D" w:rsidRPr="00987C4D" w:rsidRDefault="00987C4D" w:rsidP="00987C4D">
      <w:pPr>
        <w:pStyle w:val="Listenabsatz"/>
        <w:tabs>
          <w:tab w:val="left" w:pos="200"/>
        </w:tabs>
        <w:overflowPunct/>
        <w:autoSpaceDE/>
        <w:autoSpaceDN/>
        <w:adjustRightInd/>
        <w:snapToGrid w:val="0"/>
        <w:spacing w:line="280" w:lineRule="exact"/>
        <w:ind w:left="1440"/>
        <w:jc w:val="both"/>
        <w:textAlignment w:val="top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5CCA54F7" w14:textId="3E77DA07" w:rsidR="001512C7" w:rsidRDefault="00F17300" w:rsidP="00D2311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Prognose</w:t>
      </w:r>
      <w:r w:rsidR="00D26112">
        <w:rPr>
          <w:rFonts w:ascii="Source Sans Pro" w:hAnsi="Source Sans Pro" w:cs="Source Sans Pro"/>
          <w:caps/>
          <w:color w:val="0086A8"/>
          <w:sz w:val="22"/>
          <w:szCs w:val="22"/>
        </w:rPr>
        <w:t>: assetklasse mit Potenzial</w:t>
      </w:r>
    </w:p>
    <w:p w14:paraId="7C420CAF" w14:textId="03D3F773" w:rsidR="00D26112" w:rsidRPr="00327E60" w:rsidRDefault="00D26112" w:rsidP="00D2611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i/>
          <w:color w:val="auto"/>
          <w:sz w:val="22"/>
          <w:szCs w:val="20"/>
        </w:rPr>
      </w:pPr>
      <w:r w:rsidRPr="00D26112">
        <w:rPr>
          <w:rFonts w:ascii="Source Sans Pro" w:hAnsi="Source Sans Pro" w:cs="Arial"/>
          <w:i/>
          <w:color w:val="auto"/>
          <w:sz w:val="22"/>
          <w:szCs w:val="20"/>
        </w:rPr>
        <w:t>„</w:t>
      </w:r>
      <w:r w:rsidR="00127F1C" w:rsidRPr="00127F1C">
        <w:rPr>
          <w:rFonts w:ascii="Source Sans Pro" w:hAnsi="Source Sans Pro" w:cs="Arial"/>
          <w:i/>
          <w:color w:val="auto"/>
          <w:sz w:val="22"/>
          <w:szCs w:val="20"/>
        </w:rPr>
        <w:t>Sowohl für das Investment- als auch für das Mietsegment erwarten wir eher verhaltene Aktivitäten in der ersten Jahreshälfte, sofern die momentanen Rahmenbedingungen unverändert bleiben</w:t>
      </w:r>
      <w:r w:rsidR="00E277BD">
        <w:rPr>
          <w:rFonts w:ascii="Source Sans Pro" w:hAnsi="Source Sans Pro" w:cs="Arial"/>
          <w:i/>
          <w:color w:val="auto"/>
          <w:sz w:val="22"/>
          <w:szCs w:val="20"/>
        </w:rPr>
        <w:t>. In den letzten Wochen stützten sinkende Inflationsraten und SWAP-Sätze allerdings auch ein Szenario für ein etwas immobilienfreundlicheres Kapitalmarktumfeld im kommenden Jahr</w:t>
      </w:r>
      <w:r w:rsidRPr="00D26112">
        <w:rPr>
          <w:rFonts w:ascii="Source Sans Pro" w:hAnsi="Source Sans Pro" w:cs="Arial"/>
          <w:i/>
          <w:color w:val="auto"/>
          <w:sz w:val="22"/>
          <w:szCs w:val="20"/>
        </w:rPr>
        <w:t>“</w:t>
      </w:r>
      <w:r>
        <w:rPr>
          <w:rFonts w:ascii="Source Sans Pro" w:hAnsi="Source Sans Pro" w:cs="Arial"/>
          <w:color w:val="auto"/>
          <w:sz w:val="22"/>
          <w:szCs w:val="20"/>
        </w:rPr>
        <w:t xml:space="preserve">, so </w:t>
      </w:r>
      <w:r w:rsidRPr="00D26112">
        <w:rPr>
          <w:rFonts w:ascii="Source Sans Pro" w:hAnsi="Source Sans Pro" w:cs="Arial"/>
          <w:b/>
          <w:color w:val="auto"/>
          <w:sz w:val="22"/>
          <w:szCs w:val="20"/>
        </w:rPr>
        <w:t>Holzwarth</w:t>
      </w:r>
      <w:r>
        <w:rPr>
          <w:rFonts w:ascii="Source Sans Pro" w:hAnsi="Source Sans Pro" w:cs="Arial"/>
          <w:color w:val="auto"/>
          <w:sz w:val="22"/>
          <w:szCs w:val="20"/>
        </w:rPr>
        <w:t xml:space="preserve">. </w:t>
      </w:r>
      <w:r w:rsidRPr="00D26112">
        <w:rPr>
          <w:rFonts w:ascii="Source Sans Pro" w:hAnsi="Source Sans Pro" w:cs="Arial"/>
          <w:i/>
          <w:color w:val="auto"/>
          <w:sz w:val="22"/>
          <w:szCs w:val="20"/>
        </w:rPr>
        <w:t>„</w:t>
      </w:r>
      <w:r w:rsidR="00E277BD">
        <w:rPr>
          <w:rFonts w:ascii="Source Sans Pro" w:hAnsi="Source Sans Pro" w:cs="Arial"/>
          <w:i/>
          <w:color w:val="auto"/>
          <w:sz w:val="22"/>
          <w:szCs w:val="20"/>
        </w:rPr>
        <w:t>Generell</w:t>
      </w:r>
      <w:r w:rsidR="00127F1C" w:rsidRPr="00127F1C">
        <w:rPr>
          <w:rFonts w:ascii="Source Sans Pro" w:hAnsi="Source Sans Pro" w:cs="Arial"/>
          <w:i/>
          <w:color w:val="auto"/>
          <w:sz w:val="22"/>
          <w:szCs w:val="20"/>
        </w:rPr>
        <w:t xml:space="preserve"> schaffen Angebots</w:t>
      </w:r>
      <w:r w:rsidR="00921508">
        <w:rPr>
          <w:rFonts w:ascii="Source Sans Pro" w:hAnsi="Source Sans Pro" w:cs="Arial"/>
          <w:i/>
          <w:color w:val="auto"/>
          <w:sz w:val="22"/>
          <w:szCs w:val="20"/>
        </w:rPr>
        <w:t>knappheit</w:t>
      </w:r>
      <w:r w:rsidR="00127F1C" w:rsidRPr="00127F1C">
        <w:rPr>
          <w:rFonts w:ascii="Source Sans Pro" w:hAnsi="Source Sans Pro" w:cs="Arial"/>
          <w:i/>
          <w:color w:val="auto"/>
          <w:sz w:val="22"/>
          <w:szCs w:val="20"/>
        </w:rPr>
        <w:t xml:space="preserve"> und steigende Mieten eine mittelfristig positive Investmentperspektive</w:t>
      </w:r>
      <w:r w:rsidR="00127F1C">
        <w:rPr>
          <w:rFonts w:ascii="Source Sans Pro" w:hAnsi="Source Sans Pro" w:cs="Arial"/>
          <w:i/>
          <w:color w:val="auto"/>
          <w:sz w:val="22"/>
          <w:szCs w:val="20"/>
        </w:rPr>
        <w:t>. Somit</w:t>
      </w:r>
      <w:r w:rsidR="00127F1C" w:rsidRPr="00D26112">
        <w:rPr>
          <w:rFonts w:ascii="Source Sans Pro" w:hAnsi="Source Sans Pro" w:cs="Arial"/>
          <w:i/>
          <w:color w:val="auto"/>
          <w:sz w:val="22"/>
          <w:szCs w:val="20"/>
        </w:rPr>
        <w:t xml:space="preserve"> </w:t>
      </w:r>
      <w:r w:rsidRPr="00D26112">
        <w:rPr>
          <w:rFonts w:ascii="Source Sans Pro" w:hAnsi="Source Sans Pro" w:cs="Arial"/>
          <w:i/>
          <w:color w:val="auto"/>
          <w:sz w:val="22"/>
          <w:szCs w:val="20"/>
        </w:rPr>
        <w:t xml:space="preserve">bleiben Industrie- und Logistikimmobilien </w:t>
      </w:r>
      <w:r w:rsidR="00127F1C">
        <w:rPr>
          <w:rFonts w:ascii="Source Sans Pro" w:hAnsi="Source Sans Pro" w:cs="Arial"/>
          <w:i/>
          <w:color w:val="auto"/>
          <w:sz w:val="22"/>
          <w:szCs w:val="20"/>
        </w:rPr>
        <w:t>grundsätzlich</w:t>
      </w:r>
      <w:r w:rsidR="00127F1C" w:rsidRPr="00D26112">
        <w:rPr>
          <w:rFonts w:ascii="Source Sans Pro" w:hAnsi="Source Sans Pro" w:cs="Arial"/>
          <w:i/>
          <w:color w:val="auto"/>
          <w:sz w:val="22"/>
          <w:szCs w:val="20"/>
        </w:rPr>
        <w:t xml:space="preserve"> </w:t>
      </w:r>
      <w:r w:rsidRPr="00D26112">
        <w:rPr>
          <w:rFonts w:ascii="Source Sans Pro" w:hAnsi="Source Sans Pro" w:cs="Arial"/>
          <w:i/>
          <w:color w:val="auto"/>
          <w:sz w:val="22"/>
          <w:szCs w:val="20"/>
        </w:rPr>
        <w:t xml:space="preserve">eine </w:t>
      </w:r>
      <w:proofErr w:type="spellStart"/>
      <w:r w:rsidRPr="00D26112">
        <w:rPr>
          <w:rFonts w:ascii="Source Sans Pro" w:hAnsi="Source Sans Pro" w:cs="Arial"/>
          <w:i/>
          <w:color w:val="auto"/>
          <w:sz w:val="22"/>
          <w:szCs w:val="20"/>
        </w:rPr>
        <w:t>Assetklasse</w:t>
      </w:r>
      <w:proofErr w:type="spellEnd"/>
      <w:r w:rsidRPr="00D26112">
        <w:rPr>
          <w:rFonts w:ascii="Source Sans Pro" w:hAnsi="Source Sans Pro" w:cs="Arial"/>
          <w:i/>
          <w:color w:val="auto"/>
          <w:sz w:val="22"/>
          <w:szCs w:val="20"/>
        </w:rPr>
        <w:t xml:space="preserve"> mit Potenzial.</w:t>
      </w:r>
      <w:r w:rsidR="00327E60">
        <w:rPr>
          <w:rFonts w:ascii="Source Sans Pro" w:hAnsi="Source Sans Pro" w:cs="Arial"/>
          <w:i/>
          <w:color w:val="auto"/>
          <w:sz w:val="22"/>
          <w:szCs w:val="20"/>
        </w:rPr>
        <w:t>“</w:t>
      </w:r>
      <w:r w:rsidRPr="00D26112">
        <w:rPr>
          <w:rFonts w:ascii="Source Sans Pro" w:hAnsi="Source Sans Pro" w:cs="Arial"/>
          <w:i/>
          <w:color w:val="auto"/>
          <w:sz w:val="22"/>
          <w:szCs w:val="20"/>
        </w:rPr>
        <w:t xml:space="preserve"> </w:t>
      </w:r>
    </w:p>
    <w:p w14:paraId="48D64D18" w14:textId="7DE6D618" w:rsidR="00901FBF" w:rsidRPr="00707F8B" w:rsidRDefault="00050CCB" w:rsidP="00707F8B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br/>
      </w:r>
      <w:r w:rsidR="00970962" w:rsidRPr="00970962">
        <w:rPr>
          <w:rFonts w:ascii="Source Sans Pro" w:hAnsi="Source Sans Pro" w:cs="Source Sans Pro"/>
          <w:sz w:val="22"/>
          <w:szCs w:val="22"/>
        </w:rPr>
        <w:t xml:space="preserve">Das </w:t>
      </w:r>
      <w:hyperlink r:id="rId8" w:history="1">
        <w:r w:rsidR="00970962" w:rsidRPr="00CA6476">
          <w:rPr>
            <w:rStyle w:val="Hyperlink"/>
            <w:rFonts w:ascii="Source Sans Pro" w:hAnsi="Source Sans Pro" w:cs="Source Sans Pro"/>
            <w:sz w:val="22"/>
            <w:szCs w:val="22"/>
          </w:rPr>
          <w:t>Fact Sheet zu den Top-7-Industrie- und Logistikimmobilienmärkten</w:t>
        </w:r>
      </w:hyperlink>
      <w:bookmarkStart w:id="0" w:name="_GoBack"/>
      <w:bookmarkEnd w:id="0"/>
      <w:r w:rsidR="00970962" w:rsidRPr="00970962">
        <w:rPr>
          <w:rFonts w:ascii="Source Sans Pro" w:hAnsi="Source Sans Pro" w:cs="Source Sans Pro"/>
          <w:sz w:val="22"/>
          <w:szCs w:val="22"/>
        </w:rPr>
        <w:t xml:space="preserve"> Hamburg, Berlin, Düsseldorf, Köln, Frankfurt, Stuttgart und München steht auf unserer Website zum Download bereit.</w:t>
      </w:r>
    </w:p>
    <w:p w14:paraId="50B0AF24" w14:textId="462BC3A9" w:rsidR="00DA733A" w:rsidRPr="00A36FA4" w:rsidRDefault="00050CCB" w:rsidP="00A36FA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/>
      </w: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/>
      </w:r>
      <w:r w:rsidR="002B63FD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  <w:r w:rsidR="00DA733A"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47B60849" w14:textId="77777777" w:rsidR="00E1280F" w:rsidRPr="00E1280F" w:rsidRDefault="00CA6476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3D0C7E2" w14:textId="390B6ADC" w:rsidR="00DA733A" w:rsidRPr="006C69B7" w:rsidRDefault="00F40B12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lastRenderedPageBreak/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 Immobilienspezialisten für das Netzwerk tätig. </w:t>
      </w:r>
      <w:r w:rsidR="000B463D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202</w:t>
      </w:r>
      <w:r w:rsid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2</w:t>
      </w:r>
      <w:r w:rsidR="000B463D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vermittelte GPP deutschlandweit rund </w:t>
      </w:r>
      <w:r w:rsidR="000B463D"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580.000 m²</w:t>
      </w:r>
      <w:r w:rsid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Gewerbefläche und betreute ein Transaktionsvolumen in Höhe von rund </w:t>
      </w:r>
      <w:r w:rsidR="000B463D"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1,5 Mrd</w:t>
      </w:r>
      <w:r w:rsidR="00B2107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</w:t>
      </w:r>
      <w:r w:rsidR="000B463D" w:rsidRPr="000B463D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€</w:t>
      </w:r>
      <w:r w:rsidR="00B21072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</w:p>
    <w:p w14:paraId="3B731F3D" w14:textId="77777777" w:rsidR="004654B5" w:rsidRDefault="004654B5" w:rsidP="00D56A51">
      <w:pPr>
        <w:pStyle w:val="EinfAbs"/>
        <w:tabs>
          <w:tab w:val="left" w:pos="200"/>
        </w:tabs>
        <w:spacing w:line="220" w:lineRule="exact"/>
        <w:jc w:val="both"/>
      </w:pPr>
    </w:p>
    <w:p w14:paraId="3267071B" w14:textId="60807771" w:rsidR="00D56A51" w:rsidRDefault="00CA6476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hyperlink r:id="rId10" w:history="1">
        <w:r w:rsidR="00D56A51" w:rsidRPr="00F505E8">
          <w:rPr>
            <w:rStyle w:val="Hyperlink"/>
            <w:rFonts w:ascii="Source Sans Pro SemiBold" w:hAnsi="Source Sans Pro SemiBold" w:cs="Source Sans Pro SemiBold"/>
            <w:b/>
            <w:bCs/>
            <w:sz w:val="18"/>
            <w:szCs w:val="18"/>
          </w:rPr>
          <w:t>www.germanpropertypartners.de</w:t>
        </w:r>
      </w:hyperlink>
    </w:p>
    <w:p w14:paraId="468FAFF6" w14:textId="33FAAA60" w:rsidR="005C25D5" w:rsidRPr="00D56A51" w:rsidRDefault="00290672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D56A51" w:rsidSect="001B786B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2ECE" w16cex:dateUtc="2023-12-07T10:45:00Z"/>
  <w16cex:commentExtensible w16cex:durableId="291C5FBB" w16cex:dateUtc="2023-12-07T14:14:00Z"/>
  <w16cex:commentExtensible w16cex:durableId="291C3197" w16cex:dateUtc="2023-12-07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CFACE" w16cid:durableId="291C2BFF"/>
  <w16cid:commentId w16cid:paraId="0E923ED1" w16cid:durableId="291C2ECE"/>
  <w16cid:commentId w16cid:paraId="07E25DCB" w16cid:durableId="291C5FBB"/>
  <w16cid:commentId w16cid:paraId="0F04997B" w16cid:durableId="291C31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5DFA" w14:textId="77777777" w:rsidR="000958C7" w:rsidRDefault="000958C7">
      <w:r>
        <w:separator/>
      </w:r>
    </w:p>
  </w:endnote>
  <w:endnote w:type="continuationSeparator" w:id="0">
    <w:p w14:paraId="0895C80A" w14:textId="77777777" w:rsidR="000958C7" w:rsidRDefault="000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BB7665" w:rsidRDefault="00BB7665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BB7665" w:rsidRDefault="00BB7665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BB7665" w:rsidRPr="006456EA" w:rsidRDefault="00BB7665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6325DDA1" w:rsidR="00BB7665" w:rsidRPr="006456EA" w:rsidRDefault="00BB7665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CA647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CA647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4EC267B0" w:rsidR="00BB7665" w:rsidRPr="006456EA" w:rsidRDefault="00BB7665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>
      <w:rPr>
        <w:rFonts w:ascii="Source Sans Pro" w:hAnsi="Source Sans Pro" w:cs="Source Sans Pro"/>
        <w:color w:val="0087A8"/>
        <w:sz w:val="18"/>
        <w:szCs w:val="18"/>
      </w:rPr>
      <w:t>49 40 350802-</w:t>
    </w:r>
    <w:r w:rsidR="000B463D">
      <w:rPr>
        <w:rFonts w:ascii="Source Sans Pro" w:hAnsi="Source Sans Pro" w:cs="Source Sans Pro"/>
        <w:color w:val="0087A8"/>
        <w:sz w:val="18"/>
        <w:szCs w:val="18"/>
      </w:rPr>
      <w:t>9</w:t>
    </w:r>
    <w:r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1310BA0F" w:rsidR="00BB7665" w:rsidRPr="005644BE" w:rsidRDefault="00BB7665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63D">
      <w:rPr>
        <w:rFonts w:ascii="Source Sans Pro" w:hAnsi="Source Sans Pro" w:cs="Source Sans Pro"/>
        <w:color w:val="0087A8"/>
        <w:sz w:val="18"/>
        <w:szCs w:val="18"/>
      </w:rPr>
      <w:t xml:space="preserve">Katharina </w:t>
    </w:r>
    <w:proofErr w:type="spellStart"/>
    <w:r w:rsidR="000B463D">
      <w:rPr>
        <w:rFonts w:ascii="Source Sans Pro" w:hAnsi="Source Sans Pro" w:cs="Source Sans Pro"/>
        <w:color w:val="0087A8"/>
        <w:sz w:val="18"/>
        <w:szCs w:val="18"/>
      </w:rPr>
      <w:t>Koester</w:t>
    </w:r>
    <w:proofErr w:type="spellEnd"/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BB7665" w:rsidRPr="001B786B" w:rsidRDefault="00BB7665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743C6A9E" w:rsidR="00BB7665" w:rsidRPr="006456EA" w:rsidRDefault="00BB7665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CE1E51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CE1E51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03BE933E" w:rsidR="00BB7665" w:rsidRPr="006456EA" w:rsidRDefault="00BB7665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>
      <w:rPr>
        <w:rFonts w:ascii="Source Sans Pro" w:hAnsi="Source Sans Pro" w:cs="Source Sans Pro"/>
        <w:color w:val="0087A8"/>
        <w:sz w:val="18"/>
        <w:szCs w:val="18"/>
      </w:rPr>
      <w:t>49 40 350802-</w:t>
    </w:r>
    <w:r w:rsidR="000B463D">
      <w:rPr>
        <w:rFonts w:ascii="Source Sans Pro" w:hAnsi="Source Sans Pro" w:cs="Source Sans Pro"/>
        <w:color w:val="0087A8"/>
        <w:sz w:val="18"/>
        <w:szCs w:val="18"/>
      </w:rPr>
      <w:t>9</w:t>
    </w:r>
    <w:r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41235112" w:rsidR="00BB7665" w:rsidRPr="006456EA" w:rsidRDefault="00BB7665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63D">
      <w:rPr>
        <w:rFonts w:ascii="Source Sans Pro" w:hAnsi="Source Sans Pro" w:cs="Source Sans Pro"/>
        <w:color w:val="0087A8"/>
        <w:sz w:val="18"/>
        <w:szCs w:val="18"/>
      </w:rPr>
      <w:t xml:space="preserve">Katharina </w:t>
    </w:r>
    <w:proofErr w:type="spellStart"/>
    <w:r w:rsidR="000B463D">
      <w:rPr>
        <w:rFonts w:ascii="Source Sans Pro" w:hAnsi="Source Sans Pro" w:cs="Source Sans Pro"/>
        <w:color w:val="0087A8"/>
        <w:sz w:val="18"/>
        <w:szCs w:val="18"/>
      </w:rPr>
      <w:t>Koester</w:t>
    </w:r>
    <w:proofErr w:type="spellEnd"/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E1A5" w14:textId="77777777" w:rsidR="000958C7" w:rsidRDefault="000958C7">
      <w:r>
        <w:separator/>
      </w:r>
    </w:p>
  </w:footnote>
  <w:footnote w:type="continuationSeparator" w:id="0">
    <w:p w14:paraId="3CFE3889" w14:textId="77777777" w:rsidR="000958C7" w:rsidRDefault="0009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BB7665" w:rsidRDefault="00BB7665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36273E" w14:textId="0051BB57" w:rsidR="00BB7665" w:rsidRDefault="00BB7665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BB7665" w:rsidRDefault="00BB766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BB7665" w:rsidRDefault="00BB7665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BB7665" w:rsidRDefault="00BB7665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BB7665" w:rsidRPr="00B922EE" w:rsidRDefault="00BB7665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BB7665" w:rsidRDefault="00BB7665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BB7665" w:rsidRPr="00B922EE" w:rsidRDefault="00BB7665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tab/>
    </w:r>
  </w:p>
  <w:p w14:paraId="3EAD45CF" w14:textId="5FC2DEDD" w:rsidR="00BB7665" w:rsidRDefault="00BB7665" w:rsidP="0005029E">
    <w:r>
      <w:tab/>
    </w:r>
  </w:p>
  <w:p w14:paraId="185BEDCB" w14:textId="4F512084" w:rsidR="00BB7665" w:rsidRDefault="00BB7665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BB7665" w:rsidRDefault="00BB7665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BB7665" w:rsidRPr="00DA6836" w:rsidRDefault="00BB7665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BB7665" w:rsidRDefault="00BB7665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7E"/>
    <w:multiLevelType w:val="hybridMultilevel"/>
    <w:tmpl w:val="02527716"/>
    <w:lvl w:ilvl="0" w:tplc="08AE6744">
      <w:start w:val="2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76D0"/>
    <w:multiLevelType w:val="hybridMultilevel"/>
    <w:tmpl w:val="4BD20440"/>
    <w:lvl w:ilvl="0" w:tplc="464AFB96">
      <w:start w:val="2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16C1"/>
    <w:multiLevelType w:val="multilevel"/>
    <w:tmpl w:val="F16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Source Sans Pr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E6075"/>
    <w:multiLevelType w:val="hybridMultilevel"/>
    <w:tmpl w:val="1062E110"/>
    <w:lvl w:ilvl="0" w:tplc="88C221C0">
      <w:start w:val="2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92453"/>
    <w:multiLevelType w:val="multilevel"/>
    <w:tmpl w:val="5F7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D6211"/>
    <w:multiLevelType w:val="hybridMultilevel"/>
    <w:tmpl w:val="4EE41092"/>
    <w:lvl w:ilvl="0" w:tplc="5652202A">
      <w:start w:val="2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57625"/>
    <w:multiLevelType w:val="hybridMultilevel"/>
    <w:tmpl w:val="3BBE47C4"/>
    <w:lvl w:ilvl="0" w:tplc="EEFCD45A">
      <w:start w:val="1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1F24"/>
    <w:rsid w:val="000021F4"/>
    <w:rsid w:val="00003433"/>
    <w:rsid w:val="00004E93"/>
    <w:rsid w:val="00011013"/>
    <w:rsid w:val="000136D7"/>
    <w:rsid w:val="00013C9D"/>
    <w:rsid w:val="00013D73"/>
    <w:rsid w:val="00020AC9"/>
    <w:rsid w:val="00027EA3"/>
    <w:rsid w:val="00032028"/>
    <w:rsid w:val="000440EB"/>
    <w:rsid w:val="0005029E"/>
    <w:rsid w:val="00050CCB"/>
    <w:rsid w:val="000610DA"/>
    <w:rsid w:val="000663B5"/>
    <w:rsid w:val="00066A8A"/>
    <w:rsid w:val="0007010F"/>
    <w:rsid w:val="00071BC0"/>
    <w:rsid w:val="00072A30"/>
    <w:rsid w:val="00073A63"/>
    <w:rsid w:val="00076F25"/>
    <w:rsid w:val="00077E8A"/>
    <w:rsid w:val="00082C59"/>
    <w:rsid w:val="00087A4A"/>
    <w:rsid w:val="000910E2"/>
    <w:rsid w:val="00091562"/>
    <w:rsid w:val="0009382E"/>
    <w:rsid w:val="000958C7"/>
    <w:rsid w:val="000A4FBB"/>
    <w:rsid w:val="000A6A78"/>
    <w:rsid w:val="000A786B"/>
    <w:rsid w:val="000B310B"/>
    <w:rsid w:val="000B463D"/>
    <w:rsid w:val="000C3A22"/>
    <w:rsid w:val="000D1772"/>
    <w:rsid w:val="000D5A87"/>
    <w:rsid w:val="000D7B09"/>
    <w:rsid w:val="000D7FD3"/>
    <w:rsid w:val="000E194E"/>
    <w:rsid w:val="000E4F2C"/>
    <w:rsid w:val="000E6577"/>
    <w:rsid w:val="000E694E"/>
    <w:rsid w:val="000E6FF4"/>
    <w:rsid w:val="000F57F1"/>
    <w:rsid w:val="00101574"/>
    <w:rsid w:val="001104E2"/>
    <w:rsid w:val="00110E37"/>
    <w:rsid w:val="001132CE"/>
    <w:rsid w:val="00113D8C"/>
    <w:rsid w:val="0011460A"/>
    <w:rsid w:val="00115F98"/>
    <w:rsid w:val="00120624"/>
    <w:rsid w:val="0012156C"/>
    <w:rsid w:val="001231FA"/>
    <w:rsid w:val="00127F1C"/>
    <w:rsid w:val="00131DC5"/>
    <w:rsid w:val="001340F8"/>
    <w:rsid w:val="001359CA"/>
    <w:rsid w:val="00146388"/>
    <w:rsid w:val="00150092"/>
    <w:rsid w:val="001512C7"/>
    <w:rsid w:val="00151919"/>
    <w:rsid w:val="001550FE"/>
    <w:rsid w:val="00155828"/>
    <w:rsid w:val="00156AF6"/>
    <w:rsid w:val="00157320"/>
    <w:rsid w:val="00161817"/>
    <w:rsid w:val="00162CC4"/>
    <w:rsid w:val="001647B3"/>
    <w:rsid w:val="00166ED2"/>
    <w:rsid w:val="00176433"/>
    <w:rsid w:val="00177AA4"/>
    <w:rsid w:val="0018092C"/>
    <w:rsid w:val="001824D0"/>
    <w:rsid w:val="00184BB0"/>
    <w:rsid w:val="00190692"/>
    <w:rsid w:val="001963BB"/>
    <w:rsid w:val="001A22F5"/>
    <w:rsid w:val="001B36F2"/>
    <w:rsid w:val="001B47FB"/>
    <w:rsid w:val="001B4C04"/>
    <w:rsid w:val="001B786B"/>
    <w:rsid w:val="001C32DB"/>
    <w:rsid w:val="001C518B"/>
    <w:rsid w:val="001D52AA"/>
    <w:rsid w:val="001E1829"/>
    <w:rsid w:val="001E5503"/>
    <w:rsid w:val="001F218D"/>
    <w:rsid w:val="001F35E1"/>
    <w:rsid w:val="00200C83"/>
    <w:rsid w:val="002012A5"/>
    <w:rsid w:val="002014F7"/>
    <w:rsid w:val="002027B6"/>
    <w:rsid w:val="00202DD3"/>
    <w:rsid w:val="00206B12"/>
    <w:rsid w:val="00211CD6"/>
    <w:rsid w:val="0021355F"/>
    <w:rsid w:val="00217037"/>
    <w:rsid w:val="002218FB"/>
    <w:rsid w:val="0022694F"/>
    <w:rsid w:val="00226F65"/>
    <w:rsid w:val="00227F3A"/>
    <w:rsid w:val="00235393"/>
    <w:rsid w:val="00264A0A"/>
    <w:rsid w:val="00265CA3"/>
    <w:rsid w:val="00277140"/>
    <w:rsid w:val="0028070D"/>
    <w:rsid w:val="00282ED8"/>
    <w:rsid w:val="00287ECA"/>
    <w:rsid w:val="00290672"/>
    <w:rsid w:val="002A09C2"/>
    <w:rsid w:val="002A480D"/>
    <w:rsid w:val="002A7D58"/>
    <w:rsid w:val="002B63FD"/>
    <w:rsid w:val="002B749A"/>
    <w:rsid w:val="002C52C5"/>
    <w:rsid w:val="002D4973"/>
    <w:rsid w:val="002E1C45"/>
    <w:rsid w:val="002E5673"/>
    <w:rsid w:val="002F461A"/>
    <w:rsid w:val="002F786B"/>
    <w:rsid w:val="00306932"/>
    <w:rsid w:val="003152C9"/>
    <w:rsid w:val="00315870"/>
    <w:rsid w:val="00316196"/>
    <w:rsid w:val="003250ED"/>
    <w:rsid w:val="003265AC"/>
    <w:rsid w:val="00327E60"/>
    <w:rsid w:val="00331527"/>
    <w:rsid w:val="00335C3B"/>
    <w:rsid w:val="00341D84"/>
    <w:rsid w:val="003424EC"/>
    <w:rsid w:val="00343434"/>
    <w:rsid w:val="0034454C"/>
    <w:rsid w:val="00355438"/>
    <w:rsid w:val="00355ED1"/>
    <w:rsid w:val="00363075"/>
    <w:rsid w:val="00366AF3"/>
    <w:rsid w:val="00371640"/>
    <w:rsid w:val="00374F87"/>
    <w:rsid w:val="00380A1B"/>
    <w:rsid w:val="003864E7"/>
    <w:rsid w:val="00387B31"/>
    <w:rsid w:val="00391D4A"/>
    <w:rsid w:val="00392E9E"/>
    <w:rsid w:val="0039309A"/>
    <w:rsid w:val="003948FA"/>
    <w:rsid w:val="00396FE6"/>
    <w:rsid w:val="003A000E"/>
    <w:rsid w:val="003A463F"/>
    <w:rsid w:val="003B63A8"/>
    <w:rsid w:val="003C5358"/>
    <w:rsid w:val="003D34A9"/>
    <w:rsid w:val="003D36F0"/>
    <w:rsid w:val="003D5215"/>
    <w:rsid w:val="003D5D91"/>
    <w:rsid w:val="003E1E1B"/>
    <w:rsid w:val="003E3204"/>
    <w:rsid w:val="003E730F"/>
    <w:rsid w:val="003E772C"/>
    <w:rsid w:val="003F293B"/>
    <w:rsid w:val="003F5E07"/>
    <w:rsid w:val="003F6D22"/>
    <w:rsid w:val="0040331F"/>
    <w:rsid w:val="00403C95"/>
    <w:rsid w:val="00410157"/>
    <w:rsid w:val="0041188F"/>
    <w:rsid w:val="004129F6"/>
    <w:rsid w:val="00423DAC"/>
    <w:rsid w:val="00424005"/>
    <w:rsid w:val="00425DBF"/>
    <w:rsid w:val="00430DA2"/>
    <w:rsid w:val="004329C6"/>
    <w:rsid w:val="004343B1"/>
    <w:rsid w:val="00434EB9"/>
    <w:rsid w:val="00436DD0"/>
    <w:rsid w:val="00453F14"/>
    <w:rsid w:val="00456442"/>
    <w:rsid w:val="00461740"/>
    <w:rsid w:val="00462200"/>
    <w:rsid w:val="0046307F"/>
    <w:rsid w:val="0046528F"/>
    <w:rsid w:val="004654B5"/>
    <w:rsid w:val="00474099"/>
    <w:rsid w:val="004863E3"/>
    <w:rsid w:val="004913F5"/>
    <w:rsid w:val="00491CBC"/>
    <w:rsid w:val="004A1800"/>
    <w:rsid w:val="004A2A30"/>
    <w:rsid w:val="004A2D54"/>
    <w:rsid w:val="004A60FB"/>
    <w:rsid w:val="004B5CB6"/>
    <w:rsid w:val="004B79F2"/>
    <w:rsid w:val="004C0AD5"/>
    <w:rsid w:val="004C616B"/>
    <w:rsid w:val="004D2CD0"/>
    <w:rsid w:val="004D30FB"/>
    <w:rsid w:val="004D3F63"/>
    <w:rsid w:val="004E5011"/>
    <w:rsid w:val="004E670E"/>
    <w:rsid w:val="004F1EDD"/>
    <w:rsid w:val="004F392F"/>
    <w:rsid w:val="004F6FE2"/>
    <w:rsid w:val="004F77D4"/>
    <w:rsid w:val="00500981"/>
    <w:rsid w:val="00501428"/>
    <w:rsid w:val="005045E7"/>
    <w:rsid w:val="00510C33"/>
    <w:rsid w:val="005122A0"/>
    <w:rsid w:val="0054038E"/>
    <w:rsid w:val="0054593A"/>
    <w:rsid w:val="00546734"/>
    <w:rsid w:val="005529DE"/>
    <w:rsid w:val="00554C9F"/>
    <w:rsid w:val="00557B57"/>
    <w:rsid w:val="0056219F"/>
    <w:rsid w:val="005644BE"/>
    <w:rsid w:val="00575159"/>
    <w:rsid w:val="0057524E"/>
    <w:rsid w:val="00575A55"/>
    <w:rsid w:val="0059570E"/>
    <w:rsid w:val="00596ADB"/>
    <w:rsid w:val="0059776A"/>
    <w:rsid w:val="005A5999"/>
    <w:rsid w:val="005C1F78"/>
    <w:rsid w:val="005C25D5"/>
    <w:rsid w:val="005D0D0E"/>
    <w:rsid w:val="005D449F"/>
    <w:rsid w:val="005D73BE"/>
    <w:rsid w:val="005E1C97"/>
    <w:rsid w:val="005E6515"/>
    <w:rsid w:val="005F1F6B"/>
    <w:rsid w:val="005F3B7B"/>
    <w:rsid w:val="005F424F"/>
    <w:rsid w:val="005F75B9"/>
    <w:rsid w:val="006016E1"/>
    <w:rsid w:val="0060257F"/>
    <w:rsid w:val="00604F63"/>
    <w:rsid w:val="00605989"/>
    <w:rsid w:val="00613713"/>
    <w:rsid w:val="006224FB"/>
    <w:rsid w:val="0063115F"/>
    <w:rsid w:val="00631271"/>
    <w:rsid w:val="00632159"/>
    <w:rsid w:val="00632F3C"/>
    <w:rsid w:val="006363DA"/>
    <w:rsid w:val="00641D70"/>
    <w:rsid w:val="006432C0"/>
    <w:rsid w:val="006456EA"/>
    <w:rsid w:val="00653983"/>
    <w:rsid w:val="006609C2"/>
    <w:rsid w:val="0066478F"/>
    <w:rsid w:val="0066592B"/>
    <w:rsid w:val="006663A9"/>
    <w:rsid w:val="00675E89"/>
    <w:rsid w:val="006949F1"/>
    <w:rsid w:val="00695F46"/>
    <w:rsid w:val="006A3C35"/>
    <w:rsid w:val="006A6D11"/>
    <w:rsid w:val="006B2259"/>
    <w:rsid w:val="006B3ECE"/>
    <w:rsid w:val="006C519E"/>
    <w:rsid w:val="006C5754"/>
    <w:rsid w:val="006C69B7"/>
    <w:rsid w:val="006D552B"/>
    <w:rsid w:val="006D6526"/>
    <w:rsid w:val="006D668B"/>
    <w:rsid w:val="006E06BE"/>
    <w:rsid w:val="006E46F4"/>
    <w:rsid w:val="006E51FB"/>
    <w:rsid w:val="006E674D"/>
    <w:rsid w:val="006E6770"/>
    <w:rsid w:val="006F0E7E"/>
    <w:rsid w:val="006F154A"/>
    <w:rsid w:val="00701992"/>
    <w:rsid w:val="0070363C"/>
    <w:rsid w:val="00707F8B"/>
    <w:rsid w:val="00712023"/>
    <w:rsid w:val="007144E9"/>
    <w:rsid w:val="00714A1F"/>
    <w:rsid w:val="0071697A"/>
    <w:rsid w:val="00717328"/>
    <w:rsid w:val="0072073D"/>
    <w:rsid w:val="00720770"/>
    <w:rsid w:val="00732479"/>
    <w:rsid w:val="007346DF"/>
    <w:rsid w:val="00742C04"/>
    <w:rsid w:val="0074571D"/>
    <w:rsid w:val="00750A05"/>
    <w:rsid w:val="00752904"/>
    <w:rsid w:val="0076479B"/>
    <w:rsid w:val="00767018"/>
    <w:rsid w:val="00771C92"/>
    <w:rsid w:val="007805D8"/>
    <w:rsid w:val="00795586"/>
    <w:rsid w:val="00797DA3"/>
    <w:rsid w:val="007A4844"/>
    <w:rsid w:val="007A774C"/>
    <w:rsid w:val="007B33CE"/>
    <w:rsid w:val="007B7B81"/>
    <w:rsid w:val="007C1429"/>
    <w:rsid w:val="007C15C4"/>
    <w:rsid w:val="007C3499"/>
    <w:rsid w:val="007C5441"/>
    <w:rsid w:val="007D1495"/>
    <w:rsid w:val="007D2902"/>
    <w:rsid w:val="007D5A52"/>
    <w:rsid w:val="007D5CA1"/>
    <w:rsid w:val="007D75C8"/>
    <w:rsid w:val="007E2C66"/>
    <w:rsid w:val="007E52D6"/>
    <w:rsid w:val="007F1021"/>
    <w:rsid w:val="007F154C"/>
    <w:rsid w:val="007F2DBB"/>
    <w:rsid w:val="007F7E7C"/>
    <w:rsid w:val="00800715"/>
    <w:rsid w:val="0081355B"/>
    <w:rsid w:val="00821A81"/>
    <w:rsid w:val="00825F63"/>
    <w:rsid w:val="008322D8"/>
    <w:rsid w:val="00835B31"/>
    <w:rsid w:val="00836681"/>
    <w:rsid w:val="00837E5B"/>
    <w:rsid w:val="00843CD8"/>
    <w:rsid w:val="00851067"/>
    <w:rsid w:val="00856A7C"/>
    <w:rsid w:val="00863BDE"/>
    <w:rsid w:val="008739E7"/>
    <w:rsid w:val="00874645"/>
    <w:rsid w:val="0087524E"/>
    <w:rsid w:val="00881685"/>
    <w:rsid w:val="008844D9"/>
    <w:rsid w:val="0088580A"/>
    <w:rsid w:val="00891C3A"/>
    <w:rsid w:val="00895E64"/>
    <w:rsid w:val="008A3A3B"/>
    <w:rsid w:val="008A7188"/>
    <w:rsid w:val="008B3C8C"/>
    <w:rsid w:val="008D60CA"/>
    <w:rsid w:val="008E0A69"/>
    <w:rsid w:val="008F2058"/>
    <w:rsid w:val="00901FBF"/>
    <w:rsid w:val="00904B69"/>
    <w:rsid w:val="009064CE"/>
    <w:rsid w:val="00912233"/>
    <w:rsid w:val="00914021"/>
    <w:rsid w:val="00917410"/>
    <w:rsid w:val="00921508"/>
    <w:rsid w:val="0092558E"/>
    <w:rsid w:val="009264D0"/>
    <w:rsid w:val="009326A4"/>
    <w:rsid w:val="0093360A"/>
    <w:rsid w:val="009358D3"/>
    <w:rsid w:val="009411FC"/>
    <w:rsid w:val="00941775"/>
    <w:rsid w:val="00955433"/>
    <w:rsid w:val="00955764"/>
    <w:rsid w:val="00957A6F"/>
    <w:rsid w:val="009649C2"/>
    <w:rsid w:val="00965DEB"/>
    <w:rsid w:val="00966A04"/>
    <w:rsid w:val="00967549"/>
    <w:rsid w:val="00970962"/>
    <w:rsid w:val="009738DE"/>
    <w:rsid w:val="00975671"/>
    <w:rsid w:val="00976ADA"/>
    <w:rsid w:val="00980BEB"/>
    <w:rsid w:val="00980D94"/>
    <w:rsid w:val="00981B41"/>
    <w:rsid w:val="00982F7B"/>
    <w:rsid w:val="009843D4"/>
    <w:rsid w:val="009867A7"/>
    <w:rsid w:val="009873CE"/>
    <w:rsid w:val="00987C4D"/>
    <w:rsid w:val="0099076D"/>
    <w:rsid w:val="0099690F"/>
    <w:rsid w:val="00996D38"/>
    <w:rsid w:val="009A10C6"/>
    <w:rsid w:val="009A4503"/>
    <w:rsid w:val="009B008F"/>
    <w:rsid w:val="009C2D11"/>
    <w:rsid w:val="009C3FDE"/>
    <w:rsid w:val="009C4CE9"/>
    <w:rsid w:val="009F28F5"/>
    <w:rsid w:val="009F396A"/>
    <w:rsid w:val="009F3A99"/>
    <w:rsid w:val="00A048AC"/>
    <w:rsid w:val="00A07846"/>
    <w:rsid w:val="00A13D87"/>
    <w:rsid w:val="00A17273"/>
    <w:rsid w:val="00A17CA6"/>
    <w:rsid w:val="00A22C2C"/>
    <w:rsid w:val="00A22FBF"/>
    <w:rsid w:val="00A31B51"/>
    <w:rsid w:val="00A346EF"/>
    <w:rsid w:val="00A36FA4"/>
    <w:rsid w:val="00A54087"/>
    <w:rsid w:val="00A57024"/>
    <w:rsid w:val="00A5726A"/>
    <w:rsid w:val="00A61757"/>
    <w:rsid w:val="00A63939"/>
    <w:rsid w:val="00A65690"/>
    <w:rsid w:val="00A65FB0"/>
    <w:rsid w:val="00A66A23"/>
    <w:rsid w:val="00A72FE4"/>
    <w:rsid w:val="00A743C6"/>
    <w:rsid w:val="00A8148C"/>
    <w:rsid w:val="00A82665"/>
    <w:rsid w:val="00A831E7"/>
    <w:rsid w:val="00A85640"/>
    <w:rsid w:val="00A91DC1"/>
    <w:rsid w:val="00A9412B"/>
    <w:rsid w:val="00AB01EB"/>
    <w:rsid w:val="00AB69AD"/>
    <w:rsid w:val="00AC6B15"/>
    <w:rsid w:val="00AD2569"/>
    <w:rsid w:val="00AD4124"/>
    <w:rsid w:val="00AE0761"/>
    <w:rsid w:val="00AE07A3"/>
    <w:rsid w:val="00AE0E7B"/>
    <w:rsid w:val="00AE2412"/>
    <w:rsid w:val="00AE318F"/>
    <w:rsid w:val="00AF0066"/>
    <w:rsid w:val="00AF237D"/>
    <w:rsid w:val="00AF27B7"/>
    <w:rsid w:val="00AF63B5"/>
    <w:rsid w:val="00B005BD"/>
    <w:rsid w:val="00B01883"/>
    <w:rsid w:val="00B03444"/>
    <w:rsid w:val="00B04F23"/>
    <w:rsid w:val="00B05AAE"/>
    <w:rsid w:val="00B14576"/>
    <w:rsid w:val="00B14C16"/>
    <w:rsid w:val="00B14E68"/>
    <w:rsid w:val="00B21072"/>
    <w:rsid w:val="00B23669"/>
    <w:rsid w:val="00B24860"/>
    <w:rsid w:val="00B2667D"/>
    <w:rsid w:val="00B301B5"/>
    <w:rsid w:val="00B33789"/>
    <w:rsid w:val="00B4013A"/>
    <w:rsid w:val="00B46BC1"/>
    <w:rsid w:val="00B560D0"/>
    <w:rsid w:val="00B56AFB"/>
    <w:rsid w:val="00B576A5"/>
    <w:rsid w:val="00B862DB"/>
    <w:rsid w:val="00B87D1C"/>
    <w:rsid w:val="00B922EE"/>
    <w:rsid w:val="00B9596E"/>
    <w:rsid w:val="00BA2FA0"/>
    <w:rsid w:val="00BA3D8E"/>
    <w:rsid w:val="00BA40B4"/>
    <w:rsid w:val="00BA49EB"/>
    <w:rsid w:val="00BB0F85"/>
    <w:rsid w:val="00BB7665"/>
    <w:rsid w:val="00BC0132"/>
    <w:rsid w:val="00BC0598"/>
    <w:rsid w:val="00BC5B4E"/>
    <w:rsid w:val="00BD0526"/>
    <w:rsid w:val="00BD2784"/>
    <w:rsid w:val="00BD46B2"/>
    <w:rsid w:val="00BE09F8"/>
    <w:rsid w:val="00BF0652"/>
    <w:rsid w:val="00BF11C6"/>
    <w:rsid w:val="00BF17BE"/>
    <w:rsid w:val="00BF2146"/>
    <w:rsid w:val="00BF2B2E"/>
    <w:rsid w:val="00C01B6E"/>
    <w:rsid w:val="00C02CD3"/>
    <w:rsid w:val="00C1001A"/>
    <w:rsid w:val="00C11004"/>
    <w:rsid w:val="00C111E7"/>
    <w:rsid w:val="00C111FE"/>
    <w:rsid w:val="00C1497F"/>
    <w:rsid w:val="00C16F1C"/>
    <w:rsid w:val="00C20B9C"/>
    <w:rsid w:val="00C20D9B"/>
    <w:rsid w:val="00C22F96"/>
    <w:rsid w:val="00C2509E"/>
    <w:rsid w:val="00C2778C"/>
    <w:rsid w:val="00C27F6A"/>
    <w:rsid w:val="00C30432"/>
    <w:rsid w:val="00C3159C"/>
    <w:rsid w:val="00C34C0E"/>
    <w:rsid w:val="00C35841"/>
    <w:rsid w:val="00C41C74"/>
    <w:rsid w:val="00C43C76"/>
    <w:rsid w:val="00C47B63"/>
    <w:rsid w:val="00C47F8B"/>
    <w:rsid w:val="00C50567"/>
    <w:rsid w:val="00C61D65"/>
    <w:rsid w:val="00C633BA"/>
    <w:rsid w:val="00C742DD"/>
    <w:rsid w:val="00C846F6"/>
    <w:rsid w:val="00C96048"/>
    <w:rsid w:val="00C96214"/>
    <w:rsid w:val="00C9797F"/>
    <w:rsid w:val="00CA1FB9"/>
    <w:rsid w:val="00CA6476"/>
    <w:rsid w:val="00CA73C1"/>
    <w:rsid w:val="00CA79D7"/>
    <w:rsid w:val="00CB7BE6"/>
    <w:rsid w:val="00CC0E23"/>
    <w:rsid w:val="00CC40B9"/>
    <w:rsid w:val="00CC7B66"/>
    <w:rsid w:val="00CD7E39"/>
    <w:rsid w:val="00CE1E51"/>
    <w:rsid w:val="00CE2C57"/>
    <w:rsid w:val="00CE2EFB"/>
    <w:rsid w:val="00CE5A10"/>
    <w:rsid w:val="00D02FD8"/>
    <w:rsid w:val="00D10832"/>
    <w:rsid w:val="00D11A3A"/>
    <w:rsid w:val="00D23117"/>
    <w:rsid w:val="00D26112"/>
    <w:rsid w:val="00D26615"/>
    <w:rsid w:val="00D27ED1"/>
    <w:rsid w:val="00D3104C"/>
    <w:rsid w:val="00D42152"/>
    <w:rsid w:val="00D43D89"/>
    <w:rsid w:val="00D50FDD"/>
    <w:rsid w:val="00D513E4"/>
    <w:rsid w:val="00D5191D"/>
    <w:rsid w:val="00D53B8E"/>
    <w:rsid w:val="00D54180"/>
    <w:rsid w:val="00D56A51"/>
    <w:rsid w:val="00D57A2F"/>
    <w:rsid w:val="00D602AC"/>
    <w:rsid w:val="00D6321F"/>
    <w:rsid w:val="00D6603A"/>
    <w:rsid w:val="00D70824"/>
    <w:rsid w:val="00D70C68"/>
    <w:rsid w:val="00D760A9"/>
    <w:rsid w:val="00D760CF"/>
    <w:rsid w:val="00D925B8"/>
    <w:rsid w:val="00D949D0"/>
    <w:rsid w:val="00D95DCB"/>
    <w:rsid w:val="00DA3B66"/>
    <w:rsid w:val="00DA4453"/>
    <w:rsid w:val="00DA6836"/>
    <w:rsid w:val="00DA733A"/>
    <w:rsid w:val="00DA7963"/>
    <w:rsid w:val="00DB2417"/>
    <w:rsid w:val="00DC05A3"/>
    <w:rsid w:val="00DC6A0C"/>
    <w:rsid w:val="00DE3CFA"/>
    <w:rsid w:val="00E03DB3"/>
    <w:rsid w:val="00E06757"/>
    <w:rsid w:val="00E1280F"/>
    <w:rsid w:val="00E178A3"/>
    <w:rsid w:val="00E17B2C"/>
    <w:rsid w:val="00E26EA1"/>
    <w:rsid w:val="00E277BD"/>
    <w:rsid w:val="00E27DEF"/>
    <w:rsid w:val="00E30081"/>
    <w:rsid w:val="00E32743"/>
    <w:rsid w:val="00E342C7"/>
    <w:rsid w:val="00E354F6"/>
    <w:rsid w:val="00E4317C"/>
    <w:rsid w:val="00E5258B"/>
    <w:rsid w:val="00E52FC1"/>
    <w:rsid w:val="00E53D4C"/>
    <w:rsid w:val="00E56BAE"/>
    <w:rsid w:val="00E609ED"/>
    <w:rsid w:val="00E63703"/>
    <w:rsid w:val="00E64DDC"/>
    <w:rsid w:val="00E704C6"/>
    <w:rsid w:val="00E775AC"/>
    <w:rsid w:val="00E77A47"/>
    <w:rsid w:val="00E77B98"/>
    <w:rsid w:val="00E8471E"/>
    <w:rsid w:val="00E874DF"/>
    <w:rsid w:val="00E90C15"/>
    <w:rsid w:val="00E91E8C"/>
    <w:rsid w:val="00E9220E"/>
    <w:rsid w:val="00E942DA"/>
    <w:rsid w:val="00E94EF3"/>
    <w:rsid w:val="00E959E9"/>
    <w:rsid w:val="00E95E00"/>
    <w:rsid w:val="00E97167"/>
    <w:rsid w:val="00EA3E8A"/>
    <w:rsid w:val="00EB1611"/>
    <w:rsid w:val="00EB468A"/>
    <w:rsid w:val="00EC01E6"/>
    <w:rsid w:val="00EC3657"/>
    <w:rsid w:val="00EC3DC1"/>
    <w:rsid w:val="00EC4845"/>
    <w:rsid w:val="00EC6CC2"/>
    <w:rsid w:val="00ED1C27"/>
    <w:rsid w:val="00ED5CDF"/>
    <w:rsid w:val="00ED6DCA"/>
    <w:rsid w:val="00ED75F9"/>
    <w:rsid w:val="00EF0944"/>
    <w:rsid w:val="00EF512F"/>
    <w:rsid w:val="00EF7BE7"/>
    <w:rsid w:val="00F05141"/>
    <w:rsid w:val="00F07267"/>
    <w:rsid w:val="00F1080C"/>
    <w:rsid w:val="00F1365F"/>
    <w:rsid w:val="00F148B8"/>
    <w:rsid w:val="00F167CB"/>
    <w:rsid w:val="00F16AA1"/>
    <w:rsid w:val="00F17300"/>
    <w:rsid w:val="00F2164E"/>
    <w:rsid w:val="00F22F9A"/>
    <w:rsid w:val="00F240EB"/>
    <w:rsid w:val="00F27FCE"/>
    <w:rsid w:val="00F315FE"/>
    <w:rsid w:val="00F31FE6"/>
    <w:rsid w:val="00F358AD"/>
    <w:rsid w:val="00F40B12"/>
    <w:rsid w:val="00F45BB8"/>
    <w:rsid w:val="00F53F80"/>
    <w:rsid w:val="00F5697E"/>
    <w:rsid w:val="00F66640"/>
    <w:rsid w:val="00F673A2"/>
    <w:rsid w:val="00F71A10"/>
    <w:rsid w:val="00F72A3E"/>
    <w:rsid w:val="00F74B67"/>
    <w:rsid w:val="00F7577B"/>
    <w:rsid w:val="00F8369F"/>
    <w:rsid w:val="00F83F4B"/>
    <w:rsid w:val="00F8679F"/>
    <w:rsid w:val="00F91296"/>
    <w:rsid w:val="00F91726"/>
    <w:rsid w:val="00F922F2"/>
    <w:rsid w:val="00F97DA9"/>
    <w:rsid w:val="00FA5FC5"/>
    <w:rsid w:val="00FB3B53"/>
    <w:rsid w:val="00FB551B"/>
    <w:rsid w:val="00FC69D9"/>
    <w:rsid w:val="00FD28C1"/>
    <w:rsid w:val="00FD7412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52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52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526"/>
    <w:rPr>
      <w:rFonts w:asciiTheme="minorHAnsi" w:eastAsiaTheme="minorHAnsi" w:hAnsiTheme="minorHAnsi" w:cstheme="minorBidi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752904"/>
    <w:pPr>
      <w:ind w:left="720"/>
      <w:contextualSpacing/>
    </w:pPr>
  </w:style>
  <w:style w:type="paragraph" w:styleId="berarbeitung">
    <w:name w:val="Revision"/>
    <w:hidden/>
    <w:uiPriority w:val="99"/>
    <w:semiHidden/>
    <w:rsid w:val="003E32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media/gpp/uploads/fact-sheet-industrie-und-logistikimmobilien-de--2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ermanpropertypartner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Britt Finke</cp:lastModifiedBy>
  <cp:revision>10</cp:revision>
  <cp:lastPrinted>2022-03-30T15:12:00Z</cp:lastPrinted>
  <dcterms:created xsi:type="dcterms:W3CDTF">2023-12-07T14:46:00Z</dcterms:created>
  <dcterms:modified xsi:type="dcterms:W3CDTF">2023-12-13T15:00:00Z</dcterms:modified>
</cp:coreProperties>
</file>