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E728" w14:textId="1670EA57" w:rsidR="00CA79D7" w:rsidRPr="0037108D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5179D5">
        <w:rPr>
          <w:rFonts w:ascii="Source Sans Pro" w:hAnsi="Source Sans Pro" w:cs="Source Sans Pro"/>
          <w:caps/>
          <w:color w:val="0086A8"/>
          <w:sz w:val="22"/>
          <w:szCs w:val="22"/>
        </w:rPr>
        <w:t>1-</w:t>
      </w:r>
      <w:r w:rsidR="00543259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  <w:r w:rsidR="001550FE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740EB7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  <w:r w:rsidR="00CA79D7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4973A980" w14:textId="01954FE0" w:rsidR="00A26415" w:rsidRPr="00387EEF" w:rsidRDefault="00034517" w:rsidP="002D1582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Flächenumsatz steigt leicht, Herausforderung</w:t>
      </w:r>
      <w:r w:rsidR="00A26415">
        <w:rPr>
          <w:rFonts w:ascii="Source Sans Pro" w:hAnsi="Source Sans Pro" w:cs="Source Sans Pro"/>
          <w:sz w:val="36"/>
          <w:szCs w:val="36"/>
        </w:rPr>
        <w:t xml:space="preserve"> b</w:t>
      </w:r>
      <w:r w:rsidR="00CA008E">
        <w:rPr>
          <w:rFonts w:ascii="Source Sans Pro" w:hAnsi="Source Sans Pro" w:cs="Source Sans Pro"/>
          <w:sz w:val="36"/>
          <w:szCs w:val="36"/>
        </w:rPr>
        <w:t>leibt</w:t>
      </w:r>
    </w:p>
    <w:p w14:paraId="743073FD" w14:textId="77777777" w:rsidR="003152C9" w:rsidRPr="00387EEF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647083E" w14:textId="78FA4AAD" w:rsidR="00CA79D7" w:rsidRPr="00CA79D7" w:rsidRDefault="005B52B7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2B738CB5" wp14:editId="00A61754">
            <wp:extent cx="3577544" cy="2116843"/>
            <wp:effectExtent l="19050" t="19050" r="23495" b="17145"/>
            <wp:docPr id="10456971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9716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44" cy="211684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C3BDF2" w14:textId="26D7D478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38BA2B79" w14:textId="39E585F1" w:rsidR="00641BF7" w:rsidRPr="00A30890" w:rsidRDefault="00543259" w:rsidP="002724CB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A30890">
        <w:rPr>
          <w:rFonts w:ascii="Source Sans Pro" w:hAnsi="Source Sans Pro" w:cs="Source Sans Pro"/>
          <w:color w:val="0087A8"/>
          <w:sz w:val="22"/>
          <w:szCs w:val="22"/>
        </w:rPr>
        <w:t>7</w:t>
      </w:r>
      <w:r w:rsidR="007D5A52" w:rsidRPr="00A30890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Pr="00A30890">
        <w:rPr>
          <w:rFonts w:ascii="Source Sans Pro" w:hAnsi="Source Sans Pro" w:cs="Source Sans Pro"/>
          <w:color w:val="0087A8"/>
          <w:sz w:val="22"/>
          <w:szCs w:val="22"/>
        </w:rPr>
        <w:t>Januar</w:t>
      </w:r>
      <w:r w:rsidR="00591D42" w:rsidRPr="00A30890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Pr="00A30890">
        <w:rPr>
          <w:rFonts w:ascii="Source Sans Pro" w:hAnsi="Source Sans Pro" w:cs="Source Sans Pro"/>
          <w:color w:val="0087A8"/>
          <w:sz w:val="22"/>
          <w:szCs w:val="22"/>
        </w:rPr>
        <w:t>5</w:t>
      </w:r>
      <w:r w:rsidR="007D5A52" w:rsidRPr="00A30890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B7165E" w:rsidRPr="00A30890">
        <w:rPr>
          <w:rFonts w:ascii="Source Sans Pro" w:hAnsi="Source Sans Pro" w:cs="Source Sans Pro"/>
          <w:color w:val="0087A8"/>
          <w:sz w:val="22"/>
          <w:szCs w:val="22"/>
        </w:rPr>
        <w:t xml:space="preserve"> </w:t>
      </w:r>
      <w:r w:rsidR="001A3369" w:rsidRPr="00A30890">
        <w:rPr>
          <w:rFonts w:ascii="Source Sans Pro" w:hAnsi="Source Sans Pro" w:cs="Arial"/>
          <w:bCs/>
          <w:color w:val="auto"/>
          <w:sz w:val="22"/>
          <w:szCs w:val="22"/>
        </w:rPr>
        <w:t xml:space="preserve">Zum </w:t>
      </w:r>
      <w:r w:rsidR="0018674C" w:rsidRPr="00A30890">
        <w:rPr>
          <w:rFonts w:ascii="Source Sans Pro" w:hAnsi="Source Sans Pro" w:cs="Arial"/>
          <w:bCs/>
          <w:color w:val="auto"/>
          <w:sz w:val="22"/>
          <w:szCs w:val="22"/>
        </w:rPr>
        <w:t>Jahresende</w:t>
      </w:r>
      <w:r w:rsidR="001A3369" w:rsidRPr="00A30890">
        <w:rPr>
          <w:rFonts w:ascii="Source Sans Pro" w:hAnsi="Source Sans Pro" w:cs="Arial"/>
          <w:bCs/>
          <w:color w:val="auto"/>
          <w:sz w:val="22"/>
          <w:szCs w:val="22"/>
        </w:rPr>
        <w:t xml:space="preserve"> 2024 belief sich der Flächenumsatz an den Top-7-Bürovermietungsmärkten </w:t>
      </w:r>
      <w:r w:rsidR="007316B6" w:rsidRPr="00A30890">
        <w:rPr>
          <w:rFonts w:ascii="Source Sans Pro" w:hAnsi="Source Sans Pro" w:cs="Arial"/>
          <w:bCs/>
          <w:color w:val="auto"/>
          <w:sz w:val="22"/>
          <w:szCs w:val="22"/>
        </w:rPr>
        <w:t>auf</w:t>
      </w:r>
      <w:r w:rsidR="001A3369" w:rsidRPr="00A30890">
        <w:rPr>
          <w:rFonts w:ascii="Source Sans Pro" w:hAnsi="Source Sans Pro" w:cs="Arial"/>
          <w:bCs/>
          <w:color w:val="auto"/>
          <w:sz w:val="22"/>
          <w:szCs w:val="22"/>
        </w:rPr>
        <w:t xml:space="preserve"> rund </w:t>
      </w:r>
      <w:r w:rsidR="00BD4A2C" w:rsidRPr="00A30890">
        <w:rPr>
          <w:rFonts w:ascii="Source Sans Pro" w:hAnsi="Source Sans Pro" w:cs="Source Sans Pro"/>
          <w:sz w:val="22"/>
          <w:szCs w:val="22"/>
        </w:rPr>
        <w:t>2,6 Mio.</w:t>
      </w:r>
      <w:r w:rsidR="001A3369" w:rsidRPr="00A30890">
        <w:rPr>
          <w:rFonts w:ascii="Source Sans Pro" w:hAnsi="Source Sans Pro" w:cs="Source Sans Pro"/>
          <w:sz w:val="22"/>
          <w:szCs w:val="22"/>
        </w:rPr>
        <w:t xml:space="preserve"> m²</w:t>
      </w:r>
      <w:r w:rsidR="0018674C" w:rsidRPr="00A30890">
        <w:rPr>
          <w:rFonts w:ascii="Source Sans Pro" w:hAnsi="Source Sans Pro" w:cs="Source Sans Pro"/>
          <w:sz w:val="22"/>
          <w:szCs w:val="22"/>
        </w:rPr>
        <w:t>. Damit lag er e</w:t>
      </w:r>
      <w:r w:rsidR="00A12F7A" w:rsidRPr="00A30890">
        <w:rPr>
          <w:rFonts w:ascii="Source Sans Pro" w:hAnsi="Source Sans Pro" w:cs="Source Sans Pro"/>
          <w:sz w:val="22"/>
          <w:szCs w:val="22"/>
        </w:rPr>
        <w:t>twa 8 % über dem Vorjahres</w:t>
      </w:r>
      <w:r w:rsidR="0018674C" w:rsidRPr="00A30890">
        <w:rPr>
          <w:rFonts w:ascii="Source Sans Pro" w:hAnsi="Source Sans Pro" w:cs="Source Sans Pro"/>
          <w:sz w:val="22"/>
          <w:szCs w:val="22"/>
        </w:rPr>
        <w:t xml:space="preserve">wert, </w:t>
      </w:r>
      <w:r w:rsidR="00A12F7A" w:rsidRPr="00A30890">
        <w:rPr>
          <w:rFonts w:ascii="Source Sans Pro" w:hAnsi="Source Sans Pro" w:cs="Source Sans Pro"/>
          <w:sz w:val="22"/>
          <w:szCs w:val="22"/>
        </w:rPr>
        <w:t>allerdings weiterhin deutlich unter dem Zehn-Jahres-Mittel von 3,</w:t>
      </w:r>
      <w:r w:rsidR="00A8753E">
        <w:rPr>
          <w:rFonts w:ascii="Source Sans Pro" w:hAnsi="Source Sans Pro" w:cs="Source Sans Pro"/>
          <w:sz w:val="22"/>
          <w:szCs w:val="22"/>
        </w:rPr>
        <w:t>3</w:t>
      </w:r>
      <w:r w:rsidR="00A12F7A" w:rsidRPr="00A30890">
        <w:rPr>
          <w:rFonts w:ascii="Source Sans Pro" w:hAnsi="Source Sans Pro" w:cs="Source Sans Pro"/>
          <w:sz w:val="22"/>
          <w:szCs w:val="22"/>
        </w:rPr>
        <w:t xml:space="preserve"> Mio. m²</w:t>
      </w:r>
      <w:r w:rsidR="0018674C" w:rsidRPr="00A30890">
        <w:rPr>
          <w:rFonts w:ascii="Source Sans Pro" w:hAnsi="Source Sans Pro" w:cs="Source Sans Pro"/>
          <w:sz w:val="22"/>
          <w:szCs w:val="22"/>
        </w:rPr>
        <w:t>. „</w:t>
      </w:r>
      <w:r w:rsidR="0018674C" w:rsidRPr="00A30890">
        <w:rPr>
          <w:rFonts w:ascii="Source Sans Pro" w:hAnsi="Source Sans Pro" w:cs="Source Sans Pro"/>
          <w:i/>
          <w:iCs/>
          <w:sz w:val="22"/>
          <w:szCs w:val="22"/>
        </w:rPr>
        <w:t xml:space="preserve">Erwartungsgemäß fiel das Top-7-Jahresergebnis verhalten aus. </w:t>
      </w:r>
      <w:r w:rsidR="002724CB" w:rsidRPr="00A30890">
        <w:rPr>
          <w:rFonts w:ascii="Source Sans Pro" w:hAnsi="Source Sans Pro" w:cs="Source Sans Pro"/>
          <w:i/>
          <w:iCs/>
          <w:sz w:val="22"/>
          <w:szCs w:val="22"/>
        </w:rPr>
        <w:t xml:space="preserve">Die </w:t>
      </w:r>
      <w:r w:rsidR="002724CB" w:rsidRPr="003A06A9">
        <w:rPr>
          <w:rFonts w:ascii="Source Sans Pro" w:hAnsi="Source Sans Pro" w:cs="Source Sans Pro"/>
          <w:i/>
          <w:iCs/>
          <w:sz w:val="22"/>
          <w:szCs w:val="22"/>
        </w:rPr>
        <w:t>anhaltende</w:t>
      </w:r>
      <w:r w:rsidR="002724CB" w:rsidRPr="00A30890">
        <w:rPr>
          <w:rFonts w:ascii="Source Sans Pro" w:hAnsi="Source Sans Pro" w:cs="Source Sans Pro"/>
          <w:i/>
          <w:iCs/>
          <w:sz w:val="22"/>
          <w:szCs w:val="22"/>
        </w:rPr>
        <w:t xml:space="preserve"> wirtschaftliche Unsicherheit sorgte weiterhin für mangelnde Planbarkeit sowie finanzielle Unsicherheit und bremste auch im vierten Quartal die Aktivität am Markt</w:t>
      </w:r>
      <w:r w:rsidR="0018674C" w:rsidRPr="00A30890">
        <w:rPr>
          <w:rFonts w:ascii="Source Sans Pro" w:hAnsi="Source Sans Pro" w:cs="Source Sans Pro"/>
          <w:i/>
          <w:iCs/>
          <w:sz w:val="22"/>
          <w:szCs w:val="22"/>
        </w:rPr>
        <w:t>“,</w:t>
      </w:r>
      <w:r w:rsidR="0018674C" w:rsidRPr="00A30890">
        <w:rPr>
          <w:rFonts w:ascii="Source Sans Pro" w:hAnsi="Source Sans Pro" w:cs="Source Sans Pro"/>
          <w:sz w:val="22"/>
          <w:szCs w:val="22"/>
        </w:rPr>
        <w:t xml:space="preserve"> kommentiert</w:t>
      </w:r>
      <w:r w:rsidR="0018674C" w:rsidRPr="00A30890">
        <w:rPr>
          <w:rFonts w:ascii="Source Sans Pro" w:hAnsi="Source Sans Pro" w:cs="Source Sans Pro"/>
          <w:b/>
          <w:sz w:val="22"/>
          <w:szCs w:val="22"/>
        </w:rPr>
        <w:t xml:space="preserve"> Björn Holzwarth</w:t>
      </w:r>
      <w:r w:rsidR="0018674C" w:rsidRPr="00A30890">
        <w:rPr>
          <w:rFonts w:ascii="Source Sans Pro" w:hAnsi="Source Sans Pro" w:cs="Source Sans Pro"/>
          <w:sz w:val="22"/>
          <w:szCs w:val="22"/>
        </w:rPr>
        <w:t xml:space="preserve">, Sprecher von German Property Partners (GPP). </w:t>
      </w:r>
      <w:r w:rsidR="0018674C" w:rsidRPr="003A06A9">
        <w:rPr>
          <w:rFonts w:ascii="Source Sans Pro" w:hAnsi="Source Sans Pro" w:cs="Source Sans Pro"/>
          <w:i/>
          <w:sz w:val="22"/>
          <w:szCs w:val="22"/>
        </w:rPr>
        <w:t xml:space="preserve">„Öffentliche Einrichtungen, die </w:t>
      </w:r>
      <w:r w:rsidR="002724CB" w:rsidRPr="003A06A9">
        <w:rPr>
          <w:rFonts w:ascii="Source Sans Pro" w:hAnsi="Source Sans Pro" w:cs="Source Sans Pro"/>
          <w:i/>
          <w:sz w:val="22"/>
          <w:szCs w:val="22"/>
        </w:rPr>
        <w:t>trotz</w:t>
      </w:r>
      <w:r w:rsidR="0018674C" w:rsidRPr="003A06A9">
        <w:rPr>
          <w:rFonts w:ascii="Source Sans Pro" w:hAnsi="Source Sans Pro" w:cs="Source Sans Pro"/>
          <w:i/>
          <w:sz w:val="22"/>
          <w:szCs w:val="22"/>
        </w:rPr>
        <w:t xml:space="preserve"> der </w:t>
      </w:r>
      <w:r w:rsidR="002724CB" w:rsidRPr="003A06A9">
        <w:rPr>
          <w:rFonts w:ascii="Source Sans Pro" w:hAnsi="Source Sans Pro" w:cs="Source Sans Pro"/>
          <w:i/>
          <w:sz w:val="22"/>
          <w:szCs w:val="22"/>
        </w:rPr>
        <w:t>schwachen Konjunktur</w:t>
      </w:r>
      <w:r w:rsidR="0018674C" w:rsidRPr="003A06A9">
        <w:rPr>
          <w:rFonts w:ascii="Source Sans Pro" w:hAnsi="Source Sans Pro" w:cs="Source Sans Pro"/>
          <w:i/>
          <w:sz w:val="22"/>
          <w:szCs w:val="22"/>
        </w:rPr>
        <w:t xml:space="preserve"> agieren können, machten </w:t>
      </w:r>
      <w:r w:rsidR="003A06A9">
        <w:rPr>
          <w:rFonts w:ascii="Source Sans Pro" w:hAnsi="Source Sans Pro" w:cs="Source Sans Pro"/>
          <w:i/>
          <w:sz w:val="22"/>
          <w:szCs w:val="22"/>
        </w:rPr>
        <w:t>nach wie vor</w:t>
      </w:r>
      <w:r w:rsidR="0018674C" w:rsidRPr="003A06A9">
        <w:rPr>
          <w:rFonts w:ascii="Source Sans Pro" w:hAnsi="Source Sans Pro" w:cs="Source Sans Pro"/>
          <w:i/>
          <w:sz w:val="22"/>
          <w:szCs w:val="22"/>
        </w:rPr>
        <w:t xml:space="preserve"> die Mehrheit der größten Anmietungen aus. An einigen Standorten nahm die Anzahl an großvolumigen Abschlüsse</w:t>
      </w:r>
      <w:r w:rsidR="00A26415">
        <w:rPr>
          <w:rFonts w:ascii="Source Sans Pro" w:hAnsi="Source Sans Pro" w:cs="Source Sans Pro"/>
          <w:i/>
          <w:sz w:val="22"/>
          <w:szCs w:val="22"/>
        </w:rPr>
        <w:t>n</w:t>
      </w:r>
      <w:r w:rsidR="0018674C" w:rsidRPr="003A06A9">
        <w:rPr>
          <w:rFonts w:ascii="Source Sans Pro" w:hAnsi="Source Sans Pro" w:cs="Source Sans Pro"/>
          <w:i/>
          <w:sz w:val="22"/>
          <w:szCs w:val="22"/>
        </w:rPr>
        <w:t xml:space="preserve"> etwas zu, insgesamt setzte sich aber der Trend zu kleineren, hochwertigen Flächen in zentralen Lagen fort.“</w:t>
      </w:r>
    </w:p>
    <w:p w14:paraId="693FED17" w14:textId="77777777" w:rsidR="007C7AF9" w:rsidRPr="00A30890" w:rsidRDefault="007C7AF9" w:rsidP="007C7AF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76BE26BD" w14:textId="06C0AE28" w:rsidR="002B7C7C" w:rsidRDefault="002724CB" w:rsidP="00F65BF2">
      <w:pPr>
        <w:pStyle w:val="EinfAbs"/>
        <w:numPr>
          <w:ilvl w:val="0"/>
          <w:numId w:val="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 w:rsidRPr="00A30890">
        <w:rPr>
          <w:rFonts w:ascii="Source Sans Pro" w:hAnsi="Source Sans Pro" w:cs="Source Sans Pro"/>
          <w:sz w:val="22"/>
          <w:szCs w:val="22"/>
        </w:rPr>
        <w:t xml:space="preserve">Die </w:t>
      </w:r>
      <w:r w:rsidR="00C1484F" w:rsidRPr="00A30890">
        <w:rPr>
          <w:rFonts w:ascii="Source Sans Pro" w:hAnsi="Source Sans Pro" w:cs="Source Sans Pro"/>
          <w:sz w:val="22"/>
          <w:szCs w:val="22"/>
        </w:rPr>
        <w:t>Flächenumsätze</w:t>
      </w:r>
      <w:r w:rsidRPr="00A30890">
        <w:rPr>
          <w:rFonts w:ascii="Source Sans Pro" w:hAnsi="Source Sans Pro" w:cs="Source Sans Pro"/>
          <w:sz w:val="22"/>
          <w:szCs w:val="22"/>
        </w:rPr>
        <w:t xml:space="preserve"> der Top-7-Standorte entwickelten sich unterschiedlich:</w:t>
      </w:r>
      <w:r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Pr="00A30890">
        <w:rPr>
          <w:rFonts w:ascii="Source Sans Pro" w:hAnsi="Source Sans Pro" w:cs="Source Sans Pro"/>
          <w:sz w:val="22"/>
          <w:szCs w:val="22"/>
        </w:rPr>
        <w:t>Ein starkes Plus im Vorjahresvergleich zeigte sich</w:t>
      </w:r>
      <w:r w:rsidR="002B7C7C">
        <w:rPr>
          <w:rFonts w:ascii="Source Sans Pro" w:hAnsi="Source Sans Pro" w:cs="Source Sans Pro"/>
          <w:sz w:val="22"/>
          <w:szCs w:val="22"/>
        </w:rPr>
        <w:t xml:space="preserve"> in München</w:t>
      </w:r>
      <w:r w:rsidR="00F76590" w:rsidRPr="00A30890">
        <w:rPr>
          <w:rFonts w:ascii="Source Sans Pro" w:hAnsi="Source Sans Pro" w:cs="Source Sans Pro"/>
          <w:sz w:val="22"/>
          <w:szCs w:val="22"/>
        </w:rPr>
        <w:t xml:space="preserve"> (+33 % auf 602.000 m²) und Stuttgart (+28 % auf 2</w:t>
      </w:r>
      <w:r w:rsidR="002B7C7C">
        <w:rPr>
          <w:rFonts w:ascii="Source Sans Pro" w:hAnsi="Source Sans Pro" w:cs="Source Sans Pro"/>
          <w:sz w:val="22"/>
          <w:szCs w:val="22"/>
        </w:rPr>
        <w:t>01.000 m²). In der bayerischen Landesh</w:t>
      </w:r>
      <w:r w:rsidR="00F76590" w:rsidRPr="00A30890">
        <w:rPr>
          <w:rFonts w:ascii="Source Sans Pro" w:hAnsi="Source Sans Pro" w:cs="Source Sans Pro"/>
          <w:sz w:val="22"/>
          <w:szCs w:val="22"/>
        </w:rPr>
        <w:t xml:space="preserve">auptstadt registrierte GPP zudem </w:t>
      </w:r>
      <w:r w:rsidRPr="00A30890">
        <w:rPr>
          <w:rFonts w:ascii="Source Sans Pro" w:hAnsi="Source Sans Pro" w:cs="Source Sans Pro"/>
          <w:sz w:val="22"/>
          <w:szCs w:val="22"/>
        </w:rPr>
        <w:t xml:space="preserve">den höchsten </w:t>
      </w:r>
      <w:r w:rsidRPr="00A30890">
        <w:rPr>
          <w:rFonts w:ascii="Source Sans Pro" w:hAnsi="Source Sans Pro" w:cs="Source Sans Pro"/>
          <w:sz w:val="22"/>
          <w:szCs w:val="22"/>
        </w:rPr>
        <w:t xml:space="preserve">Flächenumsatz </w:t>
      </w:r>
      <w:r w:rsidR="00F76590" w:rsidRPr="00A30890">
        <w:rPr>
          <w:rFonts w:ascii="Source Sans Pro" w:hAnsi="Source Sans Pro" w:cs="Source Sans Pro"/>
          <w:sz w:val="22"/>
          <w:szCs w:val="22"/>
        </w:rPr>
        <w:t>im Top-7-Vergleich.</w:t>
      </w:r>
      <w:r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F76590" w:rsidRPr="00A30890">
        <w:rPr>
          <w:rFonts w:ascii="Source Sans Pro" w:hAnsi="Source Sans Pro" w:cs="Source Sans Pro"/>
          <w:sz w:val="22"/>
          <w:szCs w:val="22"/>
        </w:rPr>
        <w:t xml:space="preserve">An einigen Standorten </w:t>
      </w:r>
      <w:r w:rsidR="002B7C7C">
        <w:rPr>
          <w:rFonts w:ascii="Source Sans Pro" w:hAnsi="Source Sans Pro" w:cs="Source Sans Pro"/>
          <w:sz w:val="22"/>
          <w:szCs w:val="22"/>
        </w:rPr>
        <w:t>war</w:t>
      </w:r>
      <w:r w:rsidR="00F76590" w:rsidRPr="00A30890">
        <w:rPr>
          <w:rFonts w:ascii="Source Sans Pro" w:hAnsi="Source Sans Pro" w:cs="Source Sans Pro"/>
          <w:sz w:val="22"/>
          <w:szCs w:val="22"/>
        </w:rPr>
        <w:t xml:space="preserve"> </w:t>
      </w:r>
      <w:r w:rsidR="002B7C7C">
        <w:rPr>
          <w:rFonts w:ascii="Source Sans Pro" w:hAnsi="Source Sans Pro" w:cs="Source Sans Pro"/>
          <w:sz w:val="22"/>
          <w:szCs w:val="22"/>
        </w:rPr>
        <w:t>der Umsatz</w:t>
      </w:r>
      <w:r w:rsidRPr="00A30890">
        <w:rPr>
          <w:rFonts w:ascii="Source Sans Pro" w:hAnsi="Source Sans Pro" w:cs="Source Sans Pro"/>
          <w:sz w:val="22"/>
          <w:szCs w:val="22"/>
        </w:rPr>
        <w:t xml:space="preserve"> </w:t>
      </w:r>
      <w:r w:rsidR="00F76590" w:rsidRPr="00A30890">
        <w:rPr>
          <w:rFonts w:ascii="Source Sans Pro" w:hAnsi="Source Sans Pro" w:cs="Source Sans Pro"/>
          <w:sz w:val="22"/>
          <w:szCs w:val="22"/>
        </w:rPr>
        <w:t xml:space="preserve">hingegen </w:t>
      </w:r>
      <w:r w:rsidR="002B7C7C">
        <w:rPr>
          <w:rFonts w:ascii="Source Sans Pro" w:hAnsi="Source Sans Pro" w:cs="Source Sans Pro"/>
          <w:sz w:val="22"/>
          <w:szCs w:val="22"/>
        </w:rPr>
        <w:t>r</w:t>
      </w:r>
      <w:r w:rsidRPr="00A30890">
        <w:rPr>
          <w:rFonts w:ascii="Source Sans Pro" w:hAnsi="Source Sans Pro" w:cs="Source Sans Pro"/>
          <w:sz w:val="22"/>
          <w:szCs w:val="22"/>
        </w:rPr>
        <w:t>ück</w:t>
      </w:r>
      <w:r w:rsidR="002B7C7C">
        <w:rPr>
          <w:rFonts w:ascii="Source Sans Pro" w:hAnsi="Source Sans Pro" w:cs="Source Sans Pro"/>
          <w:sz w:val="22"/>
          <w:szCs w:val="22"/>
        </w:rPr>
        <w:t>läufig</w:t>
      </w:r>
      <w:r w:rsidRPr="00A30890">
        <w:rPr>
          <w:rFonts w:ascii="Source Sans Pro" w:hAnsi="Source Sans Pro" w:cs="Source Sans Pro"/>
          <w:sz w:val="22"/>
          <w:szCs w:val="22"/>
        </w:rPr>
        <w:t>.</w:t>
      </w:r>
      <w:r w:rsidR="00F76590" w:rsidRPr="00A30890">
        <w:rPr>
          <w:rFonts w:ascii="Source Sans Pro" w:hAnsi="Source Sans Pro" w:cs="Source Sans Pro"/>
          <w:sz w:val="22"/>
          <w:szCs w:val="22"/>
        </w:rPr>
        <w:t xml:space="preserve"> Düsseldorf verzeichnete das deutlichste Minus um </w:t>
      </w:r>
      <w:r w:rsidR="00184329">
        <w:rPr>
          <w:rFonts w:ascii="Source Sans Pro" w:hAnsi="Source Sans Pro" w:cs="Source Sans Pro"/>
          <w:sz w:val="22"/>
          <w:szCs w:val="22"/>
        </w:rPr>
        <w:t xml:space="preserve">rund </w:t>
      </w:r>
      <w:r w:rsidR="00F76590" w:rsidRPr="00A30890">
        <w:rPr>
          <w:rFonts w:ascii="Source Sans Pro" w:hAnsi="Source Sans Pro" w:cs="Source Sans Pro"/>
          <w:sz w:val="22"/>
          <w:szCs w:val="22"/>
        </w:rPr>
        <w:t xml:space="preserve">15 % auf 209.100 m². Auch in Hamburg (-7 % auf 425.000 m²) und Frankfurt (-5 % auf 366.000 m²) sank </w:t>
      </w:r>
      <w:r w:rsidRPr="00A30890">
        <w:rPr>
          <w:rFonts w:ascii="Source Sans Pro" w:hAnsi="Source Sans Pro" w:cs="Source Sans Pro"/>
          <w:sz w:val="22"/>
          <w:szCs w:val="22"/>
        </w:rPr>
        <w:t>der Flächenumsatz</w:t>
      </w:r>
      <w:r w:rsidR="00F76590" w:rsidRPr="00A30890">
        <w:rPr>
          <w:rFonts w:ascii="Source Sans Pro" w:hAnsi="Source Sans Pro" w:cs="Source Sans Pro"/>
          <w:sz w:val="22"/>
          <w:szCs w:val="22"/>
        </w:rPr>
        <w:t>.</w:t>
      </w:r>
    </w:p>
    <w:p w14:paraId="77D998B2" w14:textId="058AA21A" w:rsidR="004B712D" w:rsidRPr="00A30890" w:rsidRDefault="002B7C7C" w:rsidP="00F65BF2">
      <w:pPr>
        <w:pStyle w:val="EinfAbs"/>
        <w:numPr>
          <w:ilvl w:val="0"/>
          <w:numId w:val="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An allen Standorten </w:t>
      </w:r>
      <w:r w:rsidR="00F46315">
        <w:rPr>
          <w:rFonts w:ascii="Source Sans Pro" w:hAnsi="Source Sans Pro" w:cs="Arial"/>
          <w:bCs/>
          <w:sz w:val="22"/>
          <w:szCs w:val="22"/>
        </w:rPr>
        <w:t>nahm</w:t>
      </w:r>
      <w:r>
        <w:rPr>
          <w:rFonts w:ascii="Source Sans Pro" w:hAnsi="Source Sans Pro" w:cs="Arial"/>
          <w:bCs/>
          <w:sz w:val="22"/>
          <w:szCs w:val="22"/>
        </w:rPr>
        <w:t xml:space="preserve"> der</w:t>
      </w:r>
      <w:r w:rsidR="002724CB"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223B49" w:rsidRPr="00A30890">
        <w:rPr>
          <w:rFonts w:ascii="Source Sans Pro" w:hAnsi="Source Sans Pro" w:cs="Arial"/>
          <w:bCs/>
          <w:sz w:val="22"/>
          <w:szCs w:val="22"/>
        </w:rPr>
        <w:t xml:space="preserve">Leerstand </w:t>
      </w:r>
      <w:r>
        <w:rPr>
          <w:rFonts w:ascii="Source Sans Pro" w:hAnsi="Source Sans Pro" w:cs="Arial"/>
          <w:bCs/>
          <w:sz w:val="22"/>
          <w:szCs w:val="22"/>
        </w:rPr>
        <w:t xml:space="preserve">weiter </w:t>
      </w:r>
      <w:r w:rsidR="00F46315">
        <w:rPr>
          <w:rFonts w:ascii="Source Sans Pro" w:hAnsi="Source Sans Pro" w:cs="Arial"/>
          <w:bCs/>
          <w:sz w:val="22"/>
          <w:szCs w:val="22"/>
        </w:rPr>
        <w:t>zu</w:t>
      </w:r>
      <w:r w:rsidR="002724CB" w:rsidRPr="00A30890">
        <w:rPr>
          <w:rFonts w:ascii="Source Sans Pro" w:hAnsi="Source Sans Pro" w:cs="Arial"/>
          <w:bCs/>
          <w:sz w:val="22"/>
          <w:szCs w:val="22"/>
        </w:rPr>
        <w:t xml:space="preserve">. </w:t>
      </w:r>
      <w:r w:rsidR="00F65BF2" w:rsidRPr="00A30890">
        <w:rPr>
          <w:rFonts w:ascii="Source Sans Pro" w:hAnsi="Source Sans Pro" w:cs="Arial"/>
          <w:bCs/>
          <w:sz w:val="22"/>
          <w:szCs w:val="22"/>
        </w:rPr>
        <w:t xml:space="preserve">Der 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 xml:space="preserve">Top-7-Wert </w:t>
      </w:r>
      <w:r w:rsidR="00F46315">
        <w:rPr>
          <w:rFonts w:ascii="Source Sans Pro" w:hAnsi="Source Sans Pro" w:cs="Arial"/>
          <w:bCs/>
          <w:sz w:val="22"/>
          <w:szCs w:val="22"/>
        </w:rPr>
        <w:t>stieg um rund 21 %</w:t>
      </w:r>
      <w:r w:rsidR="00F65BF2" w:rsidRPr="00A30890">
        <w:rPr>
          <w:rFonts w:ascii="Source Sans Pro" w:hAnsi="Source Sans Pro" w:cs="Arial"/>
          <w:bCs/>
          <w:sz w:val="22"/>
          <w:szCs w:val="22"/>
        </w:rPr>
        <w:t>, e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 xml:space="preserve">ntsprechend </w:t>
      </w:r>
      <w:r>
        <w:rPr>
          <w:rFonts w:ascii="Source Sans Pro" w:hAnsi="Source Sans Pro" w:cs="Arial"/>
          <w:bCs/>
          <w:sz w:val="22"/>
          <w:szCs w:val="22"/>
        </w:rPr>
        <w:t>erhöhte sich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 xml:space="preserve"> die Top-7-Leerstand</w:t>
      </w:r>
      <w:r w:rsidR="00F46315">
        <w:rPr>
          <w:rFonts w:ascii="Source Sans Pro" w:hAnsi="Source Sans Pro" w:cs="Arial"/>
          <w:bCs/>
          <w:sz w:val="22"/>
          <w:szCs w:val="22"/>
        </w:rPr>
        <w:t>squote um 1,23 %-Punkte auf 7,3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 xml:space="preserve"> %</w:t>
      </w:r>
      <w:r w:rsidR="00F65BF2" w:rsidRPr="00A30890">
        <w:rPr>
          <w:rFonts w:ascii="Source Sans Pro" w:hAnsi="Source Sans Pro" w:cs="Arial"/>
          <w:bCs/>
          <w:sz w:val="22"/>
          <w:szCs w:val="22"/>
        </w:rPr>
        <w:t>.</w:t>
      </w:r>
    </w:p>
    <w:p w14:paraId="788DF05A" w14:textId="08B0C5EF" w:rsidR="00F65BF2" w:rsidRPr="00A30890" w:rsidRDefault="002B7C7C" w:rsidP="00F65BF2">
      <w:pPr>
        <w:pStyle w:val="EinfAbs"/>
        <w:numPr>
          <w:ilvl w:val="0"/>
          <w:numId w:val="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I</w:t>
      </w:r>
      <w:r w:rsidRPr="00A30890">
        <w:rPr>
          <w:rFonts w:ascii="Source Sans Pro" w:hAnsi="Source Sans Pro" w:cs="Arial"/>
          <w:bCs/>
          <w:sz w:val="22"/>
          <w:szCs w:val="22"/>
        </w:rPr>
        <w:t xml:space="preserve">m Vorjahresvergleich </w:t>
      </w:r>
      <w:r w:rsidRPr="002B7C7C">
        <w:rPr>
          <w:rFonts w:ascii="Source Sans Pro" w:hAnsi="Source Sans Pro" w:cs="Arial"/>
          <w:bCs/>
          <w:sz w:val="22"/>
          <w:szCs w:val="22"/>
        </w:rPr>
        <w:t>kletterte</w:t>
      </w:r>
      <w:r w:rsidR="00F76590"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D40A7B">
        <w:rPr>
          <w:rFonts w:ascii="Source Sans Pro" w:hAnsi="Source Sans Pro" w:cs="Arial"/>
          <w:bCs/>
          <w:sz w:val="22"/>
          <w:szCs w:val="22"/>
        </w:rPr>
        <w:t xml:space="preserve">die </w:t>
      </w:r>
      <w:r w:rsidR="001A3369" w:rsidRPr="00A30890">
        <w:rPr>
          <w:rFonts w:ascii="Source Sans Pro" w:hAnsi="Source Sans Pro" w:cs="Arial"/>
          <w:bCs/>
          <w:sz w:val="22"/>
          <w:szCs w:val="22"/>
        </w:rPr>
        <w:t>Top-7-Eigennutzerquote</w:t>
      </w:r>
      <w:r w:rsidR="00223B49"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F76590" w:rsidRPr="00A30890">
        <w:rPr>
          <w:rFonts w:ascii="Source Sans Pro" w:hAnsi="Source Sans Pro" w:cs="Arial"/>
          <w:bCs/>
          <w:sz w:val="22"/>
          <w:szCs w:val="22"/>
        </w:rPr>
        <w:t xml:space="preserve">um 3,3 %-Punkte auf 10 %. 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 xml:space="preserve">Den höchsten Wert von </w:t>
      </w:r>
      <w:r w:rsidR="0080233C">
        <w:rPr>
          <w:rFonts w:ascii="Source Sans Pro" w:hAnsi="Source Sans Pro" w:cs="Arial"/>
          <w:bCs/>
          <w:sz w:val="22"/>
          <w:szCs w:val="22"/>
        </w:rPr>
        <w:t>29</w:t>
      </w:r>
      <w:r w:rsidR="0080233C" w:rsidRPr="00A30890">
        <w:rPr>
          <w:rFonts w:ascii="Source Sans Pro" w:hAnsi="Source Sans Pro" w:cs="Arial"/>
          <w:bCs/>
          <w:sz w:val="22"/>
          <w:szCs w:val="22"/>
        </w:rPr>
        <w:t xml:space="preserve"> % 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>erhob GPP in</w:t>
      </w:r>
      <w:r w:rsidR="00F76590"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>Köln. Dies l</w:t>
      </w:r>
      <w:r>
        <w:rPr>
          <w:rFonts w:ascii="Source Sans Pro" w:hAnsi="Source Sans Pro" w:cs="Arial"/>
          <w:bCs/>
          <w:sz w:val="22"/>
          <w:szCs w:val="22"/>
        </w:rPr>
        <w:t>ässt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 xml:space="preserve"> sich </w:t>
      </w:r>
      <w:r w:rsidR="00F65BF2" w:rsidRPr="00A30890">
        <w:rPr>
          <w:rFonts w:ascii="Source Sans Pro" w:hAnsi="Source Sans Pro" w:cs="Arial"/>
          <w:bCs/>
          <w:sz w:val="22"/>
          <w:szCs w:val="22"/>
        </w:rPr>
        <w:t>vor allem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F65BF2" w:rsidRPr="00A30890">
        <w:rPr>
          <w:rFonts w:ascii="Source Sans Pro" w:hAnsi="Source Sans Pro" w:cs="Arial"/>
          <w:bCs/>
          <w:sz w:val="22"/>
          <w:szCs w:val="22"/>
        </w:rPr>
        <w:t xml:space="preserve">auf den Eigennutzerkauf des Neubaus „ROSSIO“ durch die Stadt Köln sowie den Baustart des Landschaftsverbands Rheinland 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>zurückführen.</w:t>
      </w:r>
      <w:r w:rsidR="004B712D" w:rsidRPr="00A30890">
        <w:rPr>
          <w:rFonts w:ascii="Source Sans Pro" w:hAnsi="Source Sans Pro" w:cs="Arial"/>
          <w:bCs/>
          <w:sz w:val="22"/>
          <w:szCs w:val="22"/>
        </w:rPr>
        <w:tab/>
      </w:r>
    </w:p>
    <w:p w14:paraId="3CE551BE" w14:textId="33DFCAD3" w:rsidR="00F65BF2" w:rsidRPr="00A30890" w:rsidRDefault="00F65BF2" w:rsidP="00F65BF2">
      <w:pPr>
        <w:pStyle w:val="EinfAbs"/>
        <w:numPr>
          <w:ilvl w:val="0"/>
          <w:numId w:val="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A30890">
        <w:rPr>
          <w:rFonts w:ascii="Source Sans Pro" w:hAnsi="Source Sans Pro" w:cs="Arial"/>
          <w:bCs/>
          <w:sz w:val="22"/>
          <w:szCs w:val="22"/>
        </w:rPr>
        <w:t xml:space="preserve">Die </w:t>
      </w:r>
      <w:r w:rsidR="001A3369" w:rsidRPr="00A30890">
        <w:rPr>
          <w:rFonts w:ascii="Source Sans Pro" w:hAnsi="Source Sans Pro" w:cs="Arial"/>
          <w:bCs/>
          <w:sz w:val="22"/>
          <w:szCs w:val="22"/>
        </w:rPr>
        <w:t>Durchschnittsmieten</w:t>
      </w:r>
      <w:r w:rsidRPr="00A30890">
        <w:rPr>
          <w:rFonts w:ascii="Source Sans Pro" w:hAnsi="Source Sans Pro" w:cs="Arial"/>
          <w:bCs/>
          <w:sz w:val="22"/>
          <w:szCs w:val="22"/>
        </w:rPr>
        <w:t xml:space="preserve"> zeigten ein gemischtes Bild. </w:t>
      </w:r>
      <w:r w:rsidRPr="00A30890">
        <w:rPr>
          <w:rFonts w:ascii="Source Sans Pro" w:hAnsi="Source Sans Pro" w:cs="Source Sans Pro"/>
          <w:sz w:val="22"/>
          <w:szCs w:val="22"/>
        </w:rPr>
        <w:t xml:space="preserve">Einen deutlichen Anstieg registrierte GPP </w:t>
      </w:r>
      <w:r w:rsidR="003907D7" w:rsidRPr="00A30890">
        <w:rPr>
          <w:rFonts w:ascii="Source Sans Pro" w:hAnsi="Source Sans Pro" w:cs="Arial"/>
          <w:bCs/>
          <w:sz w:val="22"/>
          <w:szCs w:val="22"/>
        </w:rPr>
        <w:t>in Stuttgart (+29 % auf 22,40 €/m²/Monat) und Frankfurt (+11</w:t>
      </w:r>
      <w:r w:rsidR="00361CB7">
        <w:rPr>
          <w:rFonts w:ascii="Source Sans Pro" w:hAnsi="Source Sans Pro" w:cs="Arial"/>
          <w:bCs/>
          <w:sz w:val="22"/>
          <w:szCs w:val="22"/>
        </w:rPr>
        <w:t xml:space="preserve"> %</w:t>
      </w:r>
      <w:r w:rsidR="003907D7" w:rsidRPr="00A30890">
        <w:rPr>
          <w:rFonts w:ascii="Source Sans Pro" w:hAnsi="Source Sans Pro" w:cs="Arial"/>
          <w:bCs/>
          <w:sz w:val="22"/>
          <w:szCs w:val="22"/>
        </w:rPr>
        <w:t xml:space="preserve"> auf 25,40 €/m²/Monat)</w:t>
      </w:r>
      <w:r w:rsidRPr="00A30890">
        <w:rPr>
          <w:rFonts w:ascii="Source Sans Pro" w:hAnsi="Source Sans Pro" w:cs="Arial"/>
          <w:bCs/>
          <w:sz w:val="22"/>
          <w:szCs w:val="22"/>
        </w:rPr>
        <w:t xml:space="preserve">. Hierfür sorgte unter anderem </w:t>
      </w:r>
      <w:r w:rsidRPr="00A30890">
        <w:rPr>
          <w:rFonts w:ascii="Source Sans Pro" w:hAnsi="Source Sans Pro" w:cs="Arial"/>
          <w:bCs/>
          <w:sz w:val="22"/>
          <w:szCs w:val="22"/>
        </w:rPr>
        <w:t>eine Zunahme an Mietverträgen in Neubauprojekten.</w:t>
      </w:r>
      <w:r w:rsidR="003907D7"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40133F">
        <w:rPr>
          <w:rFonts w:ascii="Source Sans Pro" w:hAnsi="Source Sans Pro" w:cs="Arial"/>
          <w:bCs/>
          <w:sz w:val="22"/>
          <w:szCs w:val="22"/>
        </w:rPr>
        <w:t>Düsseldorf</w:t>
      </w:r>
      <w:r w:rsidR="0040133F"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Pr="00A30890">
        <w:rPr>
          <w:rFonts w:ascii="Source Sans Pro" w:hAnsi="Source Sans Pro" w:cs="Arial"/>
          <w:bCs/>
          <w:sz w:val="22"/>
          <w:szCs w:val="22"/>
        </w:rPr>
        <w:t>verzeichnete</w:t>
      </w:r>
      <w:r w:rsidR="003907D7" w:rsidRPr="00A3089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40133F">
        <w:rPr>
          <w:rFonts w:ascii="Source Sans Pro" w:hAnsi="Source Sans Pro" w:cs="Arial"/>
          <w:bCs/>
          <w:sz w:val="22"/>
          <w:szCs w:val="22"/>
        </w:rPr>
        <w:t>einen leichten</w:t>
      </w:r>
      <w:r w:rsidR="003907D7" w:rsidRPr="00A30890">
        <w:rPr>
          <w:rFonts w:ascii="Source Sans Pro" w:hAnsi="Source Sans Pro" w:cs="Arial"/>
          <w:bCs/>
          <w:sz w:val="22"/>
          <w:szCs w:val="22"/>
        </w:rPr>
        <w:t xml:space="preserve"> Rückgang um rund 8 % auf </w:t>
      </w:r>
      <w:r w:rsidR="0040133F">
        <w:rPr>
          <w:rFonts w:ascii="Source Sans Pro" w:hAnsi="Source Sans Pro" w:cs="Arial"/>
          <w:bCs/>
          <w:sz w:val="22"/>
          <w:szCs w:val="22"/>
        </w:rPr>
        <w:t>19,50</w:t>
      </w:r>
      <w:r w:rsidR="003907D7" w:rsidRPr="00A30890">
        <w:rPr>
          <w:rFonts w:ascii="Source Sans Pro" w:hAnsi="Source Sans Pro" w:cs="Arial"/>
          <w:bCs/>
          <w:sz w:val="22"/>
          <w:szCs w:val="22"/>
        </w:rPr>
        <w:t xml:space="preserve"> €/m²/Monat</w:t>
      </w:r>
      <w:r w:rsidRPr="00A30890">
        <w:rPr>
          <w:rFonts w:ascii="Source Sans Pro" w:hAnsi="Source Sans Pro" w:cs="Arial"/>
          <w:bCs/>
          <w:sz w:val="22"/>
          <w:szCs w:val="22"/>
        </w:rPr>
        <w:t>.</w:t>
      </w:r>
      <w:r w:rsidRPr="00A30890">
        <w:rPr>
          <w:rFonts w:ascii="Source Sans Pro" w:hAnsi="Source Sans Pro" w:cs="Source Sans Pro"/>
          <w:sz w:val="22"/>
          <w:szCs w:val="22"/>
        </w:rPr>
        <w:t xml:space="preserve"> </w:t>
      </w:r>
      <w:r w:rsidR="003907D7" w:rsidRPr="00A30890">
        <w:rPr>
          <w:rFonts w:ascii="Source Sans Pro" w:hAnsi="Source Sans Pro" w:cs="Arial"/>
          <w:bCs/>
          <w:sz w:val="22"/>
          <w:szCs w:val="22"/>
        </w:rPr>
        <w:t xml:space="preserve">Die höchste Durchschnittsmiete von </w:t>
      </w:r>
      <w:r w:rsidR="0040133F">
        <w:rPr>
          <w:rFonts w:ascii="Source Sans Pro" w:hAnsi="Source Sans Pro" w:cs="Arial"/>
          <w:bCs/>
          <w:sz w:val="22"/>
          <w:szCs w:val="22"/>
        </w:rPr>
        <w:t>30,90</w:t>
      </w:r>
      <w:r w:rsidR="003907D7" w:rsidRPr="00A30890">
        <w:rPr>
          <w:rFonts w:ascii="Source Sans Pro" w:hAnsi="Source Sans Pro" w:cs="Arial"/>
          <w:bCs/>
          <w:sz w:val="22"/>
          <w:szCs w:val="22"/>
        </w:rPr>
        <w:t xml:space="preserve"> €/m²/Monat zahlten Nutzer in </w:t>
      </w:r>
      <w:r w:rsidR="0040133F">
        <w:rPr>
          <w:rFonts w:ascii="Source Sans Pro" w:hAnsi="Source Sans Pro" w:cs="Arial"/>
          <w:bCs/>
          <w:sz w:val="22"/>
          <w:szCs w:val="22"/>
        </w:rPr>
        <w:t>Berlin</w:t>
      </w:r>
      <w:r w:rsidRPr="00A30890">
        <w:rPr>
          <w:rFonts w:ascii="Source Sans Pro" w:hAnsi="Source Sans Pro" w:cs="Arial"/>
          <w:bCs/>
          <w:sz w:val="22"/>
          <w:szCs w:val="22"/>
        </w:rPr>
        <w:t>.</w:t>
      </w:r>
    </w:p>
    <w:p w14:paraId="2BC62439" w14:textId="3549156D" w:rsidR="00555DDD" w:rsidRPr="00A30890" w:rsidRDefault="00F65BF2" w:rsidP="00F65BF2">
      <w:pPr>
        <w:pStyle w:val="EinfAbs"/>
        <w:numPr>
          <w:ilvl w:val="0"/>
          <w:numId w:val="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A30890">
        <w:rPr>
          <w:rFonts w:ascii="Source Sans Pro" w:hAnsi="Source Sans Pro" w:cs="Arial"/>
          <w:bCs/>
          <w:sz w:val="22"/>
          <w:szCs w:val="22"/>
        </w:rPr>
        <w:lastRenderedPageBreak/>
        <w:t xml:space="preserve">Die </w:t>
      </w:r>
      <w:r w:rsidR="001A3369" w:rsidRPr="00A30890">
        <w:rPr>
          <w:rFonts w:ascii="Source Sans Pro" w:hAnsi="Source Sans Pro" w:cs="Arial"/>
          <w:bCs/>
          <w:sz w:val="22"/>
          <w:szCs w:val="22"/>
        </w:rPr>
        <w:t xml:space="preserve">Spitzenmieten </w:t>
      </w:r>
      <w:r w:rsidRPr="00A30890">
        <w:rPr>
          <w:rFonts w:ascii="Source Sans Pro" w:hAnsi="Source Sans Pro" w:cs="Arial"/>
          <w:bCs/>
          <w:sz w:val="22"/>
          <w:szCs w:val="22"/>
        </w:rPr>
        <w:t xml:space="preserve">verblieben </w:t>
      </w:r>
      <w:r w:rsidR="00F46315">
        <w:rPr>
          <w:rFonts w:ascii="Source Sans Pro" w:hAnsi="Source Sans Pro" w:cs="Arial"/>
          <w:bCs/>
          <w:sz w:val="22"/>
          <w:szCs w:val="22"/>
        </w:rPr>
        <w:t>weitestgehend</w:t>
      </w:r>
      <w:r w:rsidR="00555DDD" w:rsidRPr="00A30890">
        <w:rPr>
          <w:rFonts w:ascii="Source Sans Pro" w:hAnsi="Source Sans Pro" w:cs="Arial"/>
          <w:bCs/>
          <w:sz w:val="22"/>
          <w:szCs w:val="22"/>
        </w:rPr>
        <w:t xml:space="preserve"> stabil</w:t>
      </w:r>
      <w:r w:rsidRPr="00A30890">
        <w:rPr>
          <w:rFonts w:ascii="Source Sans Pro" w:hAnsi="Source Sans Pro" w:cs="Arial"/>
          <w:bCs/>
          <w:sz w:val="22"/>
          <w:szCs w:val="22"/>
        </w:rPr>
        <w:t>. Hier registrierte GPP in Düsseldorf de</w:t>
      </w:r>
      <w:r w:rsidR="00555DDD" w:rsidRPr="00A30890">
        <w:rPr>
          <w:rFonts w:ascii="Source Sans Pro" w:hAnsi="Source Sans Pro" w:cs="Arial"/>
          <w:bCs/>
          <w:sz w:val="22"/>
          <w:szCs w:val="22"/>
        </w:rPr>
        <w:t>n größten Anstieg um</w:t>
      </w:r>
      <w:r w:rsidR="00F46315">
        <w:rPr>
          <w:rFonts w:ascii="Source Sans Pro" w:hAnsi="Source Sans Pro" w:cs="Arial"/>
          <w:bCs/>
          <w:sz w:val="22"/>
          <w:szCs w:val="22"/>
        </w:rPr>
        <w:t xml:space="preserve"> rund</w:t>
      </w:r>
      <w:r w:rsidR="00555DDD" w:rsidRPr="00A30890">
        <w:rPr>
          <w:rFonts w:ascii="Source Sans Pro" w:hAnsi="Source Sans Pro" w:cs="Arial"/>
          <w:bCs/>
          <w:sz w:val="22"/>
          <w:szCs w:val="22"/>
        </w:rPr>
        <w:t xml:space="preserve"> 7 % auf 42,90 €/m²/Monat</w:t>
      </w:r>
      <w:r w:rsidRPr="00A30890">
        <w:rPr>
          <w:rFonts w:ascii="Source Sans Pro" w:hAnsi="Source Sans Pro" w:cs="Arial"/>
          <w:bCs/>
          <w:sz w:val="22"/>
          <w:szCs w:val="22"/>
        </w:rPr>
        <w:t xml:space="preserve">. </w:t>
      </w:r>
      <w:r w:rsidR="00555DDD" w:rsidRPr="00A30890">
        <w:rPr>
          <w:rFonts w:ascii="Source Sans Pro" w:hAnsi="Source Sans Pro" w:cs="Arial"/>
          <w:bCs/>
          <w:sz w:val="22"/>
          <w:szCs w:val="22"/>
        </w:rPr>
        <w:t>Ähnlich entwickelten sich die Spitzenmieten in Köln (+6 % auf 35,00 €/m²/Monat) und Stuttgart (+ 6 % auf 37,00 €/m²/Monat</w:t>
      </w:r>
      <w:r w:rsidRPr="00A30890">
        <w:rPr>
          <w:rFonts w:ascii="Source Sans Pro" w:hAnsi="Source Sans Pro" w:cs="Arial"/>
          <w:bCs/>
          <w:sz w:val="22"/>
          <w:szCs w:val="22"/>
        </w:rPr>
        <w:t>)</w:t>
      </w:r>
      <w:r w:rsidR="00555DDD" w:rsidRPr="00A30890">
        <w:rPr>
          <w:rFonts w:ascii="Source Sans Pro" w:hAnsi="Source Sans Pro" w:cs="Arial"/>
          <w:bCs/>
          <w:sz w:val="22"/>
          <w:szCs w:val="22"/>
        </w:rPr>
        <w:t>. Mit 53,10 €/m²/Monat realisierte München d</w:t>
      </w:r>
      <w:r w:rsidRPr="00A30890">
        <w:rPr>
          <w:rFonts w:ascii="Source Sans Pro" w:hAnsi="Source Sans Pro" w:cs="Arial"/>
          <w:bCs/>
          <w:sz w:val="22"/>
          <w:szCs w:val="22"/>
        </w:rPr>
        <w:t>i</w:t>
      </w:r>
      <w:r w:rsidR="00555DDD" w:rsidRPr="00A30890">
        <w:rPr>
          <w:rFonts w:ascii="Source Sans Pro" w:hAnsi="Source Sans Pro" w:cs="Arial"/>
          <w:bCs/>
          <w:sz w:val="22"/>
          <w:szCs w:val="22"/>
        </w:rPr>
        <w:t>e höchste Spitzenmiete im Top-7-Vergleich</w:t>
      </w:r>
      <w:r w:rsidRPr="00A30890">
        <w:rPr>
          <w:rFonts w:ascii="Source Sans Pro" w:hAnsi="Source Sans Pro" w:cs="Arial"/>
          <w:bCs/>
          <w:sz w:val="22"/>
          <w:szCs w:val="22"/>
        </w:rPr>
        <w:t>.</w:t>
      </w:r>
    </w:p>
    <w:p w14:paraId="0BD52667" w14:textId="77777777" w:rsidR="00555DDD" w:rsidRPr="00A30890" w:rsidRDefault="00555DDD" w:rsidP="00555DDD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65C34027" w14:textId="03B6EC3F" w:rsidR="00641BF7" w:rsidRPr="00A30890" w:rsidRDefault="00543259" w:rsidP="00EB5246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bCs/>
          <w:i/>
          <w:iCs/>
          <w:sz w:val="22"/>
          <w:szCs w:val="22"/>
        </w:rPr>
      </w:pPr>
      <w:r w:rsidRPr="00A30890">
        <w:rPr>
          <w:rFonts w:ascii="Source Sans Pro" w:hAnsi="Source Sans Pro" w:cs="Source Sans Pro"/>
          <w:i/>
          <w:iCs/>
          <w:sz w:val="22"/>
          <w:szCs w:val="22"/>
        </w:rPr>
        <w:t>„</w:t>
      </w:r>
      <w:r w:rsidR="00F65BF2" w:rsidRPr="00A30890">
        <w:rPr>
          <w:rFonts w:ascii="Source Sans Pro" w:hAnsi="Source Sans Pro" w:cs="Source Sans Pro"/>
          <w:i/>
          <w:iCs/>
          <w:sz w:val="22"/>
          <w:szCs w:val="22"/>
        </w:rPr>
        <w:t>2025 dür</w:t>
      </w:r>
      <w:r w:rsidR="003A06A9">
        <w:rPr>
          <w:rFonts w:ascii="Source Sans Pro" w:hAnsi="Source Sans Pro" w:cs="Source Sans Pro"/>
          <w:i/>
          <w:iCs/>
          <w:sz w:val="22"/>
          <w:szCs w:val="22"/>
        </w:rPr>
        <w:t>ften einige Großgesuche aus dem Vorjahr</w:t>
      </w:r>
      <w:r w:rsidR="00F65BF2" w:rsidRPr="00A30890">
        <w:rPr>
          <w:rFonts w:ascii="Source Sans Pro" w:hAnsi="Source Sans Pro" w:cs="Source Sans Pro"/>
          <w:i/>
          <w:iCs/>
          <w:sz w:val="22"/>
          <w:szCs w:val="22"/>
        </w:rPr>
        <w:t xml:space="preserve"> abgeschlossen werden</w:t>
      </w:r>
      <w:r w:rsidRPr="00A30890">
        <w:rPr>
          <w:rFonts w:ascii="Source Sans Pro" w:hAnsi="Source Sans Pro" w:cs="Source Sans Pro"/>
          <w:i/>
          <w:iCs/>
          <w:sz w:val="22"/>
          <w:szCs w:val="22"/>
        </w:rPr>
        <w:t>“,</w:t>
      </w:r>
      <w:r w:rsidRPr="00A30890">
        <w:rPr>
          <w:rFonts w:ascii="Source Sans Pro" w:hAnsi="Source Sans Pro" w:cs="Source Sans Pro"/>
          <w:sz w:val="22"/>
          <w:szCs w:val="22"/>
        </w:rPr>
        <w:t xml:space="preserve"> so</w:t>
      </w:r>
      <w:r w:rsidRPr="00A30890">
        <w:rPr>
          <w:rFonts w:ascii="Source Sans Pro" w:hAnsi="Source Sans Pro" w:cs="Source Sans Pro"/>
          <w:b/>
          <w:sz w:val="22"/>
          <w:szCs w:val="22"/>
        </w:rPr>
        <w:t xml:space="preserve"> Holzwarth</w:t>
      </w:r>
      <w:r w:rsidR="00F65BF2" w:rsidRPr="00A30890">
        <w:rPr>
          <w:rFonts w:ascii="Source Sans Pro" w:hAnsi="Source Sans Pro" w:cs="Source Sans Pro"/>
          <w:b/>
          <w:sz w:val="22"/>
          <w:szCs w:val="22"/>
        </w:rPr>
        <w:t xml:space="preserve">. </w:t>
      </w:r>
      <w:r w:rsidR="00F65BF2" w:rsidRPr="00A30890"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„Dennoch </w:t>
      </w:r>
      <w:r w:rsidR="00EB5246" w:rsidRPr="00A30890"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gehen wir </w:t>
      </w:r>
      <w:r w:rsidR="00243D29" w:rsidRPr="00A30890"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angesichts der schwachen Konjunkturperspektive </w:t>
      </w:r>
      <w:r w:rsidR="00EB5246" w:rsidRPr="00A30890"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davon aus, dass das Jahr weiterhin herausfordernd für den Bürovermietungsmarkt sein wird. </w:t>
      </w:r>
      <w:r w:rsidR="00243D29" w:rsidRPr="00A30890">
        <w:rPr>
          <w:rFonts w:ascii="Source Sans Pro" w:hAnsi="Source Sans Pro" w:cs="Source Sans Pro"/>
          <w:bCs/>
          <w:i/>
          <w:iCs/>
          <w:sz w:val="22"/>
          <w:szCs w:val="22"/>
        </w:rPr>
        <w:t>Der Flächenumsatz</w:t>
      </w:r>
      <w:r w:rsidR="00EB5246" w:rsidRPr="00A30890"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 wird sich vermutlich auf einem ähnlichen Niveau wie 2024</w:t>
      </w:r>
      <w:r w:rsidR="003A06A9"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 oder leicht darüber</w:t>
      </w:r>
      <w:r w:rsidR="00EB5246" w:rsidRPr="00A30890">
        <w:rPr>
          <w:rFonts w:ascii="Source Sans Pro" w:hAnsi="Source Sans Pro" w:cs="Source Sans Pro"/>
          <w:bCs/>
          <w:i/>
          <w:iCs/>
          <w:sz w:val="22"/>
          <w:szCs w:val="22"/>
        </w:rPr>
        <w:t xml:space="preserve"> bewegen.“</w:t>
      </w:r>
    </w:p>
    <w:p w14:paraId="31757DB2" w14:textId="77777777" w:rsidR="00D17516" w:rsidRPr="00A30890" w:rsidRDefault="00D17516" w:rsidP="001A33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bCs/>
          <w:i/>
          <w:iCs/>
          <w:sz w:val="22"/>
          <w:szCs w:val="22"/>
        </w:rPr>
      </w:pPr>
    </w:p>
    <w:p w14:paraId="7FDD4675" w14:textId="77777777" w:rsidR="00196C77" w:rsidRPr="00A30890" w:rsidRDefault="00196C77" w:rsidP="00196C7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color w:val="auto"/>
          <w:sz w:val="22"/>
          <w:szCs w:val="22"/>
        </w:rPr>
      </w:pPr>
      <w:r w:rsidRPr="00A30890">
        <w:rPr>
          <w:rFonts w:ascii="Source Sans Pro" w:hAnsi="Source Sans Pro" w:cs="Arial"/>
          <w:bCs/>
          <w:color w:val="auto"/>
          <w:sz w:val="22"/>
          <w:szCs w:val="22"/>
        </w:rPr>
        <w:t xml:space="preserve">Zu dem Gewerbeimmobiliennetzwerk GPP gehören Grossmann &amp; Berger Immobilien, </w:t>
      </w:r>
      <w:proofErr w:type="spellStart"/>
      <w:r w:rsidRPr="00A30890">
        <w:rPr>
          <w:rFonts w:ascii="Source Sans Pro" w:hAnsi="Source Sans Pro" w:cs="Arial"/>
          <w:bCs/>
          <w:color w:val="auto"/>
          <w:sz w:val="22"/>
          <w:szCs w:val="22"/>
        </w:rPr>
        <w:t>Anteon</w:t>
      </w:r>
      <w:proofErr w:type="spellEnd"/>
      <w:r w:rsidRPr="00A30890">
        <w:rPr>
          <w:rFonts w:ascii="Source Sans Pro" w:hAnsi="Source Sans Pro" w:cs="Arial"/>
          <w:bCs/>
          <w:color w:val="auto"/>
          <w:sz w:val="22"/>
          <w:szCs w:val="22"/>
        </w:rPr>
        <w:t xml:space="preserve"> Immobilien, GREIF &amp; CONTZEN Immobilien, </w:t>
      </w:r>
      <w:proofErr w:type="spellStart"/>
      <w:r w:rsidRPr="00A30890">
        <w:rPr>
          <w:rFonts w:ascii="Source Sans Pro" w:hAnsi="Source Sans Pro" w:cs="Arial"/>
          <w:bCs/>
          <w:color w:val="auto"/>
          <w:sz w:val="22"/>
          <w:szCs w:val="22"/>
        </w:rPr>
        <w:t>blackolive</w:t>
      </w:r>
      <w:proofErr w:type="spellEnd"/>
      <w:r w:rsidRPr="00A30890">
        <w:rPr>
          <w:rFonts w:ascii="Source Sans Pro" w:hAnsi="Source Sans Pro" w:cs="Arial"/>
          <w:bCs/>
          <w:color w:val="auto"/>
          <w:sz w:val="22"/>
          <w:szCs w:val="22"/>
        </w:rPr>
        <w:t xml:space="preserve"> und E &amp; G Immobilien.</w:t>
      </w:r>
    </w:p>
    <w:p w14:paraId="038AB6F3" w14:textId="77777777" w:rsidR="002724CB" w:rsidRPr="00CF49FA" w:rsidRDefault="002724CB" w:rsidP="00196C7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color w:val="auto"/>
          <w:sz w:val="22"/>
          <w:szCs w:val="22"/>
        </w:rPr>
      </w:pPr>
    </w:p>
    <w:p w14:paraId="7238A966" w14:textId="77777777" w:rsidR="001A3369" w:rsidRPr="00006B0B" w:rsidRDefault="001A3369" w:rsidP="001A3369">
      <w:pPr>
        <w:overflowPunct/>
        <w:autoSpaceDE/>
        <w:autoSpaceDN/>
        <w:adjustRightInd/>
        <w:textAlignment w:val="auto"/>
        <w:rPr>
          <w:rFonts w:ascii="Source Sans Pro" w:hAnsi="Source Sans Pro" w:cs="Arial"/>
          <w:bCs/>
          <w:sz w:val="20"/>
        </w:rPr>
      </w:pPr>
    </w:p>
    <w:p w14:paraId="4B65132D" w14:textId="7395AB54" w:rsidR="00915F18" w:rsidRPr="0051046D" w:rsidRDefault="00915F18" w:rsidP="00915F18">
      <w:pPr>
        <w:rPr>
          <w:rFonts w:ascii="Source Sans Pro" w:hAnsi="Source Sans Pro" w:cs="Arial"/>
          <w:sz w:val="16"/>
          <w:szCs w:val="16"/>
          <w:lang w:val="en-GB"/>
        </w:rPr>
      </w:pPr>
      <w:r w:rsidRPr="005D5F7E">
        <w:rPr>
          <w:rFonts w:ascii="Source Sans Pro" w:hAnsi="Source Sans Pro" w:cs="Arial"/>
          <w:b/>
          <w:sz w:val="20"/>
        </w:rPr>
        <w:t xml:space="preserve">Top-7-Standorte | </w:t>
      </w:r>
      <w:r w:rsidR="002D13D9" w:rsidRPr="005D5F7E">
        <w:rPr>
          <w:rFonts w:ascii="Source Sans Pro" w:hAnsi="Source Sans Pro" w:cs="Arial"/>
          <w:b/>
          <w:sz w:val="20"/>
        </w:rPr>
        <w:t>1.-</w:t>
      </w:r>
      <w:r w:rsidR="00543259">
        <w:rPr>
          <w:rFonts w:ascii="Source Sans Pro" w:hAnsi="Source Sans Pro" w:cs="Arial"/>
          <w:b/>
          <w:sz w:val="20"/>
        </w:rPr>
        <w:t>4</w:t>
      </w:r>
      <w:r w:rsidRPr="005D5F7E">
        <w:rPr>
          <w:rFonts w:ascii="Source Sans Pro" w:hAnsi="Source Sans Pro" w:cs="Arial"/>
          <w:b/>
          <w:sz w:val="20"/>
        </w:rPr>
        <w:t xml:space="preserve">. </w:t>
      </w:r>
      <w:r w:rsidRPr="0051046D">
        <w:rPr>
          <w:rFonts w:ascii="Source Sans Pro" w:hAnsi="Source Sans Pro" w:cs="Arial"/>
          <w:b/>
          <w:sz w:val="20"/>
          <w:lang w:val="en-GB"/>
        </w:rPr>
        <w:t>Quartal 202</w:t>
      </w:r>
      <w:r>
        <w:rPr>
          <w:rFonts w:ascii="Source Sans Pro" w:hAnsi="Source Sans Pro" w:cs="Arial"/>
          <w:b/>
          <w:sz w:val="20"/>
          <w:lang w:val="en-GB"/>
        </w:rPr>
        <w:t>4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28"/>
        <w:gridCol w:w="932"/>
        <w:gridCol w:w="932"/>
        <w:gridCol w:w="932"/>
        <w:gridCol w:w="932"/>
        <w:gridCol w:w="932"/>
        <w:gridCol w:w="932"/>
        <w:gridCol w:w="932"/>
        <w:gridCol w:w="930"/>
      </w:tblGrid>
      <w:tr w:rsidR="00915F18" w:rsidRPr="0051046D" w14:paraId="4CC25B8D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7F9D736B" w14:textId="77777777" w:rsidR="00915F18" w:rsidRPr="00705513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02" w:type="pct"/>
            <w:vAlign w:val="center"/>
          </w:tcPr>
          <w:p w14:paraId="5661DA6A" w14:textId="77777777" w:rsidR="00915F18" w:rsidRPr="00705513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HAM</w:t>
            </w:r>
          </w:p>
        </w:tc>
        <w:tc>
          <w:tcPr>
            <w:tcW w:w="502" w:type="pct"/>
            <w:vAlign w:val="center"/>
          </w:tcPr>
          <w:p w14:paraId="0304E8CE" w14:textId="77777777" w:rsidR="00915F18" w:rsidRPr="00705513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BER</w:t>
            </w:r>
          </w:p>
        </w:tc>
        <w:tc>
          <w:tcPr>
            <w:tcW w:w="502" w:type="pct"/>
            <w:vAlign w:val="center"/>
          </w:tcPr>
          <w:p w14:paraId="6E63E792" w14:textId="77777777" w:rsidR="00915F18" w:rsidRPr="00705513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DUS</w:t>
            </w:r>
          </w:p>
        </w:tc>
        <w:tc>
          <w:tcPr>
            <w:tcW w:w="502" w:type="pct"/>
            <w:vAlign w:val="center"/>
          </w:tcPr>
          <w:p w14:paraId="09B7C9DA" w14:textId="77777777" w:rsidR="00915F18" w:rsidRPr="00705513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CGN</w:t>
            </w:r>
          </w:p>
        </w:tc>
        <w:tc>
          <w:tcPr>
            <w:tcW w:w="502" w:type="pct"/>
            <w:vAlign w:val="center"/>
          </w:tcPr>
          <w:p w14:paraId="6AC75356" w14:textId="77777777" w:rsidR="00915F18" w:rsidRPr="00705513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FFM</w:t>
            </w:r>
          </w:p>
        </w:tc>
        <w:tc>
          <w:tcPr>
            <w:tcW w:w="502" w:type="pct"/>
            <w:vAlign w:val="center"/>
          </w:tcPr>
          <w:p w14:paraId="7BD4EB59" w14:textId="77777777" w:rsidR="00915F18" w:rsidRPr="00705513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STU</w:t>
            </w:r>
          </w:p>
        </w:tc>
        <w:tc>
          <w:tcPr>
            <w:tcW w:w="502" w:type="pct"/>
            <w:vAlign w:val="center"/>
          </w:tcPr>
          <w:p w14:paraId="32559EC2" w14:textId="77777777" w:rsidR="00915F18" w:rsidRPr="00705513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MUC</w:t>
            </w:r>
          </w:p>
        </w:tc>
        <w:tc>
          <w:tcPr>
            <w:tcW w:w="501" w:type="pct"/>
            <w:vAlign w:val="center"/>
          </w:tcPr>
          <w:p w14:paraId="19B841D6" w14:textId="77777777" w:rsidR="00915F18" w:rsidRPr="00705513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TOP-7</w:t>
            </w:r>
          </w:p>
        </w:tc>
      </w:tr>
      <w:tr w:rsidR="00915F18" w:rsidRPr="004A2D54" w14:paraId="33EE787C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573EFB86" w14:textId="77777777" w:rsidR="00915F18" w:rsidRPr="00705513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705513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Fläch</w:t>
            </w:r>
            <w:r w:rsidRPr="00705513">
              <w:rPr>
                <w:rFonts w:ascii="Source Sans Pro" w:hAnsi="Source Sans Pro" w:cs="Arial"/>
                <w:b/>
                <w:sz w:val="16"/>
                <w:szCs w:val="16"/>
              </w:rPr>
              <w:t>enumsatz</w:t>
            </w:r>
            <w:proofErr w:type="spellEnd"/>
          </w:p>
          <w:p w14:paraId="26443293" w14:textId="77777777" w:rsidR="00915F18" w:rsidRPr="00705513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15504A6" w14:textId="2BF882FC" w:rsidR="00915F18" w:rsidRPr="00705513" w:rsidRDefault="00705513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425.000</w:t>
            </w:r>
          </w:p>
        </w:tc>
        <w:tc>
          <w:tcPr>
            <w:tcW w:w="502" w:type="pct"/>
            <w:vAlign w:val="center"/>
          </w:tcPr>
          <w:p w14:paraId="55A02693" w14:textId="1F89C7A0" w:rsidR="00915F18" w:rsidRPr="00705513" w:rsidRDefault="00705513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575.000</w:t>
            </w:r>
          </w:p>
        </w:tc>
        <w:tc>
          <w:tcPr>
            <w:tcW w:w="502" w:type="pct"/>
            <w:vAlign w:val="center"/>
          </w:tcPr>
          <w:p w14:paraId="7BF4C02C" w14:textId="2CE1F260" w:rsidR="00915F18" w:rsidRPr="00705513" w:rsidRDefault="00705513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209.100</w:t>
            </w:r>
          </w:p>
        </w:tc>
        <w:tc>
          <w:tcPr>
            <w:tcW w:w="502" w:type="pct"/>
            <w:vAlign w:val="center"/>
          </w:tcPr>
          <w:p w14:paraId="777D51F7" w14:textId="2D0A18E3" w:rsidR="00915F18" w:rsidRPr="00705513" w:rsidRDefault="00705513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210.000</w:t>
            </w:r>
          </w:p>
        </w:tc>
        <w:tc>
          <w:tcPr>
            <w:tcW w:w="502" w:type="pct"/>
            <w:vAlign w:val="center"/>
          </w:tcPr>
          <w:p w14:paraId="1DBE65D9" w14:textId="3F8C2354" w:rsidR="00915F18" w:rsidRPr="00705513" w:rsidRDefault="00705513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366.000</w:t>
            </w:r>
          </w:p>
        </w:tc>
        <w:tc>
          <w:tcPr>
            <w:tcW w:w="502" w:type="pct"/>
            <w:vAlign w:val="center"/>
          </w:tcPr>
          <w:p w14:paraId="2C55E5B6" w14:textId="7484AA11" w:rsidR="00915F18" w:rsidRPr="00705513" w:rsidRDefault="00705513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201.000</w:t>
            </w:r>
          </w:p>
        </w:tc>
        <w:tc>
          <w:tcPr>
            <w:tcW w:w="502" w:type="pct"/>
            <w:vAlign w:val="center"/>
          </w:tcPr>
          <w:p w14:paraId="765A5393" w14:textId="7879E45D" w:rsidR="00915F18" w:rsidRPr="00705513" w:rsidRDefault="00705513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  <w:u w:val="single"/>
              </w:rPr>
              <w:t>602.000</w:t>
            </w:r>
          </w:p>
        </w:tc>
        <w:tc>
          <w:tcPr>
            <w:tcW w:w="501" w:type="pct"/>
            <w:vAlign w:val="center"/>
          </w:tcPr>
          <w:p w14:paraId="02453427" w14:textId="0B7862C7" w:rsidR="00915F18" w:rsidRPr="00705513" w:rsidRDefault="00705513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</w:rPr>
              <w:t>2.588.100</w:t>
            </w:r>
          </w:p>
        </w:tc>
      </w:tr>
      <w:tr w:rsidR="00915F18" w:rsidRPr="004A2D54" w14:paraId="755ADB56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5E910F5B" w14:textId="77777777" w:rsidR="00915F18" w:rsidRPr="00705513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7E06EC86" w14:textId="77777777" w:rsidR="00915F18" w:rsidRPr="00705513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705513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705513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705513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705513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6AACC20B" w14:textId="1E8632A7" w:rsidR="00915F18" w:rsidRPr="00705513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7</w:t>
            </w:r>
          </w:p>
        </w:tc>
        <w:tc>
          <w:tcPr>
            <w:tcW w:w="502" w:type="pct"/>
            <w:vAlign w:val="center"/>
          </w:tcPr>
          <w:p w14:paraId="009D1976" w14:textId="5C47EC3F" w:rsidR="00915F18" w:rsidRPr="00705513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+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13</w:t>
            </w:r>
          </w:p>
        </w:tc>
        <w:tc>
          <w:tcPr>
            <w:tcW w:w="502" w:type="pct"/>
            <w:vAlign w:val="center"/>
          </w:tcPr>
          <w:p w14:paraId="25E661D7" w14:textId="0B9B8653" w:rsidR="00915F18" w:rsidRPr="00705513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15</w:t>
            </w:r>
          </w:p>
        </w:tc>
        <w:tc>
          <w:tcPr>
            <w:tcW w:w="502" w:type="pct"/>
            <w:vAlign w:val="center"/>
          </w:tcPr>
          <w:p w14:paraId="124441C3" w14:textId="1820F80D" w:rsidR="00915F18" w:rsidRPr="00705513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+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5</w:t>
            </w:r>
          </w:p>
        </w:tc>
        <w:tc>
          <w:tcPr>
            <w:tcW w:w="502" w:type="pct"/>
            <w:vAlign w:val="center"/>
          </w:tcPr>
          <w:p w14:paraId="5F9B8DD9" w14:textId="6D7B56E5" w:rsidR="00915F18" w:rsidRPr="00705513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5</w:t>
            </w:r>
          </w:p>
        </w:tc>
        <w:tc>
          <w:tcPr>
            <w:tcW w:w="502" w:type="pct"/>
            <w:vAlign w:val="center"/>
          </w:tcPr>
          <w:p w14:paraId="6D9DA245" w14:textId="70765934" w:rsidR="00915F18" w:rsidRPr="00705513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  <w:u w:val="single"/>
              </w:rPr>
              <w:t>+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  <w:u w:val="single"/>
              </w:rPr>
              <w:t>28</w:t>
            </w:r>
          </w:p>
        </w:tc>
        <w:tc>
          <w:tcPr>
            <w:tcW w:w="502" w:type="pct"/>
            <w:vAlign w:val="center"/>
          </w:tcPr>
          <w:p w14:paraId="536730E5" w14:textId="12457B3C" w:rsidR="00915F18" w:rsidRPr="00705513" w:rsidRDefault="00644F2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+</w:t>
            </w:r>
            <w:r w:rsidR="00F46315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3</w:t>
            </w:r>
          </w:p>
        </w:tc>
        <w:tc>
          <w:tcPr>
            <w:tcW w:w="501" w:type="pct"/>
            <w:vAlign w:val="center"/>
          </w:tcPr>
          <w:p w14:paraId="38CB9689" w14:textId="64FC0B94" w:rsidR="00915F18" w:rsidRPr="00705513" w:rsidRDefault="00644F2E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</w:rPr>
              <w:t>+</w:t>
            </w:r>
            <w:r w:rsidR="00705513" w:rsidRPr="00705513">
              <w:rPr>
                <w:rFonts w:ascii="Source Sans Pro" w:hAnsi="Source Sans Pro" w:cs="Arial"/>
                <w:b/>
                <w:sz w:val="16"/>
                <w:szCs w:val="16"/>
              </w:rPr>
              <w:t>8</w:t>
            </w:r>
          </w:p>
        </w:tc>
      </w:tr>
      <w:tr w:rsidR="00915F18" w:rsidRPr="00D746DA" w14:paraId="64587270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399D5CB7" w14:textId="77777777" w:rsidR="00915F18" w:rsidRPr="00705513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64FAB6AA" w14:textId="77777777" w:rsidR="00915F18" w:rsidRPr="00705513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013E7DF7" w14:textId="58C4D65F" w:rsidR="00915F18" w:rsidRPr="00705513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2D13D9" w:rsidRPr="00705513">
              <w:rPr>
                <w:rFonts w:ascii="Source Sans Pro" w:hAnsi="Source Sans Pro" w:cs="Arial"/>
                <w:sz w:val="16"/>
                <w:szCs w:val="16"/>
              </w:rPr>
              <w:t>5,00</w:t>
            </w:r>
          </w:p>
        </w:tc>
        <w:tc>
          <w:tcPr>
            <w:tcW w:w="502" w:type="pct"/>
            <w:vAlign w:val="center"/>
          </w:tcPr>
          <w:p w14:paraId="557316EA" w14:textId="2E8BBCB8" w:rsidR="00915F18" w:rsidRPr="00705513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5,00</w:t>
            </w:r>
          </w:p>
        </w:tc>
        <w:tc>
          <w:tcPr>
            <w:tcW w:w="502" w:type="pct"/>
            <w:vAlign w:val="center"/>
          </w:tcPr>
          <w:p w14:paraId="3B42F2F7" w14:textId="3A9BDD86" w:rsidR="00915F18" w:rsidRPr="00705513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42,</w:t>
            </w:r>
            <w:r w:rsidR="00644F2E" w:rsidRPr="00705513">
              <w:rPr>
                <w:rFonts w:ascii="Source Sans Pro" w:hAnsi="Source Sans Pro" w:cs="Arial"/>
                <w:sz w:val="16"/>
                <w:szCs w:val="16"/>
              </w:rPr>
              <w:t>9</w:t>
            </w:r>
            <w:r w:rsidR="00783544" w:rsidRPr="00705513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126FB883" w14:textId="6F7B449C" w:rsidR="00915F18" w:rsidRPr="00705513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705513">
              <w:rPr>
                <w:rFonts w:ascii="Source Sans Pro" w:hAnsi="Source Sans Pro" w:cs="Arial"/>
                <w:sz w:val="16"/>
                <w:szCs w:val="16"/>
              </w:rPr>
              <w:t>,00</w:t>
            </w:r>
          </w:p>
        </w:tc>
        <w:tc>
          <w:tcPr>
            <w:tcW w:w="502" w:type="pct"/>
            <w:vAlign w:val="center"/>
          </w:tcPr>
          <w:p w14:paraId="630637B4" w14:textId="20ECBAC8" w:rsidR="00915F18" w:rsidRPr="00705513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705513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="00644F2E" w:rsidRPr="00705513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705513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0093E47D" w14:textId="37276F0C" w:rsidR="00915F18" w:rsidRPr="00705513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705513" w:rsidRPr="00705513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705513">
              <w:rPr>
                <w:rFonts w:ascii="Source Sans Pro" w:hAnsi="Source Sans Pro" w:cs="Arial"/>
                <w:sz w:val="16"/>
                <w:szCs w:val="16"/>
              </w:rPr>
              <w:t>,00</w:t>
            </w:r>
          </w:p>
        </w:tc>
        <w:tc>
          <w:tcPr>
            <w:tcW w:w="502" w:type="pct"/>
            <w:vAlign w:val="center"/>
          </w:tcPr>
          <w:p w14:paraId="44B138B2" w14:textId="264953CA" w:rsidR="00915F18" w:rsidRPr="00705513" w:rsidRDefault="00705513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05513">
              <w:rPr>
                <w:rFonts w:ascii="Source Sans Pro" w:hAnsi="Source Sans Pro" w:cs="Arial"/>
                <w:sz w:val="16"/>
                <w:szCs w:val="16"/>
                <w:u w:val="single"/>
              </w:rPr>
              <w:t>53,10</w:t>
            </w:r>
          </w:p>
        </w:tc>
        <w:tc>
          <w:tcPr>
            <w:tcW w:w="501" w:type="pct"/>
            <w:vAlign w:val="center"/>
          </w:tcPr>
          <w:p w14:paraId="5DD8E1BA" w14:textId="77777777" w:rsidR="00915F18" w:rsidRPr="00705513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05513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45D9C2A2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302B12AC" w14:textId="77777777" w:rsidR="00915F18" w:rsidRPr="00176E4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7F781E1B" w14:textId="77777777" w:rsidR="00915F18" w:rsidRPr="00176E4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3E27F8E8" w14:textId="7F1BCB69" w:rsidR="00915F18" w:rsidRPr="00176E48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20,</w:t>
            </w:r>
            <w:r w:rsidR="00705513" w:rsidRPr="00176E48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176E4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1E84A2F1" w14:textId="2479BAD8" w:rsidR="00915F18" w:rsidRPr="002D4E42" w:rsidRDefault="00846193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2D4E42">
              <w:rPr>
                <w:rFonts w:ascii="Source Sans Pro" w:hAnsi="Source Sans Pro" w:cs="Arial"/>
                <w:sz w:val="16"/>
                <w:szCs w:val="16"/>
                <w:u w:val="single"/>
              </w:rPr>
              <w:t>3</w:t>
            </w:r>
            <w:r w:rsidR="00705513" w:rsidRPr="002D4E42">
              <w:rPr>
                <w:rFonts w:ascii="Source Sans Pro" w:hAnsi="Source Sans Pro" w:cs="Arial"/>
                <w:sz w:val="16"/>
                <w:szCs w:val="16"/>
                <w:u w:val="single"/>
              </w:rPr>
              <w:t>0,90</w:t>
            </w:r>
          </w:p>
        </w:tc>
        <w:tc>
          <w:tcPr>
            <w:tcW w:w="502" w:type="pct"/>
            <w:vAlign w:val="center"/>
          </w:tcPr>
          <w:p w14:paraId="616BB60A" w14:textId="0A2CA2E0" w:rsidR="00915F18" w:rsidRPr="00176E48" w:rsidRDefault="0065177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19,5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7C338A33" w14:textId="230AB263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20</w:t>
            </w:r>
            <w:r w:rsidR="00F46315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Pr="00176E48">
              <w:rPr>
                <w:rFonts w:ascii="Source Sans Pro" w:hAnsi="Source Sans Pro" w:cs="Arial"/>
                <w:sz w:val="16"/>
                <w:szCs w:val="16"/>
              </w:rPr>
              <w:t>40</w:t>
            </w:r>
          </w:p>
        </w:tc>
        <w:tc>
          <w:tcPr>
            <w:tcW w:w="502" w:type="pct"/>
            <w:vAlign w:val="center"/>
          </w:tcPr>
          <w:p w14:paraId="6049CE4C" w14:textId="0FD2900A" w:rsidR="00915F18" w:rsidRPr="002D4E42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2D4E42">
              <w:rPr>
                <w:rFonts w:ascii="Source Sans Pro" w:hAnsi="Source Sans Pro" w:cs="Arial"/>
                <w:sz w:val="16"/>
                <w:szCs w:val="16"/>
              </w:rPr>
              <w:t>25,</w:t>
            </w:r>
            <w:r w:rsidR="00D746DA" w:rsidRPr="002D4E42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2D4E42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0A7C188C" w14:textId="2101C712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22,40</w:t>
            </w:r>
          </w:p>
        </w:tc>
        <w:tc>
          <w:tcPr>
            <w:tcW w:w="502" w:type="pct"/>
            <w:vAlign w:val="center"/>
          </w:tcPr>
          <w:p w14:paraId="55C66BA7" w14:textId="6FC88DB4" w:rsidR="00915F18" w:rsidRPr="00176E48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25,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176E4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1" w:type="pct"/>
            <w:vAlign w:val="center"/>
          </w:tcPr>
          <w:p w14:paraId="381CD9BC" w14:textId="77777777" w:rsidR="00915F18" w:rsidRPr="00176E48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56DD2988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4E0CA9AD" w14:textId="77777777" w:rsidR="00915F18" w:rsidRPr="00176E4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56D6301B" w14:textId="77777777" w:rsidR="00915F18" w:rsidRPr="00176E48" w:rsidRDefault="00915F18" w:rsidP="004E5677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502" w:type="pct"/>
            <w:vAlign w:val="center"/>
          </w:tcPr>
          <w:p w14:paraId="720068FA" w14:textId="14E2AA30" w:rsidR="00915F18" w:rsidRPr="00176E4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14,3</w:t>
            </w:r>
            <w:r w:rsidR="00D746DA" w:rsidRPr="00176E48">
              <w:rPr>
                <w:rFonts w:ascii="Source Sans Pro" w:hAnsi="Source Sans Pro" w:cs="Arial"/>
                <w:sz w:val="16"/>
                <w:szCs w:val="16"/>
              </w:rPr>
              <w:t>9</w:t>
            </w:r>
          </w:p>
        </w:tc>
        <w:tc>
          <w:tcPr>
            <w:tcW w:w="502" w:type="pct"/>
            <w:vAlign w:val="center"/>
          </w:tcPr>
          <w:p w14:paraId="14C8319D" w14:textId="0DFE0EFA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22,20</w:t>
            </w:r>
          </w:p>
        </w:tc>
        <w:tc>
          <w:tcPr>
            <w:tcW w:w="502" w:type="pct"/>
            <w:vAlign w:val="center"/>
          </w:tcPr>
          <w:p w14:paraId="5F241200" w14:textId="6FBAF9FE" w:rsidR="00915F18" w:rsidRPr="00176E48" w:rsidRDefault="0029764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7,5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8</w:t>
            </w:r>
          </w:p>
        </w:tc>
        <w:tc>
          <w:tcPr>
            <w:tcW w:w="502" w:type="pct"/>
            <w:vAlign w:val="center"/>
          </w:tcPr>
          <w:p w14:paraId="05D36C29" w14:textId="13D9E3AE" w:rsidR="00915F18" w:rsidRPr="00176E4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8,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23</w:t>
            </w:r>
          </w:p>
        </w:tc>
        <w:tc>
          <w:tcPr>
            <w:tcW w:w="502" w:type="pct"/>
            <w:vAlign w:val="center"/>
          </w:tcPr>
          <w:p w14:paraId="1AE9126D" w14:textId="0C1CDA27" w:rsidR="00915F18" w:rsidRPr="00176E4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11,</w:t>
            </w:r>
            <w:r w:rsidR="0029764A" w:rsidRPr="00176E48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6</w:t>
            </w:r>
          </w:p>
        </w:tc>
        <w:tc>
          <w:tcPr>
            <w:tcW w:w="502" w:type="pct"/>
            <w:vAlign w:val="center"/>
          </w:tcPr>
          <w:p w14:paraId="7A74958B" w14:textId="274292EF" w:rsidR="00915F18" w:rsidRPr="00176E4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8,</w:t>
            </w:r>
            <w:r w:rsidR="00D746DA" w:rsidRPr="00176E48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502" w:type="pct"/>
            <w:vAlign w:val="center"/>
          </w:tcPr>
          <w:p w14:paraId="6599ED4E" w14:textId="77EC8760" w:rsidR="00915F18" w:rsidRPr="00176E4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  <w:u w:val="single"/>
              </w:rPr>
              <w:t>23,</w:t>
            </w:r>
            <w:r w:rsidR="00D746DA" w:rsidRPr="00176E48">
              <w:rPr>
                <w:rFonts w:ascii="Source Sans Pro" w:hAnsi="Source Sans Pro" w:cs="Arial"/>
                <w:sz w:val="16"/>
                <w:szCs w:val="16"/>
                <w:u w:val="single"/>
              </w:rPr>
              <w:t>6</w:t>
            </w:r>
            <w:r w:rsidRPr="00176E48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501" w:type="pct"/>
            <w:vAlign w:val="center"/>
          </w:tcPr>
          <w:p w14:paraId="5D31B442" w14:textId="10835F5F" w:rsidR="00915F18" w:rsidRPr="00176E48" w:rsidRDefault="00DA2639" w:rsidP="004E5677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9</w:t>
            </w:r>
            <w:r w:rsidR="00176E48" w:rsidRPr="00176E48">
              <w:rPr>
                <w:rFonts w:ascii="Source Sans Pro" w:hAnsi="Source Sans Pro" w:cs="Arial"/>
                <w:b/>
                <w:sz w:val="16"/>
                <w:szCs w:val="16"/>
              </w:rPr>
              <w:t>6</w:t>
            </w: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,</w:t>
            </w:r>
            <w:r w:rsidR="00176E48" w:rsidRPr="00176E48">
              <w:rPr>
                <w:rFonts w:ascii="Source Sans Pro" w:hAnsi="Source Sans Pro" w:cs="Arial"/>
                <w:b/>
                <w:sz w:val="16"/>
                <w:szCs w:val="16"/>
              </w:rPr>
              <w:t>27</w:t>
            </w:r>
          </w:p>
        </w:tc>
      </w:tr>
      <w:tr w:rsidR="00915F18" w:rsidRPr="004A2D54" w14:paraId="20451C59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7D8F3346" w14:textId="77777777" w:rsidR="00915F18" w:rsidRPr="00176E4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176E48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502" w:type="pct"/>
            <w:vAlign w:val="center"/>
          </w:tcPr>
          <w:p w14:paraId="79AF01B5" w14:textId="6D01A54A" w:rsidR="00915F18" w:rsidRPr="00176E48" w:rsidRDefault="00D40A7B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753.100</w:t>
            </w:r>
          </w:p>
        </w:tc>
        <w:tc>
          <w:tcPr>
            <w:tcW w:w="502" w:type="pct"/>
            <w:vAlign w:val="center"/>
          </w:tcPr>
          <w:p w14:paraId="49E17191" w14:textId="0ED0D019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1.290.000</w:t>
            </w:r>
          </w:p>
        </w:tc>
        <w:tc>
          <w:tcPr>
            <w:tcW w:w="502" w:type="pct"/>
            <w:vAlign w:val="center"/>
          </w:tcPr>
          <w:p w14:paraId="68CEA868" w14:textId="4D6F9156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864.600</w:t>
            </w:r>
          </w:p>
        </w:tc>
        <w:tc>
          <w:tcPr>
            <w:tcW w:w="502" w:type="pct"/>
            <w:vAlign w:val="center"/>
          </w:tcPr>
          <w:p w14:paraId="5B1F8ABA" w14:textId="77E076D2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405.000</w:t>
            </w:r>
          </w:p>
        </w:tc>
        <w:tc>
          <w:tcPr>
            <w:tcW w:w="502" w:type="pct"/>
            <w:vAlign w:val="center"/>
          </w:tcPr>
          <w:p w14:paraId="6419DF74" w14:textId="660C33AC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1.415.700</w:t>
            </w:r>
          </w:p>
        </w:tc>
        <w:tc>
          <w:tcPr>
            <w:tcW w:w="502" w:type="pct"/>
            <w:vAlign w:val="center"/>
          </w:tcPr>
          <w:p w14:paraId="4F9E55D5" w14:textId="57541F09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494.500</w:t>
            </w:r>
          </w:p>
        </w:tc>
        <w:tc>
          <w:tcPr>
            <w:tcW w:w="502" w:type="pct"/>
            <w:vAlign w:val="center"/>
          </w:tcPr>
          <w:p w14:paraId="084FAD6A" w14:textId="715226E0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  <w:u w:val="single"/>
              </w:rPr>
              <w:t>1.840.800</w:t>
            </w:r>
          </w:p>
        </w:tc>
        <w:tc>
          <w:tcPr>
            <w:tcW w:w="501" w:type="pct"/>
            <w:vAlign w:val="center"/>
          </w:tcPr>
          <w:p w14:paraId="73BC7799" w14:textId="3BC4C1DD" w:rsidR="00915F18" w:rsidRPr="00176E48" w:rsidRDefault="00176E48" w:rsidP="004E5677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7.06</w:t>
            </w:r>
            <w:r w:rsidR="002F2E44">
              <w:rPr>
                <w:rFonts w:ascii="Source Sans Pro" w:hAnsi="Source Sans Pro" w:cs="Arial"/>
                <w:b/>
                <w:sz w:val="16"/>
                <w:szCs w:val="16"/>
              </w:rPr>
              <w:t>3</w:t>
            </w: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.</w:t>
            </w:r>
            <w:r w:rsidR="002F2E44">
              <w:rPr>
                <w:rFonts w:ascii="Source Sans Pro" w:hAnsi="Source Sans Pro" w:cs="Arial"/>
                <w:b/>
                <w:sz w:val="16"/>
                <w:szCs w:val="16"/>
              </w:rPr>
              <w:t>7</w:t>
            </w: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00</w:t>
            </w:r>
          </w:p>
        </w:tc>
      </w:tr>
      <w:tr w:rsidR="00915F18" w:rsidRPr="004A2D54" w14:paraId="5D9FE5BB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165D4E3D" w14:textId="77777777" w:rsidR="00915F18" w:rsidRPr="00176E4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Leerstandsrate </w:t>
            </w:r>
            <w:r w:rsidRPr="00176E48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502" w:type="pct"/>
            <w:vAlign w:val="center"/>
          </w:tcPr>
          <w:p w14:paraId="148F2DB7" w14:textId="732F0A41" w:rsidR="00915F18" w:rsidRPr="00176E48" w:rsidRDefault="002D13D9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5,</w:t>
            </w:r>
            <w:r w:rsidR="002D4E42">
              <w:rPr>
                <w:rFonts w:ascii="Source Sans Pro" w:hAnsi="Source Sans Pro" w:cs="Arial"/>
                <w:sz w:val="16"/>
                <w:szCs w:val="16"/>
              </w:rPr>
              <w:t>2</w:t>
            </w:r>
          </w:p>
        </w:tc>
        <w:tc>
          <w:tcPr>
            <w:tcW w:w="502" w:type="pct"/>
            <w:vAlign w:val="center"/>
          </w:tcPr>
          <w:p w14:paraId="53D977C2" w14:textId="0C08C7AD" w:rsidR="00915F18" w:rsidRPr="00176E4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5,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8</w:t>
            </w:r>
          </w:p>
        </w:tc>
        <w:tc>
          <w:tcPr>
            <w:tcW w:w="502" w:type="pct"/>
            <w:vAlign w:val="center"/>
          </w:tcPr>
          <w:p w14:paraId="58D422BE" w14:textId="43301015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11,4</w:t>
            </w:r>
          </w:p>
        </w:tc>
        <w:tc>
          <w:tcPr>
            <w:tcW w:w="502" w:type="pct"/>
            <w:vAlign w:val="center"/>
          </w:tcPr>
          <w:p w14:paraId="5D45C7FC" w14:textId="7B4457BE" w:rsidR="00915F18" w:rsidRPr="00176E48" w:rsidRDefault="00783544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D746DA" w:rsidRPr="00176E48">
              <w:rPr>
                <w:rFonts w:ascii="Source Sans Pro" w:hAnsi="Source Sans Pro" w:cs="Arial"/>
                <w:sz w:val="16"/>
                <w:szCs w:val="16"/>
              </w:rPr>
              <w:t>9</w:t>
            </w:r>
          </w:p>
        </w:tc>
        <w:tc>
          <w:tcPr>
            <w:tcW w:w="502" w:type="pct"/>
            <w:vAlign w:val="center"/>
          </w:tcPr>
          <w:p w14:paraId="5915FD24" w14:textId="3070646F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  <w:u w:val="single"/>
              </w:rPr>
              <w:t>12,0</w:t>
            </w:r>
          </w:p>
        </w:tc>
        <w:tc>
          <w:tcPr>
            <w:tcW w:w="502" w:type="pct"/>
            <w:vAlign w:val="center"/>
          </w:tcPr>
          <w:p w14:paraId="3B9D2BD0" w14:textId="03420D08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5,8</w:t>
            </w:r>
          </w:p>
        </w:tc>
        <w:tc>
          <w:tcPr>
            <w:tcW w:w="502" w:type="pct"/>
            <w:vAlign w:val="center"/>
          </w:tcPr>
          <w:p w14:paraId="17A6AD52" w14:textId="06CF4C9D" w:rsidR="00915F18" w:rsidRPr="00176E48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7,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8</w:t>
            </w:r>
          </w:p>
        </w:tc>
        <w:tc>
          <w:tcPr>
            <w:tcW w:w="501" w:type="pct"/>
            <w:vAlign w:val="center"/>
          </w:tcPr>
          <w:p w14:paraId="7053E5B3" w14:textId="09A77CF0" w:rsidR="00915F18" w:rsidRPr="00176E48" w:rsidRDefault="00176E4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7,3</w:t>
            </w:r>
          </w:p>
        </w:tc>
      </w:tr>
      <w:tr w:rsidR="00915F18" w:rsidRPr="004A2D54" w14:paraId="017BC5AD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5A3D31BD" w14:textId="77777777" w:rsidR="00915F18" w:rsidRPr="00176E4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78AA14B2" w14:textId="1365993D" w:rsidR="00915F18" w:rsidRPr="00176E4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202</w:t>
            </w:r>
            <w:r w:rsidR="00176E48" w:rsidRPr="00176E4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176E4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</w:t>
            </w:r>
            <w:r w:rsidR="00176E48" w:rsidRPr="00176E4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6</w:t>
            </w:r>
            <w:r w:rsidRPr="00176E4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176E48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FE8E63A" w14:textId="1A321691" w:rsidR="00915F18" w:rsidRPr="00176E48" w:rsidRDefault="00D746D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60</w:t>
            </w:r>
            <w:r w:rsidRPr="00176E4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14D518C3" w14:textId="65EFFFD9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  <w:u w:val="single"/>
              </w:rPr>
              <w:t>1.241.400</w:t>
            </w:r>
          </w:p>
        </w:tc>
        <w:tc>
          <w:tcPr>
            <w:tcW w:w="502" w:type="pct"/>
            <w:vAlign w:val="center"/>
          </w:tcPr>
          <w:p w14:paraId="4E23B493" w14:textId="33BBCD2F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281.800</w:t>
            </w:r>
          </w:p>
        </w:tc>
        <w:tc>
          <w:tcPr>
            <w:tcW w:w="502" w:type="pct"/>
            <w:vAlign w:val="center"/>
          </w:tcPr>
          <w:p w14:paraId="4AD34D09" w14:textId="1C48549B" w:rsidR="00915F18" w:rsidRPr="00176E4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176E48">
              <w:rPr>
                <w:rFonts w:ascii="Source Sans Pro" w:hAnsi="Source Sans Pro" w:cs="Arial"/>
                <w:sz w:val="16"/>
                <w:szCs w:val="16"/>
              </w:rPr>
              <w:t>0.000</w:t>
            </w:r>
          </w:p>
        </w:tc>
        <w:tc>
          <w:tcPr>
            <w:tcW w:w="502" w:type="pct"/>
            <w:vAlign w:val="center"/>
          </w:tcPr>
          <w:p w14:paraId="273F1FBF" w14:textId="5FAE0321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269.700</w:t>
            </w:r>
          </w:p>
        </w:tc>
        <w:tc>
          <w:tcPr>
            <w:tcW w:w="502" w:type="pct"/>
            <w:vAlign w:val="center"/>
          </w:tcPr>
          <w:p w14:paraId="3BB1B52F" w14:textId="5C09FC2B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175.300</w:t>
            </w:r>
          </w:p>
        </w:tc>
        <w:tc>
          <w:tcPr>
            <w:tcW w:w="502" w:type="pct"/>
            <w:vAlign w:val="center"/>
          </w:tcPr>
          <w:p w14:paraId="2B809AE6" w14:textId="77777777" w:rsidR="00915F18" w:rsidRPr="00176E4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630.000</w:t>
            </w:r>
          </w:p>
        </w:tc>
        <w:tc>
          <w:tcPr>
            <w:tcW w:w="501" w:type="pct"/>
            <w:vAlign w:val="center"/>
          </w:tcPr>
          <w:p w14:paraId="7FC346B0" w14:textId="33EE6B71" w:rsidR="00915F18" w:rsidRPr="00176E48" w:rsidRDefault="00176E4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3.214.000</w:t>
            </w:r>
          </w:p>
        </w:tc>
      </w:tr>
      <w:tr w:rsidR="00915F18" w:rsidRPr="004A2D54" w14:paraId="6AD0DB2A" w14:textId="77777777" w:rsidTr="00644F2E">
        <w:trPr>
          <w:trHeight w:val="283"/>
        </w:trPr>
        <w:tc>
          <w:tcPr>
            <w:tcW w:w="985" w:type="pct"/>
            <w:vAlign w:val="center"/>
          </w:tcPr>
          <w:p w14:paraId="045B3B85" w14:textId="6AEE9BC2" w:rsidR="00915F18" w:rsidRPr="00176E4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Vorvermietungsquote 202</w:t>
            </w:r>
            <w:r w:rsidR="00176E48" w:rsidRPr="00176E4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176E4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</w:t>
            </w:r>
            <w:r w:rsidR="00176E48" w:rsidRPr="00176E4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6</w:t>
            </w:r>
            <w:r w:rsidRPr="00176E4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176E48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3B06FD3D" w14:textId="7FDC1344" w:rsidR="00915F18" w:rsidRPr="00176E48" w:rsidRDefault="00915F1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="00176E48" w:rsidRPr="00176E48"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502" w:type="pct"/>
            <w:vAlign w:val="center"/>
          </w:tcPr>
          <w:p w14:paraId="162DDAAC" w14:textId="371F4D01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15</w:t>
            </w:r>
          </w:p>
        </w:tc>
        <w:tc>
          <w:tcPr>
            <w:tcW w:w="502" w:type="pct"/>
            <w:vAlign w:val="center"/>
          </w:tcPr>
          <w:p w14:paraId="782AB3F9" w14:textId="7BD5599F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30</w:t>
            </w:r>
          </w:p>
        </w:tc>
        <w:tc>
          <w:tcPr>
            <w:tcW w:w="502" w:type="pct"/>
            <w:vAlign w:val="center"/>
          </w:tcPr>
          <w:p w14:paraId="19476034" w14:textId="6F4CCF73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  <w:u w:val="single"/>
              </w:rPr>
              <w:t>71</w:t>
            </w:r>
          </w:p>
        </w:tc>
        <w:tc>
          <w:tcPr>
            <w:tcW w:w="502" w:type="pct"/>
            <w:vAlign w:val="center"/>
          </w:tcPr>
          <w:p w14:paraId="62427165" w14:textId="754BAE0B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32</w:t>
            </w:r>
          </w:p>
        </w:tc>
        <w:tc>
          <w:tcPr>
            <w:tcW w:w="502" w:type="pct"/>
            <w:vAlign w:val="center"/>
          </w:tcPr>
          <w:p w14:paraId="2A052CF9" w14:textId="1D27D054" w:rsidR="00915F18" w:rsidRPr="00176E48" w:rsidRDefault="00176E4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sz w:val="16"/>
                <w:szCs w:val="16"/>
              </w:rPr>
              <w:t>47</w:t>
            </w:r>
          </w:p>
        </w:tc>
        <w:tc>
          <w:tcPr>
            <w:tcW w:w="502" w:type="pct"/>
            <w:vAlign w:val="center"/>
          </w:tcPr>
          <w:p w14:paraId="239B1AE9" w14:textId="725225C8" w:rsidR="00915F18" w:rsidRPr="00176E48" w:rsidRDefault="00F46315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49</w:t>
            </w:r>
          </w:p>
        </w:tc>
        <w:tc>
          <w:tcPr>
            <w:tcW w:w="501" w:type="pct"/>
            <w:vAlign w:val="center"/>
          </w:tcPr>
          <w:p w14:paraId="106416F1" w14:textId="39CAA075" w:rsidR="00915F18" w:rsidRPr="00176E48" w:rsidRDefault="00176E4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76E48">
              <w:rPr>
                <w:rFonts w:ascii="Source Sans Pro" w:hAnsi="Source Sans Pro" w:cs="Arial"/>
                <w:b/>
                <w:sz w:val="16"/>
                <w:szCs w:val="16"/>
              </w:rPr>
              <w:t>24</w:t>
            </w:r>
          </w:p>
        </w:tc>
      </w:tr>
    </w:tbl>
    <w:p w14:paraId="6974BC43" w14:textId="77777777" w:rsidR="00915F18" w:rsidRDefault="00915F18" w:rsidP="00915F18">
      <w:pPr>
        <w:widowControl w:val="0"/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16416E31" w14:textId="77777777" w:rsidR="00915F18" w:rsidRDefault="00915F18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700A8FF0" w14:textId="6837B588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t xml:space="preserve">Top bekannte </w:t>
      </w:r>
      <w:r w:rsidR="001E5CBD">
        <w:rPr>
          <w:rFonts w:ascii="Source Sans Pro" w:hAnsi="Source Sans Pro" w:cs="Arial"/>
          <w:b/>
          <w:sz w:val="20"/>
        </w:rPr>
        <w:t xml:space="preserve">Abschlüsse über </w:t>
      </w:r>
      <w:r w:rsidR="00052B49">
        <w:rPr>
          <w:rFonts w:ascii="Source Sans Pro" w:hAnsi="Source Sans Pro" w:cs="Arial"/>
          <w:b/>
          <w:sz w:val="20"/>
        </w:rPr>
        <w:t>5</w:t>
      </w:r>
      <w:r w:rsidR="004A2D54" w:rsidRPr="004A2D54">
        <w:rPr>
          <w:rFonts w:ascii="Source Sans Pro" w:hAnsi="Source Sans Pro" w:cs="Arial"/>
          <w:b/>
          <w:sz w:val="20"/>
        </w:rPr>
        <w:t xml:space="preserve">.000 m² | Top-7-Standorte | </w:t>
      </w:r>
      <w:r w:rsidR="002D13D9">
        <w:rPr>
          <w:rFonts w:ascii="Source Sans Pro" w:hAnsi="Source Sans Pro" w:cs="Arial"/>
          <w:b/>
          <w:sz w:val="20"/>
        </w:rPr>
        <w:t>1.-</w:t>
      </w:r>
      <w:r w:rsidR="00543259">
        <w:rPr>
          <w:rFonts w:ascii="Source Sans Pro" w:hAnsi="Source Sans Pro" w:cs="Arial"/>
          <w:b/>
          <w:sz w:val="20"/>
        </w:rPr>
        <w:t>4</w:t>
      </w:r>
      <w:r w:rsidR="00AA7B6F">
        <w:rPr>
          <w:rFonts w:ascii="Source Sans Pro" w:hAnsi="Source Sans Pro" w:cs="Arial"/>
          <w:b/>
          <w:sz w:val="20"/>
        </w:rPr>
        <w:t>.</w:t>
      </w:r>
      <w:r w:rsidR="004A2D54" w:rsidRPr="004A2D54">
        <w:rPr>
          <w:rFonts w:ascii="Source Sans Pro" w:hAnsi="Source Sans Pro" w:cs="Arial"/>
          <w:b/>
          <w:sz w:val="20"/>
        </w:rPr>
        <w:t xml:space="preserve"> Quartal 202</w:t>
      </w:r>
      <w:r w:rsidR="00740EB7">
        <w:rPr>
          <w:rFonts w:ascii="Source Sans Pro" w:hAnsi="Source Sans Pro" w:cs="Arial"/>
          <w:b/>
          <w:sz w:val="20"/>
        </w:rPr>
        <w:t>4</w:t>
      </w:r>
    </w:p>
    <w:tbl>
      <w:tblPr>
        <w:tblStyle w:val="Tabellenraster"/>
        <w:tblW w:w="5190" w:type="pct"/>
        <w:tblLayout w:type="fixed"/>
        <w:tblLook w:val="04A0" w:firstRow="1" w:lastRow="0" w:firstColumn="1" w:lastColumn="0" w:noHBand="0" w:noVBand="1"/>
      </w:tblPr>
      <w:tblGrid>
        <w:gridCol w:w="561"/>
        <w:gridCol w:w="3688"/>
        <w:gridCol w:w="4394"/>
        <w:gridCol w:w="992"/>
      </w:tblGrid>
      <w:tr w:rsidR="00936776" w:rsidRPr="004A2D54" w14:paraId="423F19E1" w14:textId="77777777" w:rsidTr="00735000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EC0D3D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4"/>
                <w:szCs w:val="14"/>
              </w:rPr>
            </w:pPr>
            <w:r w:rsidRPr="00EC0D3D">
              <w:rPr>
                <w:rFonts w:ascii="Source Sans Pro" w:hAnsi="Source Sans Pro" w:cs="Arial"/>
                <w:b/>
                <w:sz w:val="14"/>
                <w:szCs w:val="14"/>
              </w:rPr>
              <w:t>Stadt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EC0D3D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/>
                <w:sz w:val="14"/>
                <w:szCs w:val="14"/>
              </w:rPr>
              <w:t>Projekt/Objekt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9D73832" w:rsidR="004A2D54" w:rsidRPr="00EC0D3D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/>
                <w:sz w:val="14"/>
                <w:szCs w:val="14"/>
              </w:rPr>
              <w:t>Mieter/Eigennutzer</w:t>
            </w:r>
            <w:r w:rsidR="004E52C1" w:rsidRPr="00EC0D3D">
              <w:rPr>
                <w:rFonts w:ascii="Source Sans Pro" w:hAnsi="Source Sans Pro" w:cs="Arial"/>
                <w:b/>
                <w:sz w:val="14"/>
                <w:szCs w:val="14"/>
              </w:rPr>
              <w:t xml:space="preserve"> (EN)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EC0D3D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EC0D3D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EC0D3D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936776" w:rsidRPr="004A2D54" w14:paraId="1A9052AE" w14:textId="77777777" w:rsidTr="00735000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832" w14:textId="414DA37B" w:rsidR="004A2D54" w:rsidRPr="00D74C7B" w:rsidRDefault="00B7165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645" w14:textId="23D9F459" w:rsidR="004A2D54" w:rsidRPr="00D74C7B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„Galileo“, Gallusanlage 7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013" w14:textId="58C80264" w:rsidR="004A2D54" w:rsidRPr="00D74C7B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EZB-Bankenaufsicht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58F" w14:textId="32B2C7F2" w:rsidR="004A2D54" w:rsidRPr="00D74C7B" w:rsidRDefault="00052B49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36.800</w:t>
            </w:r>
          </w:p>
        </w:tc>
      </w:tr>
      <w:tr w:rsidR="00EC0D3D" w:rsidRPr="004A2D54" w14:paraId="0CCECFE9" w14:textId="77777777" w:rsidTr="00D74C7B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8A3" w14:textId="3AEE93C0" w:rsidR="00EC0D3D" w:rsidRPr="00D74C7B" w:rsidRDefault="00EC0D3D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7E43" w14:textId="7A7EF023" w:rsidR="00EC0D3D" w:rsidRPr="00D74C7B" w:rsidRDefault="00EC0D3D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"ROSSIO", Barmer Straße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C382" w14:textId="77867FB2" w:rsidR="00EC0D3D" w:rsidRPr="00D74C7B" w:rsidRDefault="00EC0D3D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 xml:space="preserve">Stadt Köln </w:t>
            </w:r>
            <w:r w:rsidRPr="00D74C7B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0CBE" w14:textId="6EA961E9" w:rsidR="00EC0D3D" w:rsidRPr="00D74C7B" w:rsidRDefault="0080233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26.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474</w:t>
            </w:r>
          </w:p>
        </w:tc>
      </w:tr>
      <w:tr w:rsidR="0008377B" w:rsidRPr="004A2D54" w14:paraId="005006B3" w14:textId="77777777" w:rsidTr="00D74C7B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F9D7" w14:textId="7FFFC23A" w:rsidR="0008377B" w:rsidRPr="00D74C7B" w:rsidRDefault="0008377B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8419" w14:textId="2282AD3E" w:rsidR="0008377B" w:rsidRPr="00D74C7B" w:rsidRDefault="0008377B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„GRO“, Fritz-Elsass-Str. 31-33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887F" w14:textId="5EFC736F" w:rsidR="0008377B" w:rsidRPr="00D74C7B" w:rsidRDefault="0008377B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Stadt Stuttgart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730A" w14:textId="4449F8C5" w:rsidR="0008377B" w:rsidRPr="00D74C7B" w:rsidRDefault="0008377B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26.359</w:t>
            </w:r>
          </w:p>
        </w:tc>
      </w:tr>
      <w:tr w:rsidR="00D74C7B" w:rsidRPr="004A2D54" w14:paraId="6605FFA1" w14:textId="77777777" w:rsidTr="00D74C7B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13E02" w14:textId="7C77A17B" w:rsidR="00D74C7B" w:rsidRPr="00543259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highlight w:val="yellow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4B75B" w14:textId="774BD36C" w:rsidR="00D74C7B" w:rsidRPr="00543259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highlight w:val="yellow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Gerhart-Hauptmann-Platz 50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AF5B9" w14:textId="1382AFF6" w:rsidR="00D74C7B" w:rsidRPr="00543259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highlight w:val="yellow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 xml:space="preserve">Freie und Hansestadt Hamburg </w:t>
            </w:r>
            <w:r w:rsidRPr="00D74C7B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1A7FB" w14:textId="6D97A4C1" w:rsidR="00D74C7B" w:rsidRPr="00543259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highlight w:val="yellow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25.600</w:t>
            </w:r>
          </w:p>
        </w:tc>
      </w:tr>
      <w:tr w:rsidR="00A57E1B" w:rsidRPr="004A2D54" w14:paraId="3F33AA77" w14:textId="77777777" w:rsidTr="00735000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75B" w14:textId="7FC97802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3246" w14:textId="6F0DECB8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Erweiterungsbau, Willy-Brandt-Straße 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76B4" w14:textId="043F42C3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 xml:space="preserve">Bundeskanzleramt </w:t>
            </w:r>
            <w:r w:rsidRPr="00D74C7B">
              <w:rPr>
                <w:rFonts w:ascii="Source Sans Pro" w:hAnsi="Source Sans Pro" w:cs="Arial"/>
                <w:b/>
                <w:sz w:val="16"/>
                <w:szCs w:val="16"/>
              </w:rPr>
              <w:t>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B7F9" w14:textId="09F0E652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25.000</w:t>
            </w:r>
          </w:p>
        </w:tc>
      </w:tr>
      <w:tr w:rsidR="00A57E1B" w:rsidRPr="004A2D54" w14:paraId="6D372F4A" w14:textId="77777777" w:rsidTr="00735000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2E5C" w14:textId="6FE74733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69A" w14:textId="561427D2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„X8“, Markgrafenstraße 19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7137" w14:textId="4319CEEA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 xml:space="preserve">BImA für Bundesbauministerium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AC7" w14:textId="2E102AD1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25.000</w:t>
            </w:r>
          </w:p>
        </w:tc>
      </w:tr>
      <w:tr w:rsidR="00D74C7B" w:rsidRPr="004A2D54" w14:paraId="6B24DBA3" w14:textId="77777777" w:rsidTr="005113BD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61B6E" w14:textId="6EEFF4C2" w:rsidR="00D74C7B" w:rsidRPr="00543259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highlight w:val="yellow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6F107" w14:textId="5B973A24" w:rsidR="00D74C7B" w:rsidRPr="00543259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highlight w:val="yellow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"Arne-Jacobsen-Haus", Überseering 12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95783" w14:textId="5A60DC51" w:rsidR="00D74C7B" w:rsidRPr="00543259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highlight w:val="yellow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Freie und Hansestadt Hamburg / Bezirksamt Hamburg-Nord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03E3" w14:textId="334ABDB1" w:rsidR="00D74C7B" w:rsidRPr="00543259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highlight w:val="yellow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24.100</w:t>
            </w:r>
          </w:p>
        </w:tc>
      </w:tr>
      <w:tr w:rsidR="00A57E1B" w:rsidRPr="004A2D54" w14:paraId="2E0E45EE" w14:textId="77777777" w:rsidTr="00D74C7B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7D4" w14:textId="03517E22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0611" w14:textId="3EBC13AA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Baustart an der Opladener Straße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A327" w14:textId="506D8ADD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 xml:space="preserve">Landschaftsverband Rheinland </w:t>
            </w:r>
            <w:r w:rsidRPr="00D74C7B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D501" w14:textId="65808466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22.550</w:t>
            </w:r>
          </w:p>
        </w:tc>
      </w:tr>
      <w:tr w:rsidR="00A57E1B" w:rsidRPr="004A2D54" w14:paraId="42F2C172" w14:textId="77777777" w:rsidTr="00D74C7B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3C98" w14:textId="54BBE1F5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6BC9" w14:textId="66104D02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"Tanzende Türme",  Reeperbahn 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CC51" w14:textId="3AD09AE8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ISZ Service Zentrum für Wirtschaftsbehörde und weitere Behörden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3883" w14:textId="7CE7186C" w:rsidR="00A57E1B" w:rsidRPr="00D74C7B" w:rsidRDefault="00A57E1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20.800</w:t>
            </w:r>
          </w:p>
        </w:tc>
      </w:tr>
      <w:tr w:rsidR="00A57E1B" w:rsidRPr="004A2D54" w14:paraId="2F0D2A72" w14:textId="77777777" w:rsidTr="00D74C7B">
        <w:trPr>
          <w:trHeight w:val="2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6925E" w14:textId="2C782DFB" w:rsidR="00A57E1B" w:rsidRPr="00D74C7B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9D86B" w14:textId="792DD65C" w:rsidR="00A57E1B" w:rsidRPr="00D74C7B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proofErr w:type="spellStart"/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LabCampus</w:t>
            </w:r>
            <w:proofErr w:type="spellEnd"/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“, Nordallee 54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06A85" w14:textId="18A92DB3" w:rsidR="00A57E1B" w:rsidRPr="00D74C7B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TUM München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34EA6" w14:textId="03EA6671" w:rsidR="00A57E1B" w:rsidRPr="00D74C7B" w:rsidRDefault="00D74C7B" w:rsidP="00A57E1B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74C7B">
              <w:rPr>
                <w:rFonts w:ascii="Source Sans Pro" w:hAnsi="Source Sans Pro" w:cs="Arial"/>
                <w:bCs/>
                <w:sz w:val="16"/>
                <w:szCs w:val="16"/>
              </w:rPr>
              <w:t>20.400</w:t>
            </w:r>
          </w:p>
        </w:tc>
      </w:tr>
    </w:tbl>
    <w:p w14:paraId="444FE02E" w14:textId="1CBA74EF" w:rsidR="004A2D54" w:rsidRDefault="00052B49" w:rsidP="004A2D54">
      <w:pPr>
        <w:widowControl w:val="0"/>
        <w:rPr>
          <w:rFonts w:ascii="Source Sans Pro" w:hAnsi="Source Sans Pro" w:cs="Arial"/>
          <w:sz w:val="16"/>
          <w:szCs w:val="16"/>
        </w:rPr>
      </w:pPr>
      <w:r w:rsidRPr="005D5F7E">
        <w:rPr>
          <w:rFonts w:ascii="Source Sans Pro" w:hAnsi="Source Sans Pro" w:cs="Arial"/>
          <w:sz w:val="16"/>
          <w:szCs w:val="16"/>
        </w:rPr>
        <w:t>Q</w:t>
      </w:r>
      <w:r w:rsidR="004A2D54" w:rsidRPr="005D5F7E">
        <w:rPr>
          <w:rFonts w:ascii="Source Sans Pro" w:hAnsi="Source Sans Pro" w:cs="Arial"/>
          <w:sz w:val="16"/>
          <w:szCs w:val="16"/>
        </w:rPr>
        <w:t>uelle: German Property Partners (GPP)</w:t>
      </w:r>
      <w:r w:rsidR="00342A23" w:rsidRPr="005D5F7E">
        <w:rPr>
          <w:rFonts w:ascii="Source Sans Pro" w:hAnsi="Source Sans Pro" w:cs="Arial"/>
          <w:sz w:val="16"/>
          <w:szCs w:val="16"/>
        </w:rPr>
        <w:t>; Deals aus dem aktuellen Quartal sind farblich hervorgehoben</w:t>
      </w:r>
    </w:p>
    <w:p w14:paraId="14DBC1A2" w14:textId="77777777" w:rsidR="00D74C7B" w:rsidRPr="005D5F7E" w:rsidRDefault="00D74C7B" w:rsidP="004A2D54">
      <w:pPr>
        <w:widowControl w:val="0"/>
        <w:rPr>
          <w:rFonts w:ascii="Source Sans Pro" w:hAnsi="Source Sans Pro" w:cs="Arial"/>
          <w:sz w:val="16"/>
          <w:szCs w:val="16"/>
        </w:rPr>
      </w:pPr>
    </w:p>
    <w:p w14:paraId="69B4E491" w14:textId="64D15EF7" w:rsidR="00EF4420" w:rsidRPr="00A36FA4" w:rsidRDefault="00EF4420" w:rsidP="00EF4420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lastRenderedPageBreak/>
        <w:t>ÜBER GERMAN PROPERTY PARTNERS</w:t>
      </w:r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5BB183CA" w14:textId="77777777" w:rsidR="00EF4420" w:rsidRPr="00E1280F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Anteon Immobilien, GREIF &amp; CONTZEN Immobilien, blackolive und E &amp; G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. Es zeichnet sich durch tiefe Marktkenntnisse vor Ort, langjährig für die Partnerunternehmen tätige Immobilienberater und das persönliche Engagement der Gesellschafter und Geschäftsführer aus. </w:t>
      </w:r>
    </w:p>
    <w:p w14:paraId="4419B28D" w14:textId="77777777" w:rsidR="00EF4420" w:rsidRPr="00E1280F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28E3A0B8" w14:textId="77777777" w:rsidR="00EF4420" w:rsidRPr="00E1280F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Düsseldorf|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3F996FFC" w14:textId="77777777" w:rsidR="00EF4420" w:rsidRPr="00E1280F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7C69F8C6" w14:textId="77777777" w:rsidR="00EF4420" w:rsidRPr="006C69B7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rund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490.000</w:t>
      </w:r>
      <w:r w:rsidRP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m²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Gewerbefläche und betreute ein Transaktionsvolumen in Höhe von rund </w:t>
      </w:r>
      <w:r w:rsidRPr="009C6B1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770 Mio. €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</w:p>
    <w:p w14:paraId="0879C928" w14:textId="77777777" w:rsidR="00EF4420" w:rsidRDefault="00EF4420" w:rsidP="00EF4420">
      <w:pPr>
        <w:pStyle w:val="EinfAbs"/>
        <w:tabs>
          <w:tab w:val="left" w:pos="200"/>
        </w:tabs>
        <w:spacing w:line="220" w:lineRule="exact"/>
        <w:jc w:val="both"/>
      </w:pPr>
    </w:p>
    <w:p w14:paraId="3F0E1BFC" w14:textId="10AC79F1" w:rsidR="00EF4420" w:rsidRDefault="0073500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</w:pPr>
      <w:r w:rsidRPr="00735000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408123CF" w14:textId="77777777" w:rsidR="00735000" w:rsidRPr="00972495" w:rsidRDefault="0073500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</w:pPr>
    </w:p>
    <w:p w14:paraId="1B5471A2" w14:textId="77777777" w:rsidR="00EF4420" w:rsidRPr="00D56A51" w:rsidRDefault="00EF4420" w:rsidP="00EF4420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p w14:paraId="468FAFF6" w14:textId="77777777" w:rsidR="005C25D5" w:rsidRPr="007D5A52" w:rsidRDefault="005C25D5" w:rsidP="007D5A52">
      <w:pPr>
        <w:snapToGrid w:val="0"/>
        <w:spacing w:line="280" w:lineRule="exact"/>
        <w:jc w:val="both"/>
      </w:pPr>
    </w:p>
    <w:sectPr w:rsidR="005C25D5" w:rsidRPr="007D5A52" w:rsidSect="001B786B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790528">
    <w:pPr>
      <w:pStyle w:val="Fuzeile"/>
      <w:spacing w:line="220" w:lineRule="exact"/>
      <w:jc w:val="center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16F7A3CC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A8753E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A8753E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05B67B84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9B008F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9B008F">
      <w:rPr>
        <w:rFonts w:ascii="Source Sans Pro" w:hAnsi="Source Sans Pro" w:cs="Source Sans Pro"/>
        <w:color w:val="0087A8"/>
        <w:sz w:val="18"/>
        <w:szCs w:val="18"/>
      </w:rPr>
      <w:t>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735000">
      <w:rPr>
        <w:rFonts w:ascii="Source Sans Pro" w:hAnsi="Source Sans Pro" w:cs="Source Sans Pro"/>
        <w:color w:val="0087A8"/>
        <w:sz w:val="18"/>
        <w:szCs w:val="18"/>
      </w:rPr>
      <w:t>988</w:t>
    </w:r>
  </w:p>
  <w:p w14:paraId="6F9C1B3C" w14:textId="14EDD27A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3D9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60B09264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A8753E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A8753E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15787C79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790528">
      <w:rPr>
        <w:rFonts w:ascii="Source Sans Pro" w:hAnsi="Source Sans Pro" w:cs="Source Sans Pro"/>
        <w:color w:val="0087A8"/>
        <w:sz w:val="18"/>
        <w:szCs w:val="18"/>
      </w:rPr>
      <w:t>9</w:t>
    </w:r>
    <w:r w:rsidR="002D13D9">
      <w:rPr>
        <w:rFonts w:ascii="Source Sans Pro" w:hAnsi="Source Sans Pro" w:cs="Source Sans Pro"/>
        <w:color w:val="0087A8"/>
        <w:sz w:val="18"/>
        <w:szCs w:val="18"/>
      </w:rPr>
      <w:t>88</w:t>
    </w:r>
  </w:p>
  <w:p w14:paraId="5F7CBAE8" w14:textId="45EF2C56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3D9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2A3"/>
    <w:multiLevelType w:val="hybridMultilevel"/>
    <w:tmpl w:val="AEC0726C"/>
    <w:lvl w:ilvl="0" w:tplc="587C0272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206F"/>
    <w:multiLevelType w:val="hybridMultilevel"/>
    <w:tmpl w:val="287EDB1E"/>
    <w:lvl w:ilvl="0" w:tplc="010ECCCC">
      <w:start w:val="5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1376"/>
    <w:multiLevelType w:val="hybridMultilevel"/>
    <w:tmpl w:val="615A4584"/>
    <w:lvl w:ilvl="0" w:tplc="C464ADAE">
      <w:start w:val="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5960"/>
    <w:multiLevelType w:val="hybridMultilevel"/>
    <w:tmpl w:val="28A813FA"/>
    <w:lvl w:ilvl="0" w:tplc="FFD4296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2748"/>
    <w:multiLevelType w:val="hybridMultilevel"/>
    <w:tmpl w:val="958A4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203FE"/>
    <w:multiLevelType w:val="hybridMultilevel"/>
    <w:tmpl w:val="95E2A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57A5D"/>
    <w:multiLevelType w:val="hybridMultilevel"/>
    <w:tmpl w:val="4FAA88A4"/>
    <w:lvl w:ilvl="0" w:tplc="C16281F0">
      <w:start w:val="5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30FF"/>
    <w:multiLevelType w:val="hybridMultilevel"/>
    <w:tmpl w:val="DC068E26"/>
    <w:lvl w:ilvl="0" w:tplc="A91AE740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C0FA5"/>
    <w:multiLevelType w:val="hybridMultilevel"/>
    <w:tmpl w:val="CFC436D8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CCB32CD"/>
    <w:multiLevelType w:val="hybridMultilevel"/>
    <w:tmpl w:val="40E85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22409"/>
    <w:multiLevelType w:val="hybridMultilevel"/>
    <w:tmpl w:val="197ABF82"/>
    <w:lvl w:ilvl="0" w:tplc="587C0272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30BBC"/>
    <w:multiLevelType w:val="hybridMultilevel"/>
    <w:tmpl w:val="1FEACB4E"/>
    <w:lvl w:ilvl="0" w:tplc="D3D2A39C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363AC"/>
    <w:multiLevelType w:val="hybridMultilevel"/>
    <w:tmpl w:val="53320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669D"/>
    <w:multiLevelType w:val="hybridMultilevel"/>
    <w:tmpl w:val="1174D4FC"/>
    <w:lvl w:ilvl="0" w:tplc="587C0272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15868">
    <w:abstractNumId w:val="8"/>
  </w:num>
  <w:num w:numId="2" w16cid:durableId="1993365592">
    <w:abstractNumId w:val="1"/>
  </w:num>
  <w:num w:numId="3" w16cid:durableId="662050171">
    <w:abstractNumId w:val="6"/>
  </w:num>
  <w:num w:numId="4" w16cid:durableId="168908737">
    <w:abstractNumId w:val="12"/>
  </w:num>
  <w:num w:numId="5" w16cid:durableId="819620548">
    <w:abstractNumId w:val="11"/>
  </w:num>
  <w:num w:numId="6" w16cid:durableId="903299995">
    <w:abstractNumId w:val="7"/>
  </w:num>
  <w:num w:numId="7" w16cid:durableId="2071922540">
    <w:abstractNumId w:val="3"/>
  </w:num>
  <w:num w:numId="8" w16cid:durableId="2070806686">
    <w:abstractNumId w:val="5"/>
  </w:num>
  <w:num w:numId="9" w16cid:durableId="387538155">
    <w:abstractNumId w:val="13"/>
  </w:num>
  <w:num w:numId="10" w16cid:durableId="9112510">
    <w:abstractNumId w:val="4"/>
  </w:num>
  <w:num w:numId="11" w16cid:durableId="1850371387">
    <w:abstractNumId w:val="9"/>
  </w:num>
  <w:num w:numId="12" w16cid:durableId="1882470945">
    <w:abstractNumId w:val="10"/>
  </w:num>
  <w:num w:numId="13" w16cid:durableId="6948434">
    <w:abstractNumId w:val="0"/>
  </w:num>
  <w:num w:numId="14" w16cid:durableId="124598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85"/>
    <w:rsid w:val="00003819"/>
    <w:rsid w:val="00004E93"/>
    <w:rsid w:val="00006B0B"/>
    <w:rsid w:val="00007A82"/>
    <w:rsid w:val="00012426"/>
    <w:rsid w:val="000136D7"/>
    <w:rsid w:val="00013D73"/>
    <w:rsid w:val="00013FE8"/>
    <w:rsid w:val="0001488A"/>
    <w:rsid w:val="000173C0"/>
    <w:rsid w:val="00020AC9"/>
    <w:rsid w:val="0002187D"/>
    <w:rsid w:val="00022CE1"/>
    <w:rsid w:val="00022F25"/>
    <w:rsid w:val="00024032"/>
    <w:rsid w:val="00024153"/>
    <w:rsid w:val="000243CC"/>
    <w:rsid w:val="00024C47"/>
    <w:rsid w:val="00027EA3"/>
    <w:rsid w:val="00032028"/>
    <w:rsid w:val="00033F7F"/>
    <w:rsid w:val="0003409F"/>
    <w:rsid w:val="00034517"/>
    <w:rsid w:val="00035322"/>
    <w:rsid w:val="00041A34"/>
    <w:rsid w:val="000440EB"/>
    <w:rsid w:val="0005029E"/>
    <w:rsid w:val="000513D0"/>
    <w:rsid w:val="00052B49"/>
    <w:rsid w:val="00053277"/>
    <w:rsid w:val="00054FE9"/>
    <w:rsid w:val="000574E1"/>
    <w:rsid w:val="000663B5"/>
    <w:rsid w:val="00066A8A"/>
    <w:rsid w:val="0007043A"/>
    <w:rsid w:val="00070F97"/>
    <w:rsid w:val="00071BAF"/>
    <w:rsid w:val="00077E8A"/>
    <w:rsid w:val="00082C59"/>
    <w:rsid w:val="0008377B"/>
    <w:rsid w:val="00091562"/>
    <w:rsid w:val="0009382E"/>
    <w:rsid w:val="0009706D"/>
    <w:rsid w:val="000A4F68"/>
    <w:rsid w:val="000A4FBB"/>
    <w:rsid w:val="000A5015"/>
    <w:rsid w:val="000A6A78"/>
    <w:rsid w:val="000B0E14"/>
    <w:rsid w:val="000B310B"/>
    <w:rsid w:val="000B4143"/>
    <w:rsid w:val="000C278A"/>
    <w:rsid w:val="000C36A5"/>
    <w:rsid w:val="000C3A22"/>
    <w:rsid w:val="000C3EF6"/>
    <w:rsid w:val="000C5B2A"/>
    <w:rsid w:val="000D2B1C"/>
    <w:rsid w:val="000D4F14"/>
    <w:rsid w:val="000D6F2E"/>
    <w:rsid w:val="000D7FD3"/>
    <w:rsid w:val="000E1357"/>
    <w:rsid w:val="000E194E"/>
    <w:rsid w:val="000E641E"/>
    <w:rsid w:val="000E6577"/>
    <w:rsid w:val="000E7EA5"/>
    <w:rsid w:val="000F031F"/>
    <w:rsid w:val="000F08DC"/>
    <w:rsid w:val="000F391E"/>
    <w:rsid w:val="000F57F1"/>
    <w:rsid w:val="000F6013"/>
    <w:rsid w:val="000F79F5"/>
    <w:rsid w:val="00101220"/>
    <w:rsid w:val="001039C3"/>
    <w:rsid w:val="00103C4E"/>
    <w:rsid w:val="0010452E"/>
    <w:rsid w:val="00104EC7"/>
    <w:rsid w:val="00110B3E"/>
    <w:rsid w:val="001116D7"/>
    <w:rsid w:val="00113CD6"/>
    <w:rsid w:val="00113D8C"/>
    <w:rsid w:val="00120624"/>
    <w:rsid w:val="0012156C"/>
    <w:rsid w:val="00124C0C"/>
    <w:rsid w:val="00127A45"/>
    <w:rsid w:val="00133961"/>
    <w:rsid w:val="00137831"/>
    <w:rsid w:val="001416A0"/>
    <w:rsid w:val="001421F7"/>
    <w:rsid w:val="0014498B"/>
    <w:rsid w:val="00146881"/>
    <w:rsid w:val="001504EA"/>
    <w:rsid w:val="00152D85"/>
    <w:rsid w:val="001550FE"/>
    <w:rsid w:val="00155828"/>
    <w:rsid w:val="00157EB9"/>
    <w:rsid w:val="00157F0D"/>
    <w:rsid w:val="001647B3"/>
    <w:rsid w:val="00165601"/>
    <w:rsid w:val="001668E1"/>
    <w:rsid w:val="00166ED2"/>
    <w:rsid w:val="00173AA4"/>
    <w:rsid w:val="0017641E"/>
    <w:rsid w:val="00176E48"/>
    <w:rsid w:val="00177F39"/>
    <w:rsid w:val="00184329"/>
    <w:rsid w:val="00184BB0"/>
    <w:rsid w:val="0018674C"/>
    <w:rsid w:val="00187963"/>
    <w:rsid w:val="0019039E"/>
    <w:rsid w:val="001963BB"/>
    <w:rsid w:val="00196C77"/>
    <w:rsid w:val="001A08CF"/>
    <w:rsid w:val="001A1F4F"/>
    <w:rsid w:val="001A22F5"/>
    <w:rsid w:val="001A3369"/>
    <w:rsid w:val="001A33B3"/>
    <w:rsid w:val="001A4E95"/>
    <w:rsid w:val="001A60D1"/>
    <w:rsid w:val="001B786B"/>
    <w:rsid w:val="001C15E0"/>
    <w:rsid w:val="001C518B"/>
    <w:rsid w:val="001C5D5B"/>
    <w:rsid w:val="001C6C29"/>
    <w:rsid w:val="001D3808"/>
    <w:rsid w:val="001E1829"/>
    <w:rsid w:val="001E5503"/>
    <w:rsid w:val="001E5CBD"/>
    <w:rsid w:val="001E6935"/>
    <w:rsid w:val="001E73A9"/>
    <w:rsid w:val="001E77A9"/>
    <w:rsid w:val="001F218D"/>
    <w:rsid w:val="001F35E1"/>
    <w:rsid w:val="002005FE"/>
    <w:rsid w:val="00200C83"/>
    <w:rsid w:val="002014F7"/>
    <w:rsid w:val="00202DD3"/>
    <w:rsid w:val="00205386"/>
    <w:rsid w:val="002076E6"/>
    <w:rsid w:val="0021392B"/>
    <w:rsid w:val="0021727D"/>
    <w:rsid w:val="00220E98"/>
    <w:rsid w:val="00221CD3"/>
    <w:rsid w:val="00221D60"/>
    <w:rsid w:val="00223AD5"/>
    <w:rsid w:val="00223B49"/>
    <w:rsid w:val="00226210"/>
    <w:rsid w:val="0022694F"/>
    <w:rsid w:val="00227C73"/>
    <w:rsid w:val="002303B6"/>
    <w:rsid w:val="002350C4"/>
    <w:rsid w:val="00235393"/>
    <w:rsid w:val="002371FE"/>
    <w:rsid w:val="00243D29"/>
    <w:rsid w:val="00245D99"/>
    <w:rsid w:val="002468C0"/>
    <w:rsid w:val="00256932"/>
    <w:rsid w:val="00264A0A"/>
    <w:rsid w:val="00270180"/>
    <w:rsid w:val="002724CB"/>
    <w:rsid w:val="0028070D"/>
    <w:rsid w:val="00282ED8"/>
    <w:rsid w:val="00296D61"/>
    <w:rsid w:val="0029764A"/>
    <w:rsid w:val="002A09C2"/>
    <w:rsid w:val="002A41A8"/>
    <w:rsid w:val="002A480D"/>
    <w:rsid w:val="002A59DD"/>
    <w:rsid w:val="002A7D58"/>
    <w:rsid w:val="002B4422"/>
    <w:rsid w:val="002B537B"/>
    <w:rsid w:val="002B7C7C"/>
    <w:rsid w:val="002C52C5"/>
    <w:rsid w:val="002C67D7"/>
    <w:rsid w:val="002D13D9"/>
    <w:rsid w:val="002D1582"/>
    <w:rsid w:val="002D4E42"/>
    <w:rsid w:val="002D5B8F"/>
    <w:rsid w:val="002E0FB5"/>
    <w:rsid w:val="002F2E44"/>
    <w:rsid w:val="002F461A"/>
    <w:rsid w:val="002F746F"/>
    <w:rsid w:val="00300B29"/>
    <w:rsid w:val="0030193C"/>
    <w:rsid w:val="00303901"/>
    <w:rsid w:val="003054EB"/>
    <w:rsid w:val="00315269"/>
    <w:rsid w:val="003152C9"/>
    <w:rsid w:val="00316196"/>
    <w:rsid w:val="003214EF"/>
    <w:rsid w:val="003250ED"/>
    <w:rsid w:val="003278F6"/>
    <w:rsid w:val="0033523C"/>
    <w:rsid w:val="003366E6"/>
    <w:rsid w:val="00337E28"/>
    <w:rsid w:val="00341D84"/>
    <w:rsid w:val="003424EC"/>
    <w:rsid w:val="00342A23"/>
    <w:rsid w:val="00343846"/>
    <w:rsid w:val="0034454C"/>
    <w:rsid w:val="0035249E"/>
    <w:rsid w:val="00355438"/>
    <w:rsid w:val="00355ED1"/>
    <w:rsid w:val="00357E06"/>
    <w:rsid w:val="00361CB7"/>
    <w:rsid w:val="00363075"/>
    <w:rsid w:val="003643A0"/>
    <w:rsid w:val="00364BAF"/>
    <w:rsid w:val="00366AF3"/>
    <w:rsid w:val="00370BFB"/>
    <w:rsid w:val="0037108D"/>
    <w:rsid w:val="00371640"/>
    <w:rsid w:val="00371D83"/>
    <w:rsid w:val="00371F87"/>
    <w:rsid w:val="00374F87"/>
    <w:rsid w:val="003766F3"/>
    <w:rsid w:val="0038142B"/>
    <w:rsid w:val="00381A5A"/>
    <w:rsid w:val="00381D14"/>
    <w:rsid w:val="00386B0B"/>
    <w:rsid w:val="00387EEF"/>
    <w:rsid w:val="003907D7"/>
    <w:rsid w:val="00392897"/>
    <w:rsid w:val="00392C51"/>
    <w:rsid w:val="003948FA"/>
    <w:rsid w:val="003A06A9"/>
    <w:rsid w:val="003A0CF9"/>
    <w:rsid w:val="003A343C"/>
    <w:rsid w:val="003A44CB"/>
    <w:rsid w:val="003A463F"/>
    <w:rsid w:val="003B496B"/>
    <w:rsid w:val="003C11AC"/>
    <w:rsid w:val="003C3C1A"/>
    <w:rsid w:val="003D36F0"/>
    <w:rsid w:val="003D37E4"/>
    <w:rsid w:val="003D40B2"/>
    <w:rsid w:val="003D5215"/>
    <w:rsid w:val="003E772C"/>
    <w:rsid w:val="003E7905"/>
    <w:rsid w:val="003F293B"/>
    <w:rsid w:val="003F4EE7"/>
    <w:rsid w:val="003F5E07"/>
    <w:rsid w:val="004000A8"/>
    <w:rsid w:val="0040133F"/>
    <w:rsid w:val="0040331F"/>
    <w:rsid w:val="00403C95"/>
    <w:rsid w:val="0041251D"/>
    <w:rsid w:val="00421BFA"/>
    <w:rsid w:val="00421D43"/>
    <w:rsid w:val="00423DAC"/>
    <w:rsid w:val="00425DBF"/>
    <w:rsid w:val="004329C6"/>
    <w:rsid w:val="004333FF"/>
    <w:rsid w:val="004343B1"/>
    <w:rsid w:val="00434EB9"/>
    <w:rsid w:val="00437B38"/>
    <w:rsid w:val="00441174"/>
    <w:rsid w:val="00444113"/>
    <w:rsid w:val="00445495"/>
    <w:rsid w:val="004501A9"/>
    <w:rsid w:val="00450C93"/>
    <w:rsid w:val="00453BB0"/>
    <w:rsid w:val="00453F14"/>
    <w:rsid w:val="004563C8"/>
    <w:rsid w:val="00456442"/>
    <w:rsid w:val="00464D30"/>
    <w:rsid w:val="0047027D"/>
    <w:rsid w:val="00474099"/>
    <w:rsid w:val="00475CB4"/>
    <w:rsid w:val="00483578"/>
    <w:rsid w:val="00491CBC"/>
    <w:rsid w:val="00494AE2"/>
    <w:rsid w:val="004A111B"/>
    <w:rsid w:val="004A2A30"/>
    <w:rsid w:val="004A2D54"/>
    <w:rsid w:val="004A5F84"/>
    <w:rsid w:val="004A6E04"/>
    <w:rsid w:val="004B5CB6"/>
    <w:rsid w:val="004B712D"/>
    <w:rsid w:val="004C616B"/>
    <w:rsid w:val="004D21F1"/>
    <w:rsid w:val="004D2CD0"/>
    <w:rsid w:val="004D5D1F"/>
    <w:rsid w:val="004E52C1"/>
    <w:rsid w:val="004E6B98"/>
    <w:rsid w:val="004F1EDD"/>
    <w:rsid w:val="004F5684"/>
    <w:rsid w:val="004F77D4"/>
    <w:rsid w:val="00500981"/>
    <w:rsid w:val="00500AD6"/>
    <w:rsid w:val="0050304A"/>
    <w:rsid w:val="005045E7"/>
    <w:rsid w:val="00506747"/>
    <w:rsid w:val="0051046D"/>
    <w:rsid w:val="00510C33"/>
    <w:rsid w:val="005113BD"/>
    <w:rsid w:val="00511760"/>
    <w:rsid w:val="005122A0"/>
    <w:rsid w:val="00513341"/>
    <w:rsid w:val="005179D5"/>
    <w:rsid w:val="00520B8C"/>
    <w:rsid w:val="005306BF"/>
    <w:rsid w:val="005319DF"/>
    <w:rsid w:val="0054038E"/>
    <w:rsid w:val="005411F8"/>
    <w:rsid w:val="00543259"/>
    <w:rsid w:val="0054593A"/>
    <w:rsid w:val="00546364"/>
    <w:rsid w:val="005476AA"/>
    <w:rsid w:val="00554C9F"/>
    <w:rsid w:val="00555DDD"/>
    <w:rsid w:val="00557B57"/>
    <w:rsid w:val="005644BE"/>
    <w:rsid w:val="00567755"/>
    <w:rsid w:val="0057524E"/>
    <w:rsid w:val="00575A55"/>
    <w:rsid w:val="00580A44"/>
    <w:rsid w:val="005810F0"/>
    <w:rsid w:val="00583BFE"/>
    <w:rsid w:val="00591D42"/>
    <w:rsid w:val="0059441E"/>
    <w:rsid w:val="00596092"/>
    <w:rsid w:val="005A5999"/>
    <w:rsid w:val="005A7DA9"/>
    <w:rsid w:val="005B4C8B"/>
    <w:rsid w:val="005B52B7"/>
    <w:rsid w:val="005B74A4"/>
    <w:rsid w:val="005C25D5"/>
    <w:rsid w:val="005D0D0E"/>
    <w:rsid w:val="005D1D6F"/>
    <w:rsid w:val="005D21C5"/>
    <w:rsid w:val="005D449F"/>
    <w:rsid w:val="005D5F7E"/>
    <w:rsid w:val="005D73BE"/>
    <w:rsid w:val="005E21DE"/>
    <w:rsid w:val="005E6515"/>
    <w:rsid w:val="005F27EF"/>
    <w:rsid w:val="005F283A"/>
    <w:rsid w:val="005F3B7B"/>
    <w:rsid w:val="0060257F"/>
    <w:rsid w:val="00605989"/>
    <w:rsid w:val="006110D3"/>
    <w:rsid w:val="00613713"/>
    <w:rsid w:val="00613E6C"/>
    <w:rsid w:val="0062180F"/>
    <w:rsid w:val="006224FB"/>
    <w:rsid w:val="00630505"/>
    <w:rsid w:val="0063115F"/>
    <w:rsid w:val="006363DA"/>
    <w:rsid w:val="00640E69"/>
    <w:rsid w:val="00641BF7"/>
    <w:rsid w:val="006432C0"/>
    <w:rsid w:val="00644F2E"/>
    <w:rsid w:val="006456EA"/>
    <w:rsid w:val="00646995"/>
    <w:rsid w:val="00650F25"/>
    <w:rsid w:val="0065177E"/>
    <w:rsid w:val="00653983"/>
    <w:rsid w:val="00655943"/>
    <w:rsid w:val="00657059"/>
    <w:rsid w:val="006609C2"/>
    <w:rsid w:val="00664262"/>
    <w:rsid w:val="006724DF"/>
    <w:rsid w:val="00674305"/>
    <w:rsid w:val="00675BA1"/>
    <w:rsid w:val="00675E89"/>
    <w:rsid w:val="00684F14"/>
    <w:rsid w:val="006853DC"/>
    <w:rsid w:val="00685E14"/>
    <w:rsid w:val="006923BE"/>
    <w:rsid w:val="00693CEE"/>
    <w:rsid w:val="00695DE9"/>
    <w:rsid w:val="00695F46"/>
    <w:rsid w:val="006A0549"/>
    <w:rsid w:val="006A3192"/>
    <w:rsid w:val="006A3C35"/>
    <w:rsid w:val="006A49B1"/>
    <w:rsid w:val="006A5878"/>
    <w:rsid w:val="006A6D11"/>
    <w:rsid w:val="006B2259"/>
    <w:rsid w:val="006B2684"/>
    <w:rsid w:val="006B2E8B"/>
    <w:rsid w:val="006B5252"/>
    <w:rsid w:val="006B670F"/>
    <w:rsid w:val="006C1FF3"/>
    <w:rsid w:val="006C5754"/>
    <w:rsid w:val="006C5831"/>
    <w:rsid w:val="006D02E0"/>
    <w:rsid w:val="006D1719"/>
    <w:rsid w:val="006D2948"/>
    <w:rsid w:val="006D2B6F"/>
    <w:rsid w:val="006D2DAE"/>
    <w:rsid w:val="006D518A"/>
    <w:rsid w:val="006D6526"/>
    <w:rsid w:val="006D7431"/>
    <w:rsid w:val="006D7E9F"/>
    <w:rsid w:val="006E03E0"/>
    <w:rsid w:val="006E3B37"/>
    <w:rsid w:val="006E60AE"/>
    <w:rsid w:val="006E674D"/>
    <w:rsid w:val="006E6770"/>
    <w:rsid w:val="006F12A8"/>
    <w:rsid w:val="006F154A"/>
    <w:rsid w:val="006F3858"/>
    <w:rsid w:val="006F3CBD"/>
    <w:rsid w:val="006F3F00"/>
    <w:rsid w:val="006F4F92"/>
    <w:rsid w:val="00700A62"/>
    <w:rsid w:val="0070136B"/>
    <w:rsid w:val="0070363C"/>
    <w:rsid w:val="00705513"/>
    <w:rsid w:val="00712023"/>
    <w:rsid w:val="007144E9"/>
    <w:rsid w:val="0071482E"/>
    <w:rsid w:val="00714A1F"/>
    <w:rsid w:val="00717328"/>
    <w:rsid w:val="007178FB"/>
    <w:rsid w:val="0072073D"/>
    <w:rsid w:val="007316B6"/>
    <w:rsid w:val="00732D5E"/>
    <w:rsid w:val="00735000"/>
    <w:rsid w:val="00735199"/>
    <w:rsid w:val="007355B6"/>
    <w:rsid w:val="00735DF6"/>
    <w:rsid w:val="007366B7"/>
    <w:rsid w:val="00740EB7"/>
    <w:rsid w:val="00742C04"/>
    <w:rsid w:val="0074571D"/>
    <w:rsid w:val="00745D50"/>
    <w:rsid w:val="007627C8"/>
    <w:rsid w:val="0076666B"/>
    <w:rsid w:val="00766717"/>
    <w:rsid w:val="00771C92"/>
    <w:rsid w:val="007755D7"/>
    <w:rsid w:val="007832C8"/>
    <w:rsid w:val="00783544"/>
    <w:rsid w:val="00784532"/>
    <w:rsid w:val="00790528"/>
    <w:rsid w:val="00793C7D"/>
    <w:rsid w:val="00797DA3"/>
    <w:rsid w:val="007A2D16"/>
    <w:rsid w:val="007A4844"/>
    <w:rsid w:val="007B27FB"/>
    <w:rsid w:val="007B3142"/>
    <w:rsid w:val="007B33CE"/>
    <w:rsid w:val="007B35E6"/>
    <w:rsid w:val="007B7B81"/>
    <w:rsid w:val="007C0C9E"/>
    <w:rsid w:val="007C7AF9"/>
    <w:rsid w:val="007D1495"/>
    <w:rsid w:val="007D5A52"/>
    <w:rsid w:val="007D75C8"/>
    <w:rsid w:val="007E2C66"/>
    <w:rsid w:val="007E38D1"/>
    <w:rsid w:val="007E46C3"/>
    <w:rsid w:val="007E6244"/>
    <w:rsid w:val="007F02A1"/>
    <w:rsid w:val="007F1021"/>
    <w:rsid w:val="007F2DBB"/>
    <w:rsid w:val="007F5B5C"/>
    <w:rsid w:val="007F7E7C"/>
    <w:rsid w:val="008010F4"/>
    <w:rsid w:val="00801337"/>
    <w:rsid w:val="0080233C"/>
    <w:rsid w:val="008113A7"/>
    <w:rsid w:val="0081554E"/>
    <w:rsid w:val="00821A81"/>
    <w:rsid w:val="00824CB6"/>
    <w:rsid w:val="00833779"/>
    <w:rsid w:val="00835659"/>
    <w:rsid w:val="008373FC"/>
    <w:rsid w:val="00846193"/>
    <w:rsid w:val="00846E84"/>
    <w:rsid w:val="00856A7C"/>
    <w:rsid w:val="00863D6C"/>
    <w:rsid w:val="008739E7"/>
    <w:rsid w:val="00874645"/>
    <w:rsid w:val="00881685"/>
    <w:rsid w:val="00882014"/>
    <w:rsid w:val="008844D9"/>
    <w:rsid w:val="00891C3A"/>
    <w:rsid w:val="008931F2"/>
    <w:rsid w:val="00895BBC"/>
    <w:rsid w:val="008A3A3B"/>
    <w:rsid w:val="008A5E54"/>
    <w:rsid w:val="008A7188"/>
    <w:rsid w:val="008B4EB4"/>
    <w:rsid w:val="008C1EBB"/>
    <w:rsid w:val="008C7E1F"/>
    <w:rsid w:val="008D24F1"/>
    <w:rsid w:val="008D4B26"/>
    <w:rsid w:val="008D6864"/>
    <w:rsid w:val="008D6B2E"/>
    <w:rsid w:val="008E25DF"/>
    <w:rsid w:val="008E5C25"/>
    <w:rsid w:val="008F0275"/>
    <w:rsid w:val="008F1872"/>
    <w:rsid w:val="008F2058"/>
    <w:rsid w:val="009038BE"/>
    <w:rsid w:val="009064CE"/>
    <w:rsid w:val="00912233"/>
    <w:rsid w:val="0091343A"/>
    <w:rsid w:val="009143D7"/>
    <w:rsid w:val="00915F18"/>
    <w:rsid w:val="00917111"/>
    <w:rsid w:val="00917410"/>
    <w:rsid w:val="00921F45"/>
    <w:rsid w:val="009264D0"/>
    <w:rsid w:val="009312C4"/>
    <w:rsid w:val="009321F1"/>
    <w:rsid w:val="0093360A"/>
    <w:rsid w:val="0093396F"/>
    <w:rsid w:val="00935312"/>
    <w:rsid w:val="009358D3"/>
    <w:rsid w:val="00936776"/>
    <w:rsid w:val="00937D71"/>
    <w:rsid w:val="00955433"/>
    <w:rsid w:val="00955764"/>
    <w:rsid w:val="00957A6F"/>
    <w:rsid w:val="009649C2"/>
    <w:rsid w:val="00965DEB"/>
    <w:rsid w:val="00971DF5"/>
    <w:rsid w:val="00972495"/>
    <w:rsid w:val="00973056"/>
    <w:rsid w:val="009738DE"/>
    <w:rsid w:val="009750F7"/>
    <w:rsid w:val="009758E9"/>
    <w:rsid w:val="00977A0F"/>
    <w:rsid w:val="00980BEB"/>
    <w:rsid w:val="00980D94"/>
    <w:rsid w:val="009825A7"/>
    <w:rsid w:val="00982F7B"/>
    <w:rsid w:val="009843D4"/>
    <w:rsid w:val="00986E5B"/>
    <w:rsid w:val="0099076D"/>
    <w:rsid w:val="00993B36"/>
    <w:rsid w:val="009946EA"/>
    <w:rsid w:val="0099690F"/>
    <w:rsid w:val="00996D38"/>
    <w:rsid w:val="00997675"/>
    <w:rsid w:val="009A3211"/>
    <w:rsid w:val="009A53E2"/>
    <w:rsid w:val="009B008F"/>
    <w:rsid w:val="009B0C09"/>
    <w:rsid w:val="009C11F2"/>
    <w:rsid w:val="009C1253"/>
    <w:rsid w:val="009C3FDE"/>
    <w:rsid w:val="009C51BD"/>
    <w:rsid w:val="009C7CAD"/>
    <w:rsid w:val="009D1C7A"/>
    <w:rsid w:val="009D2111"/>
    <w:rsid w:val="009D2836"/>
    <w:rsid w:val="009D686B"/>
    <w:rsid w:val="009E6FDF"/>
    <w:rsid w:val="009F28F5"/>
    <w:rsid w:val="009F2DA7"/>
    <w:rsid w:val="00A0582F"/>
    <w:rsid w:val="00A0717D"/>
    <w:rsid w:val="00A07846"/>
    <w:rsid w:val="00A12AFE"/>
    <w:rsid w:val="00A12F7A"/>
    <w:rsid w:val="00A13548"/>
    <w:rsid w:val="00A159F8"/>
    <w:rsid w:val="00A17CA6"/>
    <w:rsid w:val="00A2086A"/>
    <w:rsid w:val="00A20DD4"/>
    <w:rsid w:val="00A2291B"/>
    <w:rsid w:val="00A22C2C"/>
    <w:rsid w:val="00A26415"/>
    <w:rsid w:val="00A30890"/>
    <w:rsid w:val="00A32496"/>
    <w:rsid w:val="00A346EF"/>
    <w:rsid w:val="00A53AF4"/>
    <w:rsid w:val="00A54087"/>
    <w:rsid w:val="00A549F3"/>
    <w:rsid w:val="00A57E1B"/>
    <w:rsid w:val="00A611B9"/>
    <w:rsid w:val="00A611D2"/>
    <w:rsid w:val="00A626AC"/>
    <w:rsid w:val="00A65690"/>
    <w:rsid w:val="00A65FB0"/>
    <w:rsid w:val="00A66A23"/>
    <w:rsid w:val="00A67512"/>
    <w:rsid w:val="00A743C6"/>
    <w:rsid w:val="00A8753E"/>
    <w:rsid w:val="00A908C3"/>
    <w:rsid w:val="00A908E3"/>
    <w:rsid w:val="00A90FFC"/>
    <w:rsid w:val="00A9187E"/>
    <w:rsid w:val="00A92F3E"/>
    <w:rsid w:val="00A9327D"/>
    <w:rsid w:val="00A9412B"/>
    <w:rsid w:val="00A95739"/>
    <w:rsid w:val="00A964CF"/>
    <w:rsid w:val="00A96A38"/>
    <w:rsid w:val="00AA0491"/>
    <w:rsid w:val="00AA0AB4"/>
    <w:rsid w:val="00AA2C1B"/>
    <w:rsid w:val="00AA7B6F"/>
    <w:rsid w:val="00AB0EF0"/>
    <w:rsid w:val="00AB2F7B"/>
    <w:rsid w:val="00AB300C"/>
    <w:rsid w:val="00AB449B"/>
    <w:rsid w:val="00AB69AD"/>
    <w:rsid w:val="00AB7CFA"/>
    <w:rsid w:val="00AC00F8"/>
    <w:rsid w:val="00AC3C22"/>
    <w:rsid w:val="00AC49D3"/>
    <w:rsid w:val="00AC6B15"/>
    <w:rsid w:val="00AC7376"/>
    <w:rsid w:val="00AD2569"/>
    <w:rsid w:val="00AD3799"/>
    <w:rsid w:val="00AD4124"/>
    <w:rsid w:val="00AE027C"/>
    <w:rsid w:val="00AE0761"/>
    <w:rsid w:val="00AE07A3"/>
    <w:rsid w:val="00AE0E7B"/>
    <w:rsid w:val="00AE2412"/>
    <w:rsid w:val="00AE318F"/>
    <w:rsid w:val="00AE4AB8"/>
    <w:rsid w:val="00AE6F47"/>
    <w:rsid w:val="00AF13F6"/>
    <w:rsid w:val="00AF202A"/>
    <w:rsid w:val="00AF2305"/>
    <w:rsid w:val="00AF237D"/>
    <w:rsid w:val="00AF2F5E"/>
    <w:rsid w:val="00B005BD"/>
    <w:rsid w:val="00B03444"/>
    <w:rsid w:val="00B03542"/>
    <w:rsid w:val="00B04F23"/>
    <w:rsid w:val="00B06E5F"/>
    <w:rsid w:val="00B10FC3"/>
    <w:rsid w:val="00B110DF"/>
    <w:rsid w:val="00B14E68"/>
    <w:rsid w:val="00B226FB"/>
    <w:rsid w:val="00B23669"/>
    <w:rsid w:val="00B23A2B"/>
    <w:rsid w:val="00B24860"/>
    <w:rsid w:val="00B30599"/>
    <w:rsid w:val="00B3182A"/>
    <w:rsid w:val="00B340CD"/>
    <w:rsid w:val="00B41CC3"/>
    <w:rsid w:val="00B4714C"/>
    <w:rsid w:val="00B50A63"/>
    <w:rsid w:val="00B53AEB"/>
    <w:rsid w:val="00B5553A"/>
    <w:rsid w:val="00B56AFB"/>
    <w:rsid w:val="00B576A5"/>
    <w:rsid w:val="00B57BCE"/>
    <w:rsid w:val="00B62EDB"/>
    <w:rsid w:val="00B6613A"/>
    <w:rsid w:val="00B70893"/>
    <w:rsid w:val="00B7165E"/>
    <w:rsid w:val="00B71718"/>
    <w:rsid w:val="00B717E3"/>
    <w:rsid w:val="00B71BBD"/>
    <w:rsid w:val="00B72F21"/>
    <w:rsid w:val="00B76E86"/>
    <w:rsid w:val="00B776EA"/>
    <w:rsid w:val="00B83DA7"/>
    <w:rsid w:val="00B84498"/>
    <w:rsid w:val="00B862DB"/>
    <w:rsid w:val="00B922EE"/>
    <w:rsid w:val="00B928B9"/>
    <w:rsid w:val="00B9596E"/>
    <w:rsid w:val="00BA6227"/>
    <w:rsid w:val="00BB0F85"/>
    <w:rsid w:val="00BB21C3"/>
    <w:rsid w:val="00BC0132"/>
    <w:rsid w:val="00BC0598"/>
    <w:rsid w:val="00BC05DE"/>
    <w:rsid w:val="00BC410C"/>
    <w:rsid w:val="00BC72A5"/>
    <w:rsid w:val="00BD0426"/>
    <w:rsid w:val="00BD10B3"/>
    <w:rsid w:val="00BD2784"/>
    <w:rsid w:val="00BD4A2C"/>
    <w:rsid w:val="00BD4A4F"/>
    <w:rsid w:val="00BE0C9E"/>
    <w:rsid w:val="00BF11C6"/>
    <w:rsid w:val="00BF5F7B"/>
    <w:rsid w:val="00BF69F6"/>
    <w:rsid w:val="00BF702E"/>
    <w:rsid w:val="00C00EA0"/>
    <w:rsid w:val="00C0282D"/>
    <w:rsid w:val="00C074BD"/>
    <w:rsid w:val="00C11004"/>
    <w:rsid w:val="00C111FE"/>
    <w:rsid w:val="00C13193"/>
    <w:rsid w:val="00C13396"/>
    <w:rsid w:val="00C14603"/>
    <w:rsid w:val="00C1484F"/>
    <w:rsid w:val="00C1497F"/>
    <w:rsid w:val="00C20B9C"/>
    <w:rsid w:val="00C2509E"/>
    <w:rsid w:val="00C2778C"/>
    <w:rsid w:val="00C27F6A"/>
    <w:rsid w:val="00C35841"/>
    <w:rsid w:val="00C41C74"/>
    <w:rsid w:val="00C43C76"/>
    <w:rsid w:val="00C43F46"/>
    <w:rsid w:val="00C47F8B"/>
    <w:rsid w:val="00C500B4"/>
    <w:rsid w:val="00C51A09"/>
    <w:rsid w:val="00C52723"/>
    <w:rsid w:val="00C616A4"/>
    <w:rsid w:val="00C64096"/>
    <w:rsid w:val="00C654E1"/>
    <w:rsid w:val="00C832FA"/>
    <w:rsid w:val="00C846F6"/>
    <w:rsid w:val="00C85B10"/>
    <w:rsid w:val="00C87DBD"/>
    <w:rsid w:val="00C90192"/>
    <w:rsid w:val="00C90DE4"/>
    <w:rsid w:val="00C9383E"/>
    <w:rsid w:val="00C96048"/>
    <w:rsid w:val="00C96214"/>
    <w:rsid w:val="00C9797F"/>
    <w:rsid w:val="00CA008E"/>
    <w:rsid w:val="00CA1FB9"/>
    <w:rsid w:val="00CA73C1"/>
    <w:rsid w:val="00CA79D7"/>
    <w:rsid w:val="00CB2D7E"/>
    <w:rsid w:val="00CB3EA4"/>
    <w:rsid w:val="00CC40B9"/>
    <w:rsid w:val="00CC646D"/>
    <w:rsid w:val="00CC7CBA"/>
    <w:rsid w:val="00CD463B"/>
    <w:rsid w:val="00CD687A"/>
    <w:rsid w:val="00CD77DD"/>
    <w:rsid w:val="00CD7E39"/>
    <w:rsid w:val="00CE2EFB"/>
    <w:rsid w:val="00CE37BA"/>
    <w:rsid w:val="00CE5A10"/>
    <w:rsid w:val="00CF49FA"/>
    <w:rsid w:val="00CF6D99"/>
    <w:rsid w:val="00D002D6"/>
    <w:rsid w:val="00D02522"/>
    <w:rsid w:val="00D02F81"/>
    <w:rsid w:val="00D02FD8"/>
    <w:rsid w:val="00D10832"/>
    <w:rsid w:val="00D14315"/>
    <w:rsid w:val="00D17516"/>
    <w:rsid w:val="00D30707"/>
    <w:rsid w:val="00D3104C"/>
    <w:rsid w:val="00D3143B"/>
    <w:rsid w:val="00D33105"/>
    <w:rsid w:val="00D40A7B"/>
    <w:rsid w:val="00D41ABC"/>
    <w:rsid w:val="00D478CC"/>
    <w:rsid w:val="00D50FDD"/>
    <w:rsid w:val="00D51669"/>
    <w:rsid w:val="00D52EF6"/>
    <w:rsid w:val="00D602AC"/>
    <w:rsid w:val="00D62AA1"/>
    <w:rsid w:val="00D70824"/>
    <w:rsid w:val="00D70F9E"/>
    <w:rsid w:val="00D746DA"/>
    <w:rsid w:val="00D74C7B"/>
    <w:rsid w:val="00D760A9"/>
    <w:rsid w:val="00D8401E"/>
    <w:rsid w:val="00D907BA"/>
    <w:rsid w:val="00D925B8"/>
    <w:rsid w:val="00D92C1C"/>
    <w:rsid w:val="00D92E46"/>
    <w:rsid w:val="00D95197"/>
    <w:rsid w:val="00DA0D62"/>
    <w:rsid w:val="00DA15B5"/>
    <w:rsid w:val="00DA2639"/>
    <w:rsid w:val="00DA3B66"/>
    <w:rsid w:val="00DA6836"/>
    <w:rsid w:val="00DA733A"/>
    <w:rsid w:val="00DB2417"/>
    <w:rsid w:val="00DC05A3"/>
    <w:rsid w:val="00DC0951"/>
    <w:rsid w:val="00DC497C"/>
    <w:rsid w:val="00DC6A0C"/>
    <w:rsid w:val="00DC74D9"/>
    <w:rsid w:val="00DC7EB8"/>
    <w:rsid w:val="00DD1087"/>
    <w:rsid w:val="00DD2947"/>
    <w:rsid w:val="00DD3BDB"/>
    <w:rsid w:val="00DD446C"/>
    <w:rsid w:val="00DE7EFC"/>
    <w:rsid w:val="00DF1DB5"/>
    <w:rsid w:val="00DF1EEF"/>
    <w:rsid w:val="00DF226F"/>
    <w:rsid w:val="00DF25FA"/>
    <w:rsid w:val="00DF2B8B"/>
    <w:rsid w:val="00DF4405"/>
    <w:rsid w:val="00E03DB3"/>
    <w:rsid w:val="00E05ECE"/>
    <w:rsid w:val="00E1280F"/>
    <w:rsid w:val="00E131B0"/>
    <w:rsid w:val="00E17B2C"/>
    <w:rsid w:val="00E200B3"/>
    <w:rsid w:val="00E20271"/>
    <w:rsid w:val="00E23ABF"/>
    <w:rsid w:val="00E27DEF"/>
    <w:rsid w:val="00E32743"/>
    <w:rsid w:val="00E342C7"/>
    <w:rsid w:val="00E354F6"/>
    <w:rsid w:val="00E35D3E"/>
    <w:rsid w:val="00E402C5"/>
    <w:rsid w:val="00E404DC"/>
    <w:rsid w:val="00E41A83"/>
    <w:rsid w:val="00E4317C"/>
    <w:rsid w:val="00E51A3A"/>
    <w:rsid w:val="00E606F4"/>
    <w:rsid w:val="00E61AC1"/>
    <w:rsid w:val="00E63703"/>
    <w:rsid w:val="00E66C4A"/>
    <w:rsid w:val="00E704C6"/>
    <w:rsid w:val="00E72EE7"/>
    <w:rsid w:val="00E744B7"/>
    <w:rsid w:val="00E75185"/>
    <w:rsid w:val="00E775AC"/>
    <w:rsid w:val="00E77B98"/>
    <w:rsid w:val="00E77E42"/>
    <w:rsid w:val="00E80907"/>
    <w:rsid w:val="00E8471E"/>
    <w:rsid w:val="00E9085A"/>
    <w:rsid w:val="00E942DA"/>
    <w:rsid w:val="00E94EF3"/>
    <w:rsid w:val="00E959E9"/>
    <w:rsid w:val="00E95E00"/>
    <w:rsid w:val="00E9704C"/>
    <w:rsid w:val="00E97167"/>
    <w:rsid w:val="00EA0EE4"/>
    <w:rsid w:val="00EB19E5"/>
    <w:rsid w:val="00EB468A"/>
    <w:rsid w:val="00EB5246"/>
    <w:rsid w:val="00EC0D3D"/>
    <w:rsid w:val="00EC3C01"/>
    <w:rsid w:val="00EC3DC1"/>
    <w:rsid w:val="00EC6CC2"/>
    <w:rsid w:val="00ED0595"/>
    <w:rsid w:val="00ED0970"/>
    <w:rsid w:val="00ED5E59"/>
    <w:rsid w:val="00ED6DCA"/>
    <w:rsid w:val="00EE46A2"/>
    <w:rsid w:val="00EF20B1"/>
    <w:rsid w:val="00EF4420"/>
    <w:rsid w:val="00EF7BE7"/>
    <w:rsid w:val="00F00604"/>
    <w:rsid w:val="00F00CF2"/>
    <w:rsid w:val="00F011B6"/>
    <w:rsid w:val="00F05141"/>
    <w:rsid w:val="00F076C1"/>
    <w:rsid w:val="00F07725"/>
    <w:rsid w:val="00F119A6"/>
    <w:rsid w:val="00F167CB"/>
    <w:rsid w:val="00F2164E"/>
    <w:rsid w:val="00F218D7"/>
    <w:rsid w:val="00F240EB"/>
    <w:rsid w:val="00F315FE"/>
    <w:rsid w:val="00F31FE6"/>
    <w:rsid w:val="00F43811"/>
    <w:rsid w:val="00F45BB8"/>
    <w:rsid w:val="00F46315"/>
    <w:rsid w:val="00F53E0E"/>
    <w:rsid w:val="00F53F80"/>
    <w:rsid w:val="00F55A27"/>
    <w:rsid w:val="00F5697E"/>
    <w:rsid w:val="00F620DA"/>
    <w:rsid w:val="00F63BFA"/>
    <w:rsid w:val="00F64376"/>
    <w:rsid w:val="00F6556A"/>
    <w:rsid w:val="00F65709"/>
    <w:rsid w:val="00F65BF2"/>
    <w:rsid w:val="00F673A2"/>
    <w:rsid w:val="00F677EA"/>
    <w:rsid w:val="00F70A1C"/>
    <w:rsid w:val="00F72A3E"/>
    <w:rsid w:val="00F7577B"/>
    <w:rsid w:val="00F76590"/>
    <w:rsid w:val="00F77715"/>
    <w:rsid w:val="00F84A25"/>
    <w:rsid w:val="00F84C57"/>
    <w:rsid w:val="00F86789"/>
    <w:rsid w:val="00F937F1"/>
    <w:rsid w:val="00FA3D12"/>
    <w:rsid w:val="00FA4024"/>
    <w:rsid w:val="00FA76AB"/>
    <w:rsid w:val="00FB28C0"/>
    <w:rsid w:val="00FB2A50"/>
    <w:rsid w:val="00FB39D3"/>
    <w:rsid w:val="00FB3B53"/>
    <w:rsid w:val="00FB7915"/>
    <w:rsid w:val="00FC1DF2"/>
    <w:rsid w:val="00FC570A"/>
    <w:rsid w:val="00FC69D9"/>
    <w:rsid w:val="00FD3C18"/>
    <w:rsid w:val="00FD6D0F"/>
    <w:rsid w:val="00FD7412"/>
    <w:rsid w:val="00FE2133"/>
    <w:rsid w:val="00FE4632"/>
    <w:rsid w:val="00FE6C3C"/>
    <w:rsid w:val="00FF01B7"/>
    <w:rsid w:val="00FF1703"/>
    <w:rsid w:val="00FF1EF9"/>
    <w:rsid w:val="00FF2DF9"/>
    <w:rsid w:val="00FF3CBC"/>
    <w:rsid w:val="00FF5BFA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  <w:style w:type="paragraph" w:styleId="berarbeitung">
    <w:name w:val="Revision"/>
    <w:hidden/>
    <w:uiPriority w:val="99"/>
    <w:semiHidden/>
    <w:rsid w:val="00D14315"/>
    <w:rPr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F442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1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0AE5-C629-4D6B-8EA4-A5F19AB6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Katharina Koester</cp:lastModifiedBy>
  <cp:revision>3</cp:revision>
  <cp:lastPrinted>2019-05-13T13:17:00Z</cp:lastPrinted>
  <dcterms:created xsi:type="dcterms:W3CDTF">2025-01-06T13:17:00Z</dcterms:created>
  <dcterms:modified xsi:type="dcterms:W3CDTF">2025-01-06T13:28:00Z</dcterms:modified>
</cp:coreProperties>
</file>