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418E" w14:textId="34669064" w:rsidR="009C1365" w:rsidRDefault="00DF534D" w:rsidP="009C1365">
      <w:pPr>
        <w:pStyle w:val="Pressemitteilung21pt"/>
      </w:pPr>
      <w:r>
        <w:rPr>
          <w:bCs w:val="0"/>
        </w:rPr>
        <w:t>P</w:t>
      </w:r>
      <w:r w:rsidR="00A30053" w:rsidRPr="005B6A95">
        <w:rPr>
          <w:bCs w:val="0"/>
        </w:rPr>
        <w:t>ressemitteilung</w:t>
      </w:r>
      <w:r w:rsidR="00A30053" w:rsidRPr="00841125">
        <w:t xml:space="preserve"> </w:t>
      </w:r>
    </w:p>
    <w:p w14:paraId="78BE4730" w14:textId="4E3D16EE" w:rsidR="009C1365" w:rsidRDefault="0052026D" w:rsidP="009C1365">
      <w:pPr>
        <w:pStyle w:val="berschrift1"/>
      </w:pPr>
      <w:r>
        <w:t>Qualitätsatlas Pflege: Große Unterschiede bei der Qualität der Versorgung in Pflegeheimen</w:t>
      </w:r>
    </w:p>
    <w:p w14:paraId="3138D543" w14:textId="22272C13" w:rsidR="009C1365" w:rsidRPr="009C1365" w:rsidRDefault="0052026D" w:rsidP="009C1365">
      <w:pPr>
        <w:pStyle w:val="berschrift2"/>
      </w:pPr>
      <w:r>
        <w:t xml:space="preserve">Sachsen-Anhalt in vielen Bereichen bundesweit </w:t>
      </w:r>
      <w:r w:rsidR="00CF7A40">
        <w:t>mit den besten Werten</w:t>
      </w:r>
      <w:r w:rsidR="00840985">
        <w:t>, große Unterschiede in den Landkreisen</w:t>
      </w:r>
      <w:r>
        <w:t xml:space="preserve"> </w:t>
      </w:r>
    </w:p>
    <w:p w14:paraId="7C3B0974" w14:textId="20CF9ACE" w:rsidR="00D83CC2" w:rsidRDefault="00420D7E" w:rsidP="000141B1">
      <w:pPr>
        <w:pStyle w:val="OrtundDatum"/>
      </w:pPr>
      <w:r>
        <w:t>Magdeburg</w:t>
      </w:r>
      <w:r w:rsidR="006D15D1">
        <w:t xml:space="preserve">, </w:t>
      </w:r>
      <w:r w:rsidR="00E45265">
        <w:t>16</w:t>
      </w:r>
      <w:r w:rsidR="006D15D1">
        <w:t xml:space="preserve">. </w:t>
      </w:r>
      <w:r>
        <w:t>Juni</w:t>
      </w:r>
      <w:r w:rsidR="006D15D1">
        <w:t xml:space="preserve"> </w:t>
      </w:r>
      <w:r>
        <w:t>2025</w:t>
      </w:r>
    </w:p>
    <w:p w14:paraId="7FE69E33" w14:textId="77777777" w:rsidR="00841125" w:rsidRPr="00841125" w:rsidRDefault="00841125" w:rsidP="00841125"/>
    <w:p w14:paraId="6998403A" w14:textId="7392BCF7" w:rsidR="00686182" w:rsidRDefault="00686182" w:rsidP="00686182">
      <w:pPr>
        <w:rPr>
          <w:rFonts w:asciiTheme="majorHAnsi" w:hAnsiTheme="majorHAnsi"/>
        </w:rPr>
      </w:pPr>
      <w:r w:rsidRPr="00686182">
        <w:rPr>
          <w:rFonts w:asciiTheme="majorHAnsi" w:hAnsiTheme="majorHAnsi"/>
        </w:rPr>
        <w:t>Fehlende Prophylaxe und Prävention, kritische Arzneimittelversorgung und vermeidbare Krankenhausaufenthalte: Das Wissenschaftliche Institut der AOK (WIdO) hat aktuelle Daten</w:t>
      </w:r>
      <w:r>
        <w:rPr>
          <w:rFonts w:asciiTheme="majorHAnsi" w:hAnsiTheme="majorHAnsi"/>
        </w:rPr>
        <w:t xml:space="preserve"> zur Versorgungsqualiät in Pflegeheimen vorgelegt. Im „Qualitätsatlas Pflege“ werden kritische </w:t>
      </w:r>
      <w:r w:rsidRPr="00686182">
        <w:rPr>
          <w:rFonts w:asciiTheme="majorHAnsi" w:hAnsiTheme="majorHAnsi"/>
        </w:rPr>
        <w:t>Ereignisse in der pflegerischen, ärztlichen und therapeutischen Versorgung erfasst</w:t>
      </w:r>
      <w:r>
        <w:rPr>
          <w:rFonts w:asciiTheme="majorHAnsi" w:hAnsiTheme="majorHAnsi"/>
        </w:rPr>
        <w:t xml:space="preserve"> und </w:t>
      </w:r>
      <w:r w:rsidRPr="00686182">
        <w:rPr>
          <w:rFonts w:asciiTheme="majorHAnsi" w:hAnsiTheme="majorHAnsi"/>
        </w:rPr>
        <w:t>bis auf Kreisebene transparent</w:t>
      </w:r>
      <w:r>
        <w:rPr>
          <w:rFonts w:asciiTheme="majorHAnsi" w:hAnsiTheme="majorHAnsi"/>
        </w:rPr>
        <w:t xml:space="preserve"> gemacht. Die aktuellen Daten zeigen</w:t>
      </w:r>
      <w:r w:rsidR="00AD5377">
        <w:rPr>
          <w:rFonts w:asciiTheme="majorHAnsi" w:hAnsiTheme="majorHAnsi"/>
        </w:rPr>
        <w:t xml:space="preserve"> erhebliche regionale Qualitätsunterschiede.</w:t>
      </w:r>
      <w:r>
        <w:rPr>
          <w:rFonts w:asciiTheme="majorHAnsi" w:hAnsiTheme="majorHAnsi"/>
        </w:rPr>
        <w:t xml:space="preserve"> </w:t>
      </w:r>
      <w:r w:rsidR="00582191">
        <w:rPr>
          <w:rFonts w:asciiTheme="majorHAnsi" w:hAnsiTheme="majorHAnsi"/>
        </w:rPr>
        <w:t>Zudem haben sich s</w:t>
      </w:r>
      <w:r w:rsidR="00AD5377">
        <w:rPr>
          <w:rFonts w:asciiTheme="majorHAnsi" w:hAnsiTheme="majorHAnsi"/>
        </w:rPr>
        <w:t>e</w:t>
      </w:r>
      <w:r>
        <w:rPr>
          <w:rFonts w:asciiTheme="majorHAnsi" w:hAnsiTheme="majorHAnsi"/>
        </w:rPr>
        <w:t>it der letzten Auswertung kaum Verbesserungen ergeben</w:t>
      </w:r>
      <w:r w:rsidR="00AD5377">
        <w:rPr>
          <w:rFonts w:asciiTheme="majorHAnsi" w:hAnsiTheme="majorHAnsi"/>
        </w:rPr>
        <w:t xml:space="preserve">. </w:t>
      </w:r>
    </w:p>
    <w:p w14:paraId="34EA1713" w14:textId="77777777" w:rsidR="00686182" w:rsidRDefault="00686182" w:rsidP="00686182">
      <w:pPr>
        <w:rPr>
          <w:rFonts w:asciiTheme="majorHAnsi" w:hAnsiTheme="majorHAnsi"/>
        </w:rPr>
      </w:pPr>
    </w:p>
    <w:p w14:paraId="5647AA73" w14:textId="0ED6C2C4" w:rsidR="0074392A" w:rsidRDefault="0074392A" w:rsidP="00686182">
      <w:r w:rsidRPr="0074392A">
        <w:t>Ein anhaltendes Problem ist der Auswertung zufolge die Dauerverordnung von Beruhigungs- und Schlafmitteln</w:t>
      </w:r>
      <w:r w:rsidR="00840985">
        <w:t>: Bundesweit</w:t>
      </w:r>
      <w:r w:rsidRPr="0074392A">
        <w:t xml:space="preserve"> 7,14 Prozent</w:t>
      </w:r>
      <w:r w:rsidR="00840985">
        <w:t xml:space="preserve"> der Pflegeheimbewohnenden</w:t>
      </w:r>
      <w:r w:rsidRPr="0074392A">
        <w:t xml:space="preserve"> </w:t>
      </w:r>
      <w:r w:rsidR="00840985">
        <w:t xml:space="preserve">erhielten </w:t>
      </w:r>
      <w:r w:rsidRPr="0074392A">
        <w:t>2023</w:t>
      </w:r>
      <w:r w:rsidR="00840985">
        <w:t xml:space="preserve"> </w:t>
      </w:r>
      <w:r w:rsidRPr="0074392A">
        <w:t>eine Dauerverordnung von Benzodiazepinen, Benzodiazepin-Derivaten und Z-Substanzen</w:t>
      </w:r>
      <w:r>
        <w:t xml:space="preserve">. </w:t>
      </w:r>
    </w:p>
    <w:p w14:paraId="6CFE8BA4" w14:textId="77777777" w:rsidR="0074392A" w:rsidRDefault="0074392A" w:rsidP="00686182"/>
    <w:p w14:paraId="60044D8F" w14:textId="77777777" w:rsidR="0074392A" w:rsidRDefault="0074392A" w:rsidP="00686182">
      <w:r w:rsidRPr="0074392A">
        <w:t xml:space="preserve">Diese Arzneimittel wirken schlaffördernd, beruhigend und angstlösend – allerdings nur kurzfristig, denn nach vier Wochen sind diese Effekte nicht mehr gegeben. Bei langfristiger Gabe drohen dann Abhängigkeiten, eine erhöhte Sturzgefahr sowie das Auftreten von Angst und Depressionen. </w:t>
      </w:r>
    </w:p>
    <w:p w14:paraId="13DD6EF7" w14:textId="3479A32D" w:rsidR="0074392A" w:rsidRDefault="0074392A" w:rsidP="00686182"/>
    <w:p w14:paraId="1241666A" w14:textId="3ED19BBD" w:rsidR="00686182" w:rsidRDefault="0074392A" w:rsidP="00686182">
      <w:r w:rsidRPr="00DF1279">
        <w:lastRenderedPageBreak/>
        <w:t xml:space="preserve">„In Deutschland zählen diese Wirkstoffe zu den häufigsten potenziell inadäquat verschriebenen Medikamenten für ältere Menschen“, erklärt </w:t>
      </w:r>
      <w:r w:rsidR="00420D7E" w:rsidRPr="00DF1279">
        <w:t>Marion Strickmann, Leiterin der Unternehmenseinheit Gesundheit und Medizin bei der AOK Sachsen-Anhalt</w:t>
      </w:r>
      <w:r w:rsidRPr="00DF1279">
        <w:t xml:space="preserve">. „Aktuelle Erkenntnisse darüber, wie viele Menschen speziell in Pflegeheimen davon betroffen sind, lagen bisher kaum vor. </w:t>
      </w:r>
      <w:r w:rsidR="00420D7E" w:rsidRPr="00DF1279">
        <w:t>Die</w:t>
      </w:r>
      <w:r w:rsidRPr="00DF1279">
        <w:t xml:space="preserve"> Auswertung</w:t>
      </w:r>
      <w:r w:rsidR="00420D7E" w:rsidRPr="00DF1279">
        <w:t xml:space="preserve"> des WIdO</w:t>
      </w:r>
      <w:r w:rsidRPr="00DF1279">
        <w:t xml:space="preserve"> sorg</w:t>
      </w:r>
      <w:r w:rsidR="00420D7E" w:rsidRPr="00DF1279">
        <w:t>t</w:t>
      </w:r>
      <w:r w:rsidRPr="00DF1279">
        <w:t xml:space="preserve"> hier für mehr Transparenz.</w:t>
      </w:r>
      <w:r w:rsidR="00840985" w:rsidRPr="00DF1279">
        <w:t>“</w:t>
      </w:r>
      <w:r w:rsidR="00A37EB3">
        <w:t xml:space="preserve"> </w:t>
      </w:r>
    </w:p>
    <w:p w14:paraId="78E36C9D" w14:textId="330CE385" w:rsidR="00EA72F4" w:rsidRPr="00954C96" w:rsidRDefault="00EA72F4" w:rsidP="00EA72F4"/>
    <w:p w14:paraId="13E0B196" w14:textId="59A10DE2" w:rsidR="00B46902" w:rsidRDefault="00B46902" w:rsidP="00B46902">
      <w:pPr>
        <w:pStyle w:val="berschrift3"/>
      </w:pPr>
      <w:r>
        <w:t>Dauerverordnungen im Westen häufiger, Sachsen-Anhalt mit geringstem Anteil</w:t>
      </w:r>
    </w:p>
    <w:p w14:paraId="22FC98FA" w14:textId="77777777" w:rsidR="0072599D" w:rsidRDefault="001B19C4" w:rsidP="0074392A">
      <w:r w:rsidRPr="0074392A">
        <w:t xml:space="preserve">Seit </w:t>
      </w:r>
      <w:r>
        <w:t xml:space="preserve">2017 sind die Anteile bundesweit nur gering zurückgegangen, und zwar von </w:t>
      </w:r>
      <w:r w:rsidRPr="0074392A">
        <w:t xml:space="preserve">8,17 Prozent auf 7,14 Prozent </w:t>
      </w:r>
      <w:r w:rsidR="0072599D">
        <w:t xml:space="preserve">im Jahr </w:t>
      </w:r>
      <w:r w:rsidRPr="0074392A">
        <w:t>2023.</w:t>
      </w:r>
      <w:r>
        <w:t xml:space="preserve"> </w:t>
      </w:r>
      <w:r w:rsidR="0074392A">
        <w:t>Regional zeig</w:t>
      </w:r>
      <w:r w:rsidR="00E1456D">
        <w:t>en die neuesten Daten</w:t>
      </w:r>
      <w:r w:rsidR="0074392A">
        <w:t xml:space="preserve"> erhebliche Abweichungen: So war der Verordnungsanteil im Saarland 2023 mit 15,88 Prozent doppelt so hoch wie im bundesweiten Schnitt. </w:t>
      </w:r>
    </w:p>
    <w:p w14:paraId="4E602984" w14:textId="77777777" w:rsidR="0072599D" w:rsidRDefault="0072599D" w:rsidP="0074392A"/>
    <w:p w14:paraId="7E86C4F0" w14:textId="4F85782D" w:rsidR="0074392A" w:rsidRDefault="0074392A" w:rsidP="0074392A">
      <w:r>
        <w:t xml:space="preserve">Insgesamt zeigt die Analyse, dass die risikoreichen Dauerverordnungen im Westen deutlich häufiger vorkommen als im Osten. Den geringsten Wert zeigt Sachsen-Anhalt – hier lag der Verordnungsanteil bei nur 2,90 Prozent. </w:t>
      </w:r>
      <w:r w:rsidR="00A37EB3">
        <w:t>Aber auch innerhalb von Sachsen-Anhalt gibt es deutliche Unterschiede (Tabelle 1). Während der Anteil im Burgenlandkreis bei 1,43 Prozent liegt, war er in der Börde mit 4,93 Prozent mehr als dreimal so hoch.</w:t>
      </w:r>
    </w:p>
    <w:p w14:paraId="523EB6A5" w14:textId="77777777" w:rsidR="0074392A" w:rsidRDefault="0074392A" w:rsidP="0074392A"/>
    <w:p w14:paraId="6FA3AAB9" w14:textId="6117C758" w:rsidR="0074392A" w:rsidRDefault="0074392A" w:rsidP="0074392A">
      <w:r w:rsidRPr="00DF1279">
        <w:t>„</w:t>
      </w:r>
      <w:r w:rsidR="0072599D" w:rsidRPr="00DF1279">
        <w:t xml:space="preserve">Es freut uns, das Sachsen-Anhalt </w:t>
      </w:r>
      <w:r w:rsidR="00CF7A40" w:rsidRPr="00DF1279">
        <w:t xml:space="preserve">im Vergleich </w:t>
      </w:r>
      <w:r w:rsidR="0072599D" w:rsidRPr="00DF1279">
        <w:t>so positiv her</w:t>
      </w:r>
      <w:r w:rsidR="00BC1997" w:rsidRPr="00DF1279">
        <w:t>vors</w:t>
      </w:r>
      <w:r w:rsidR="0072599D" w:rsidRPr="00DF1279">
        <w:t xml:space="preserve">ticht. </w:t>
      </w:r>
      <w:r w:rsidRPr="00DF1279">
        <w:t>Insgesamt unterstreichen die Ergebnisse des Qualitätsatlas Pflege</w:t>
      </w:r>
      <w:r w:rsidR="0072599D" w:rsidRPr="00DF1279">
        <w:t xml:space="preserve"> allerdings bundesweit</w:t>
      </w:r>
      <w:r w:rsidRPr="00DF1279">
        <w:t xml:space="preserve"> den anhaltenden Optimierungsbedarf bei dieser risikoreichen und nicht zielführenden Dauermedikation“, betont </w:t>
      </w:r>
      <w:r w:rsidR="00E62891" w:rsidRPr="00DF1279">
        <w:t>Strickmann.</w:t>
      </w:r>
      <w:r w:rsidRPr="00DF1279">
        <w:t xml:space="preserve"> Einzubeziehen</w:t>
      </w:r>
      <w:r>
        <w:t xml:space="preserve"> wären hierbei idealerweise auch Informationen zu privat rezeptierten Schlaf- und Beruhigungsmitteln. Die Auswertungen des Qualitätsatlas Pflege basieren auf den AOK-Routinedaten und damit ausschließlich auf Verordnungen, bei denen die Kostenerstattung über die Krankenkasse erfolgte.</w:t>
      </w:r>
    </w:p>
    <w:p w14:paraId="6D658028" w14:textId="77777777" w:rsidR="00BC1997" w:rsidRDefault="00BC1997" w:rsidP="0074392A"/>
    <w:p w14:paraId="28264954" w14:textId="2BC80EAC" w:rsidR="0074392A" w:rsidRDefault="00E64F40" w:rsidP="0074392A">
      <w:pPr>
        <w:pStyle w:val="berschrift3"/>
      </w:pPr>
      <w:r>
        <w:t>Fast 80</w:t>
      </w:r>
      <w:r w:rsidR="0074392A">
        <w:t xml:space="preserve"> Prozent der Pflegeheimbewohnenden mit Diabetes ohne</w:t>
      </w:r>
      <w:r w:rsidR="0072599D">
        <w:t xml:space="preserve"> </w:t>
      </w:r>
      <w:r w:rsidR="0074392A">
        <w:t>augenärztliche Vorsorge</w:t>
      </w:r>
    </w:p>
    <w:p w14:paraId="0C41C0E0" w14:textId="447A144F" w:rsidR="0074392A" w:rsidRDefault="0074392A" w:rsidP="0074392A">
      <w:r>
        <w:t xml:space="preserve">Klare Defizite in der Versorgungsqualität zeigen sich auch an der Schnittstelle zur ambulant-ärztlichen Versorgung: So haben bundesweit 79,15 Prozent der an Diabetes erkrankten Pflegeheimbewohnenden 2023 keine augenärztliche Vorsorge erhalten. Sachsen-Anhalt liegt mit einem Anteil von 78,78 Prozent </w:t>
      </w:r>
      <w:r w:rsidR="00AC5780">
        <w:t xml:space="preserve">nur </w:t>
      </w:r>
      <w:r>
        <w:t xml:space="preserve">leicht </w:t>
      </w:r>
      <w:r w:rsidR="003C180C">
        <w:t xml:space="preserve">unter dem bundesweiten Durchschnitt. </w:t>
      </w:r>
      <w:r>
        <w:t xml:space="preserve"> </w:t>
      </w:r>
    </w:p>
    <w:p w14:paraId="51126BA0" w14:textId="4396D3A2" w:rsidR="0074392A" w:rsidRDefault="0074392A" w:rsidP="0074392A">
      <w:r>
        <w:t xml:space="preserve"> </w:t>
      </w:r>
    </w:p>
    <w:p w14:paraId="7B69CA60" w14:textId="77777777" w:rsidR="001679B7" w:rsidRPr="00DF1279" w:rsidRDefault="0074392A" w:rsidP="0074392A">
      <w:r>
        <w:lastRenderedPageBreak/>
        <w:t xml:space="preserve">Dabei sehen die medizinischen Leitlinien eine regelmäßige Kontrolle der Augen vor, um frühzeitig Veränderungen der Netzhaut zu erkennen und irreversible Sehstörungen zu vermeiden. </w:t>
      </w:r>
      <w:r w:rsidR="004B2906" w:rsidRPr="00DF1279">
        <w:t>Strickmann:</w:t>
      </w:r>
      <w:r w:rsidRPr="00DF1279">
        <w:t xml:space="preserve"> „Gerade der Erhalt der Sehkraft ist ein wesentlicher Faktor für Lebensqualität und Selbstständigkeit. Bei Verlust </w:t>
      </w:r>
    </w:p>
    <w:p w14:paraId="5FD7F5F4" w14:textId="18CFEAA7" w:rsidR="0074392A" w:rsidRDefault="0074392A" w:rsidP="0074392A">
      <w:r w:rsidRPr="00DF1279">
        <w:t>drohen soziale Isolation, psychische Beeinträchtigungen sowie ein erhöhtes Risiko für Verletzungen.“</w:t>
      </w:r>
    </w:p>
    <w:p w14:paraId="0577A014" w14:textId="77777777" w:rsidR="0074392A" w:rsidRDefault="0074392A" w:rsidP="0074392A"/>
    <w:p w14:paraId="0E3742DE" w14:textId="57729911" w:rsidR="004B2906" w:rsidRDefault="003C180C" w:rsidP="0074392A">
      <w:r>
        <w:t>Regional</w:t>
      </w:r>
      <w:r w:rsidR="0074392A">
        <w:t xml:space="preserve"> </w:t>
      </w:r>
      <w:r>
        <w:t>betrachtet</w:t>
      </w:r>
      <w:r w:rsidR="0074392A">
        <w:t xml:space="preserve"> </w:t>
      </w:r>
      <w:r w:rsidR="004B2906">
        <w:t xml:space="preserve">zeigen sich in Sachsen-Anhalt große Unterschiede (Tabelle 2). Der Landkreis Halle (Saale) hat mit 64 Prozent den geringsten Anteil, den höchsten der Altmarkreis Salzwedel mit 89,68 Prozent. </w:t>
      </w:r>
      <w:r w:rsidR="002B607A">
        <w:t xml:space="preserve">Den größten Anstieg im Vergleich zu 2017 hat der Landkreis Magdeburg zu verzeichnen: Hier haben 2023 80,90 Prozent der Pflegeheimbewohnenden </w:t>
      </w:r>
      <w:r w:rsidR="002B607A" w:rsidRPr="002B607A">
        <w:t>keine augenärztliche Vorsorge erhalten</w:t>
      </w:r>
      <w:r w:rsidR="002B607A">
        <w:t>, das sind</w:t>
      </w:r>
      <w:r w:rsidR="0072599D">
        <w:t xml:space="preserve"> über</w:t>
      </w:r>
      <w:r w:rsidR="002B607A">
        <w:t xml:space="preserve"> 8 Prozentpunkte mehr als 2017 (72,63 Prozent).</w:t>
      </w:r>
    </w:p>
    <w:p w14:paraId="7F081A6F" w14:textId="77777777" w:rsidR="004B2906" w:rsidRDefault="004B2906" w:rsidP="0074392A"/>
    <w:p w14:paraId="1BFD3C54" w14:textId="5446D969" w:rsidR="0074392A" w:rsidRDefault="00FD2F49" w:rsidP="0074392A">
      <w:r w:rsidRPr="00DF1279">
        <w:t xml:space="preserve">Strickmann: </w:t>
      </w:r>
      <w:r w:rsidR="0074392A" w:rsidRPr="00DF1279">
        <w:t>„Diese kleinräumige Analyse bis auf Kreisebene kann den Verantwortlichen vor Ort und den gesundheitspolitischen Akteuren helfen, gezielt nach den Ursachen für die regionale Unterversorgung zu fahnden. Ein entscheidender Faktor ist hier sicherlich die flächendeckende Versorgung mit Augenärzten.“</w:t>
      </w:r>
    </w:p>
    <w:p w14:paraId="67A8FF52" w14:textId="77777777" w:rsidR="0074392A" w:rsidRDefault="0074392A" w:rsidP="0074392A"/>
    <w:p w14:paraId="04EE06C1" w14:textId="159D1F47" w:rsidR="003C180C" w:rsidRDefault="003C180C" w:rsidP="003C180C">
      <w:pPr>
        <w:pStyle w:val="berschrift3"/>
      </w:pPr>
      <w:r>
        <w:t>Stürze bei Risikomedikation</w:t>
      </w:r>
      <w:r w:rsidR="00A44AB6">
        <w:t>: Keine Verbesserung</w:t>
      </w:r>
    </w:p>
    <w:p w14:paraId="3A85BB62" w14:textId="1C4ED0E3" w:rsidR="003C180C" w:rsidRDefault="003C180C" w:rsidP="003C180C">
      <w:r>
        <w:t>Der Qualitätsatlas Pflege betrachtet auch sturzbedingte Krankenhausaufenthalte bei Pflegeheimbewohnenden, die Medikamente erhalten, welche die Wahrscheinlichkeit für Stürze erhöhen (sogenannte FRIDs</w:t>
      </w:r>
      <w:r w:rsidR="001B19C4">
        <w:t>, fall-</w:t>
      </w:r>
      <w:proofErr w:type="spellStart"/>
      <w:r w:rsidR="001B19C4">
        <w:t>risk</w:t>
      </w:r>
      <w:proofErr w:type="spellEnd"/>
      <w:r w:rsidR="001B19C4">
        <w:t>-</w:t>
      </w:r>
      <w:proofErr w:type="spellStart"/>
      <w:r w:rsidR="001B19C4">
        <w:t>increasing</w:t>
      </w:r>
      <w:proofErr w:type="spellEnd"/>
      <w:r w:rsidR="001B19C4">
        <w:t xml:space="preserve"> </w:t>
      </w:r>
      <w:proofErr w:type="spellStart"/>
      <w:r w:rsidR="001B19C4">
        <w:t>drugs</w:t>
      </w:r>
      <w:proofErr w:type="spellEnd"/>
      <w:r>
        <w:t xml:space="preserve">). Durch die Einnahme von Wirkstoffen wie Antidepressiva, Antipsychotika, Hypnotika/Sedativa oder auch durch Benzodiazepine und Anxiolytika erhöht sich das ohnehin schon hohe Sturzrisiko von betagten, multimorbiden Menschen noch weiter. </w:t>
      </w:r>
    </w:p>
    <w:p w14:paraId="2BFA7F7B" w14:textId="77777777" w:rsidR="003C180C" w:rsidRDefault="003C180C" w:rsidP="003C180C"/>
    <w:p w14:paraId="1CBC7436" w14:textId="7AEB8446" w:rsidR="001679B7" w:rsidRDefault="008311A6" w:rsidP="003C180C">
      <w:r>
        <w:t>2023 sind d</w:t>
      </w:r>
      <w:r w:rsidR="003C180C">
        <w:t>en Auswertungen zufolge</w:t>
      </w:r>
      <w:r>
        <w:t xml:space="preserve"> bundesweit im Schnitt</w:t>
      </w:r>
      <w:r w:rsidR="003C180C">
        <w:t xml:space="preserve"> 16,23 Prozent der Person</w:t>
      </w:r>
      <w:r>
        <w:t>en</w:t>
      </w:r>
      <w:r w:rsidR="003C180C">
        <w:t xml:space="preserve">, die im Pflegeheim </w:t>
      </w:r>
      <w:r w:rsidR="00582191">
        <w:t xml:space="preserve">solche Medikamente </w:t>
      </w:r>
      <w:r w:rsidR="003C180C">
        <w:t>erhielt</w:t>
      </w:r>
      <w:r w:rsidR="00CF7A40">
        <w:t>en</w:t>
      </w:r>
      <w:r w:rsidR="003C180C">
        <w:t xml:space="preserve">, sturzbedingt im Krankenhaus versorgt </w:t>
      </w:r>
      <w:r w:rsidR="00CF7A40">
        <w:t>worden</w:t>
      </w:r>
      <w:r w:rsidR="003C180C">
        <w:t xml:space="preserve">. </w:t>
      </w:r>
      <w:r>
        <w:t>Der Anteil blieb damit die letzten Jahre nahezu konstant.</w:t>
      </w:r>
      <w:r w:rsidR="001679B7">
        <w:t xml:space="preserve"> </w:t>
      </w:r>
      <w:r w:rsidR="003C180C">
        <w:t xml:space="preserve"> </w:t>
      </w:r>
    </w:p>
    <w:p w14:paraId="3C9E2E27" w14:textId="77777777" w:rsidR="001679B7" w:rsidRDefault="001679B7" w:rsidP="003C180C"/>
    <w:p w14:paraId="47A2C323" w14:textId="1A83DF0D" w:rsidR="001679B7" w:rsidRDefault="001679B7" w:rsidP="003C180C">
      <w:r>
        <w:t xml:space="preserve">Sachsen-Anhalt hat </w:t>
      </w:r>
      <w:r w:rsidR="00CF7A40">
        <w:t xml:space="preserve">hierbei </w:t>
      </w:r>
      <w:r>
        <w:t xml:space="preserve">mit 14,48 Prozent bundesweit den zweitniedrigsten Wert. Allerdings sind auch hier keine Verbesserungen zu sehen. 2017 lag der Wert bei 14,78 Prozent. Nach 13,64 Prozent 2022 ist er jetzt wieder angestiegen. </w:t>
      </w:r>
      <w:r w:rsidR="0072599D">
        <w:t>Unter</w:t>
      </w:r>
      <w:r>
        <w:t xml:space="preserve"> den Landkreise</w:t>
      </w:r>
      <w:r w:rsidR="0072599D">
        <w:t>n</w:t>
      </w:r>
      <w:r>
        <w:t xml:space="preserve"> hat Stendal mit 11,82 Prozent den niedrigsten Wert, den höchsten der Altmarkkreis Salzwedel mit 17,05 Prozent. </w:t>
      </w:r>
      <w:r w:rsidR="002A089F">
        <w:t>(Tabelle 3)</w:t>
      </w:r>
    </w:p>
    <w:p w14:paraId="1D96726E" w14:textId="77777777" w:rsidR="00861EF7" w:rsidRDefault="00861EF7" w:rsidP="003C180C"/>
    <w:p w14:paraId="27E68DBD" w14:textId="2D77B8FF" w:rsidR="00861EF7" w:rsidRDefault="00861EF7" w:rsidP="00861EF7">
      <w:r w:rsidRPr="00DF1279">
        <w:t>Strickmann: „Die Auswertungen machen deutlich, wie sinnvoll und wichtig es ist, mithilfe der Routinedaten von Kranken- und Pflegekassen Probleme in der Zusammenarbeit der verschiedenen Gesundheitsberufe transparent zu machen. Diese Schnittstellen zwischen Langzeitpflege und Gesundheitsversorgung werden ansonsten kaum systematisch beleuchtet. Die Akteure der Versorgung vor Ort sollten die Analysen aktiv nutzen, um gemeinsam an Verbesserungen zu arbeiten. Die AOK Sachsen-Anhalt steht als Ansprechpartnerin zur Verfügung.“</w:t>
      </w:r>
    </w:p>
    <w:p w14:paraId="684BD06E" w14:textId="77777777" w:rsidR="002A089F" w:rsidRDefault="002A089F" w:rsidP="00763C27">
      <w:pPr>
        <w:pStyle w:val="berschrift3"/>
      </w:pPr>
    </w:p>
    <w:p w14:paraId="54938EF3" w14:textId="44A27108" w:rsidR="008311A6" w:rsidRDefault="00763C27" w:rsidP="008311A6">
      <w:r>
        <w:t>Neben den genannten Indikatoren betrachtet der Qualitätsatlas Pflege noch sieben weitere Themen im regionalen und zeitlichen Vergleich</w:t>
      </w:r>
      <w:r w:rsidR="008311A6">
        <w:t xml:space="preserve">. Im Online-Portal </w:t>
      </w:r>
      <w:hyperlink r:id="rId7" w:history="1">
        <w:r w:rsidR="008311A6" w:rsidRPr="002E4D20">
          <w:rPr>
            <w:rStyle w:val="Hyperlink"/>
          </w:rPr>
          <w:t>www.qualitaetsatlas-pflege.de</w:t>
        </w:r>
      </w:hyperlink>
      <w:r w:rsidR="008311A6">
        <w:t xml:space="preserve"> sind die Ergebnisse für die einzelnen Bundesländer und für die rund 400 Kreise und kreisfreien Städte in Deutschland im regionalen Vergleich dargestellt. </w:t>
      </w:r>
    </w:p>
    <w:p w14:paraId="04550B5F" w14:textId="3BDFD41F" w:rsidR="008311A6" w:rsidRDefault="008311A6" w:rsidP="00763C27"/>
    <w:p w14:paraId="3869EB6F" w14:textId="06280E66" w:rsidR="008311A6" w:rsidRDefault="00E14BC2" w:rsidP="008311A6">
      <w:r w:rsidRPr="00E14BC2">
        <w:rPr>
          <w:u w:val="single"/>
        </w:rPr>
        <w:t>Hinweise für die Redaktionen</w:t>
      </w:r>
      <w:r>
        <w:rPr>
          <w:u w:val="single"/>
        </w:rPr>
        <w:t>:</w:t>
      </w:r>
      <w:r w:rsidRPr="00E14BC2">
        <w:rPr>
          <w:u w:val="single"/>
        </w:rPr>
        <w:br/>
      </w:r>
      <w:r w:rsidR="008311A6" w:rsidRPr="008311A6">
        <w:t>Die WIdO-Analysen für den Qualitätsatlas Pflege beruhen auf den Abrechnungsdaten der elf AOKs, die rund ein Drittel der Bevölkerung in Deutschland versichern. Dabei wurden die Daten aus der Kranken- und aus der Pflegeversicherung einbezogen und miteinander verknüpft. Zur Darstellung von räumlichen Verteilungsmustern bei der Versorgungsqualität nutzt das WIdO ein wissenschaftlich entwickeltes Set von Qualitätsindikatoren für die Pflege (</w:t>
      </w:r>
      <w:proofErr w:type="spellStart"/>
      <w:r w:rsidR="008311A6" w:rsidRPr="008311A6">
        <w:t>QCare</w:t>
      </w:r>
      <w:proofErr w:type="spellEnd"/>
      <w:r w:rsidR="00322266">
        <w:t>-</w:t>
      </w:r>
      <w:r w:rsidR="008311A6" w:rsidRPr="008311A6">
        <w:t xml:space="preserve">Indikatoren). Insgesamt sind in die Auswertung die Daten von rund 350.000 Pflegeheimbewohnenden ab 60 Jahren eingeflossen. Das entspricht knapp der Hälfte aller stationär versorgten Pflegebedürftigen in Deutschland. </w:t>
      </w:r>
    </w:p>
    <w:p w14:paraId="4129BAC0" w14:textId="77777777" w:rsidR="00AD5377" w:rsidRPr="008311A6" w:rsidRDefault="00AD5377" w:rsidP="008311A6"/>
    <w:p w14:paraId="15187D2F" w14:textId="5279DFE2" w:rsidR="00E14BC2" w:rsidRPr="00954C96" w:rsidRDefault="00E14BC2" w:rsidP="00EA72F4"/>
    <w:p w14:paraId="2E075E9A" w14:textId="4FE860EB" w:rsidR="005C2557" w:rsidRPr="005C2557" w:rsidRDefault="006D15D1" w:rsidP="00F76A01">
      <w:pPr>
        <w:pStyle w:val="Infokastenvollflchigberschrift"/>
      </w:pPr>
      <w:r>
        <w:t xml:space="preserve">AOK Sachsen-Anhalt </w:t>
      </w:r>
    </w:p>
    <w:p w14:paraId="6BC51521" w14:textId="1437F0B7" w:rsidR="007B1358" w:rsidRDefault="006D15D1" w:rsidP="008050D8">
      <w:pPr>
        <w:pStyle w:val="InfokastenvollflchigFlietext"/>
      </w:pPr>
      <w:r>
        <w:t>Die AOK Sachsen-Anhalt betreut rund 8</w:t>
      </w:r>
      <w:r w:rsidR="0081547C">
        <w:t>50</w:t>
      </w:r>
      <w:r>
        <w:t>.000 Versicherte und 50.000 Arbeitgeber online und vor Ort im ganzen Land. Mit einem Marktanteil von 41 Prozent ist sie die größte regionale Krankenkasse in Sachsen-Anhalt.</w:t>
      </w:r>
    </w:p>
    <w:p w14:paraId="7D1245DB" w14:textId="4483A868" w:rsidR="00520B12" w:rsidRDefault="00520B12" w:rsidP="00520B12"/>
    <w:p w14:paraId="273713E2" w14:textId="77777777" w:rsidR="00A37EB3" w:rsidRDefault="00A37EB3" w:rsidP="00520B12"/>
    <w:p w14:paraId="07C115F2" w14:textId="77777777" w:rsidR="00A37EB3" w:rsidRDefault="00A37EB3" w:rsidP="00520B12"/>
    <w:p w14:paraId="0F9E5B03" w14:textId="77777777" w:rsidR="00A37EB3" w:rsidRDefault="00A37EB3" w:rsidP="00520B12"/>
    <w:p w14:paraId="2510EC1E" w14:textId="7AE256F2" w:rsidR="00A37EB3" w:rsidRDefault="00A37EB3" w:rsidP="00520B12">
      <w:r w:rsidRPr="00A37EB3">
        <w:rPr>
          <w:b/>
          <w:bCs/>
        </w:rPr>
        <w:lastRenderedPageBreak/>
        <w:t>Tabelle 1:</w:t>
      </w:r>
      <w:r w:rsidRPr="00A37EB3">
        <w:t xml:space="preserve"> Dauerverordnung von Beruhigungs- und Schlafmitteln (Benzodiazepinen, -derivaten, Z-Substanzen) in den Landkreisen in Sachsen-Anhalt / Anteil</w:t>
      </w:r>
      <w:r>
        <w:t xml:space="preserve"> in aufsteigender Reihenfolge </w:t>
      </w:r>
      <w:r w:rsidR="004B2906">
        <w:t xml:space="preserve">für das Jahr </w:t>
      </w:r>
      <w:r>
        <w:t>2023</w:t>
      </w:r>
    </w:p>
    <w:p w14:paraId="479257FD" w14:textId="77777777" w:rsidR="00A37EB3" w:rsidRDefault="00A37EB3" w:rsidP="00520B12"/>
    <w:tbl>
      <w:tblPr>
        <w:tblStyle w:val="Gitternetztabelle4Akzent5"/>
        <w:tblW w:w="5000" w:type="pct"/>
        <w:tblLayout w:type="fixed"/>
        <w:tblLook w:val="04A0" w:firstRow="1" w:lastRow="0" w:firstColumn="1" w:lastColumn="0" w:noHBand="0" w:noVBand="1"/>
      </w:tblPr>
      <w:tblGrid>
        <w:gridCol w:w="2689"/>
        <w:gridCol w:w="1559"/>
        <w:gridCol w:w="1843"/>
        <w:gridCol w:w="2402"/>
      </w:tblGrid>
      <w:tr w:rsidR="00A37EB3" w:rsidRPr="00A37EB3" w14:paraId="22ECD4F7" w14:textId="77777777" w:rsidTr="00A37EB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2F347912" w14:textId="77777777" w:rsidR="00A37EB3" w:rsidRPr="00582191" w:rsidRDefault="00A37EB3" w:rsidP="00A37EB3">
            <w:pPr>
              <w:spacing w:line="240" w:lineRule="auto"/>
              <w:rPr>
                <w:rFonts w:ascii="AOK Buenos Aires" w:eastAsia="Times New Roman" w:hAnsi="AOK Buenos Aires" w:cs="Arial"/>
                <w:color w:val="FFFFFF"/>
                <w:kern w:val="0"/>
                <w:szCs w:val="22"/>
                <w:lang w:eastAsia="de-DE"/>
                <w14:numSpacing w14:val="default"/>
              </w:rPr>
            </w:pPr>
            <w:r w:rsidRPr="00582191">
              <w:rPr>
                <w:rFonts w:ascii="AOK Buenos Aires" w:eastAsia="Times New Roman" w:hAnsi="AOK Buenos Aires" w:cs="Arial"/>
                <w:color w:val="FFFFFF"/>
                <w:kern w:val="0"/>
                <w:szCs w:val="22"/>
                <w:lang w:eastAsia="de-DE"/>
                <w14:numSpacing w14:val="default"/>
              </w:rPr>
              <w:t>Landkreis</w:t>
            </w:r>
          </w:p>
        </w:tc>
        <w:tc>
          <w:tcPr>
            <w:tcW w:w="918" w:type="pct"/>
            <w:noWrap/>
            <w:hideMark/>
          </w:tcPr>
          <w:p w14:paraId="0B156D9A" w14:textId="77777777" w:rsidR="00A37EB3" w:rsidRPr="00582191" w:rsidRDefault="00A37EB3" w:rsidP="00A37EB3">
            <w:pPr>
              <w:spacing w:line="240" w:lineRule="auto"/>
              <w:cnfStyle w:val="100000000000" w:firstRow="1" w:lastRow="0" w:firstColumn="0" w:lastColumn="0" w:oddVBand="0" w:evenVBand="0" w:oddHBand="0" w:evenHBand="0" w:firstRowFirstColumn="0" w:firstRowLastColumn="0" w:lastRowFirstColumn="0" w:lastRowLastColumn="0"/>
              <w:rPr>
                <w:rFonts w:ascii="AOK Buenos Aires" w:eastAsia="Times New Roman" w:hAnsi="AOK Buenos Aires" w:cs="Arial"/>
                <w:color w:val="FFFFFF"/>
                <w:kern w:val="0"/>
                <w:szCs w:val="22"/>
                <w:lang w:eastAsia="de-DE"/>
                <w14:numSpacing w14:val="default"/>
              </w:rPr>
            </w:pPr>
            <w:r w:rsidRPr="00582191">
              <w:rPr>
                <w:rFonts w:ascii="AOK Buenos Aires" w:eastAsia="Times New Roman" w:hAnsi="AOK Buenos Aires" w:cs="Arial"/>
                <w:color w:val="FFFFFF"/>
                <w:kern w:val="0"/>
                <w:szCs w:val="22"/>
                <w:lang w:eastAsia="de-DE"/>
                <w14:numSpacing w14:val="default"/>
              </w:rPr>
              <w:t>Wert (Anteil) 2023</w:t>
            </w:r>
          </w:p>
        </w:tc>
        <w:tc>
          <w:tcPr>
            <w:tcW w:w="1085" w:type="pct"/>
            <w:noWrap/>
            <w:hideMark/>
          </w:tcPr>
          <w:p w14:paraId="501A5A0D" w14:textId="77777777" w:rsidR="00A37EB3" w:rsidRPr="00582191" w:rsidRDefault="00A37EB3" w:rsidP="00A37EB3">
            <w:pPr>
              <w:spacing w:line="240" w:lineRule="auto"/>
              <w:cnfStyle w:val="100000000000" w:firstRow="1" w:lastRow="0" w:firstColumn="0" w:lastColumn="0" w:oddVBand="0" w:evenVBand="0" w:oddHBand="0" w:evenHBand="0" w:firstRowFirstColumn="0" w:firstRowLastColumn="0" w:lastRowFirstColumn="0" w:lastRowLastColumn="0"/>
              <w:rPr>
                <w:rFonts w:ascii="AOK Buenos Aires" w:eastAsia="Times New Roman" w:hAnsi="AOK Buenos Aires" w:cs="Arial"/>
                <w:color w:val="FFFFFF"/>
                <w:kern w:val="0"/>
                <w:szCs w:val="22"/>
                <w:lang w:eastAsia="de-DE"/>
                <w14:numSpacing w14:val="default"/>
              </w:rPr>
            </w:pPr>
            <w:r w:rsidRPr="00582191">
              <w:rPr>
                <w:rFonts w:ascii="AOK Buenos Aires" w:eastAsia="Times New Roman" w:hAnsi="AOK Buenos Aires" w:cs="Arial"/>
                <w:color w:val="FFFFFF"/>
                <w:kern w:val="0"/>
                <w:szCs w:val="22"/>
                <w:lang w:eastAsia="de-DE"/>
                <w14:numSpacing w14:val="default"/>
              </w:rPr>
              <w:t>Wert (Anteil) 2017</w:t>
            </w:r>
          </w:p>
        </w:tc>
        <w:tc>
          <w:tcPr>
            <w:tcW w:w="1414" w:type="pct"/>
            <w:noWrap/>
            <w:hideMark/>
          </w:tcPr>
          <w:p w14:paraId="1DFD8BE7" w14:textId="3DCB9EA9" w:rsidR="00A37EB3" w:rsidRPr="00582191" w:rsidRDefault="00A37EB3" w:rsidP="00A37EB3">
            <w:pPr>
              <w:spacing w:line="240" w:lineRule="auto"/>
              <w:cnfStyle w:val="100000000000" w:firstRow="1" w:lastRow="0" w:firstColumn="0" w:lastColumn="0" w:oddVBand="0" w:evenVBand="0" w:oddHBand="0" w:evenHBand="0" w:firstRowFirstColumn="0" w:firstRowLastColumn="0" w:lastRowFirstColumn="0" w:lastRowLastColumn="0"/>
              <w:rPr>
                <w:rFonts w:ascii="AOK Buenos Aires" w:eastAsia="Times New Roman" w:hAnsi="AOK Buenos Aires" w:cs="Arial"/>
                <w:color w:val="FFFFFF"/>
                <w:kern w:val="0"/>
                <w:szCs w:val="22"/>
                <w:lang w:eastAsia="de-DE"/>
                <w14:numSpacing w14:val="default"/>
              </w:rPr>
            </w:pPr>
            <w:r w:rsidRPr="00582191">
              <w:rPr>
                <w:rFonts w:ascii="AOK Buenos Aires" w:eastAsia="Times New Roman" w:hAnsi="AOK Buenos Aires" w:cs="Arial"/>
                <w:color w:val="FFFFFF"/>
                <w:kern w:val="0"/>
                <w:szCs w:val="22"/>
                <w:lang w:eastAsia="de-DE"/>
                <w14:numSpacing w14:val="default"/>
              </w:rPr>
              <w:t>Differenz 2017 zu 2023 in Prozentpunkten</w:t>
            </w:r>
          </w:p>
        </w:tc>
      </w:tr>
      <w:tr w:rsidR="00A37EB3" w:rsidRPr="00A37EB3" w14:paraId="0233D396" w14:textId="77777777" w:rsidTr="00A37E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72B2DC79"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Burgenlandkreis</w:t>
            </w:r>
          </w:p>
        </w:tc>
        <w:tc>
          <w:tcPr>
            <w:tcW w:w="918" w:type="pct"/>
            <w:noWrap/>
            <w:hideMark/>
          </w:tcPr>
          <w:p w14:paraId="52C0F881"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1,43%</w:t>
            </w:r>
          </w:p>
        </w:tc>
        <w:tc>
          <w:tcPr>
            <w:tcW w:w="1085" w:type="pct"/>
            <w:noWrap/>
            <w:hideMark/>
          </w:tcPr>
          <w:p w14:paraId="500A5217"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1,51%</w:t>
            </w:r>
          </w:p>
        </w:tc>
        <w:tc>
          <w:tcPr>
            <w:tcW w:w="1414" w:type="pct"/>
            <w:noWrap/>
            <w:hideMark/>
          </w:tcPr>
          <w:p w14:paraId="36FC2568" w14:textId="1D271681"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-0,08</w:t>
            </w:r>
          </w:p>
        </w:tc>
      </w:tr>
      <w:tr w:rsidR="00A37EB3" w:rsidRPr="00A37EB3" w14:paraId="14592EEB" w14:textId="77777777" w:rsidTr="00A37EB3">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1948DBF0"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Magdeburg</w:t>
            </w:r>
          </w:p>
        </w:tc>
        <w:tc>
          <w:tcPr>
            <w:tcW w:w="918" w:type="pct"/>
            <w:noWrap/>
            <w:hideMark/>
          </w:tcPr>
          <w:p w14:paraId="1B2A53BE"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1,50%</w:t>
            </w:r>
          </w:p>
        </w:tc>
        <w:tc>
          <w:tcPr>
            <w:tcW w:w="1085" w:type="pct"/>
            <w:noWrap/>
            <w:hideMark/>
          </w:tcPr>
          <w:p w14:paraId="41DB6A6D"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1,67%</w:t>
            </w:r>
          </w:p>
        </w:tc>
        <w:tc>
          <w:tcPr>
            <w:tcW w:w="1414" w:type="pct"/>
            <w:noWrap/>
            <w:hideMark/>
          </w:tcPr>
          <w:p w14:paraId="198EBF9A" w14:textId="7F972668"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-0,17</w:t>
            </w:r>
          </w:p>
        </w:tc>
      </w:tr>
      <w:tr w:rsidR="00A37EB3" w:rsidRPr="00A37EB3" w14:paraId="686F3960" w14:textId="77777777" w:rsidTr="00A37E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3C69BB26"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Altmarkkreis Salzwedel</w:t>
            </w:r>
          </w:p>
        </w:tc>
        <w:tc>
          <w:tcPr>
            <w:tcW w:w="918" w:type="pct"/>
            <w:noWrap/>
            <w:hideMark/>
          </w:tcPr>
          <w:p w14:paraId="3F3D691C"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1,93%</w:t>
            </w:r>
          </w:p>
        </w:tc>
        <w:tc>
          <w:tcPr>
            <w:tcW w:w="1085" w:type="pct"/>
            <w:noWrap/>
            <w:hideMark/>
          </w:tcPr>
          <w:p w14:paraId="31F63BE0"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3,03%</w:t>
            </w:r>
          </w:p>
        </w:tc>
        <w:tc>
          <w:tcPr>
            <w:tcW w:w="1414" w:type="pct"/>
            <w:noWrap/>
            <w:hideMark/>
          </w:tcPr>
          <w:p w14:paraId="4E63DF02" w14:textId="64A951ED"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-1,10</w:t>
            </w:r>
          </w:p>
        </w:tc>
      </w:tr>
      <w:tr w:rsidR="00A37EB3" w:rsidRPr="00A37EB3" w14:paraId="6CA311A6" w14:textId="77777777" w:rsidTr="00A37EB3">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0DF8F610"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Dessau-Roßlau</w:t>
            </w:r>
          </w:p>
        </w:tc>
        <w:tc>
          <w:tcPr>
            <w:tcW w:w="918" w:type="pct"/>
            <w:noWrap/>
            <w:hideMark/>
          </w:tcPr>
          <w:p w14:paraId="230483A7"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2,12%</w:t>
            </w:r>
          </w:p>
        </w:tc>
        <w:tc>
          <w:tcPr>
            <w:tcW w:w="1085" w:type="pct"/>
            <w:noWrap/>
            <w:hideMark/>
          </w:tcPr>
          <w:p w14:paraId="7F3B6E36"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2,87%</w:t>
            </w:r>
          </w:p>
        </w:tc>
        <w:tc>
          <w:tcPr>
            <w:tcW w:w="1414" w:type="pct"/>
            <w:noWrap/>
            <w:hideMark/>
          </w:tcPr>
          <w:p w14:paraId="260017F0" w14:textId="4EB8CB89"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-0,75</w:t>
            </w:r>
          </w:p>
        </w:tc>
      </w:tr>
      <w:tr w:rsidR="00A37EB3" w:rsidRPr="00A37EB3" w14:paraId="72853C90" w14:textId="77777777" w:rsidTr="00A37E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46E907BD"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Jerichower Land</w:t>
            </w:r>
          </w:p>
        </w:tc>
        <w:tc>
          <w:tcPr>
            <w:tcW w:w="918" w:type="pct"/>
            <w:noWrap/>
            <w:hideMark/>
          </w:tcPr>
          <w:p w14:paraId="74DAB001"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2,61%</w:t>
            </w:r>
          </w:p>
        </w:tc>
        <w:tc>
          <w:tcPr>
            <w:tcW w:w="1085" w:type="pct"/>
            <w:noWrap/>
            <w:hideMark/>
          </w:tcPr>
          <w:p w14:paraId="049F081C"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2,10%</w:t>
            </w:r>
          </w:p>
        </w:tc>
        <w:tc>
          <w:tcPr>
            <w:tcW w:w="1414" w:type="pct"/>
            <w:noWrap/>
            <w:hideMark/>
          </w:tcPr>
          <w:p w14:paraId="6406C375" w14:textId="226529D4"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0,51</w:t>
            </w:r>
          </w:p>
        </w:tc>
      </w:tr>
      <w:tr w:rsidR="00A37EB3" w:rsidRPr="00A37EB3" w14:paraId="255EA28C" w14:textId="77777777" w:rsidTr="00A37EB3">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7C715114"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Saalekreis</w:t>
            </w:r>
          </w:p>
        </w:tc>
        <w:tc>
          <w:tcPr>
            <w:tcW w:w="918" w:type="pct"/>
            <w:noWrap/>
            <w:hideMark/>
          </w:tcPr>
          <w:p w14:paraId="22405458"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2,75%</w:t>
            </w:r>
          </w:p>
        </w:tc>
        <w:tc>
          <w:tcPr>
            <w:tcW w:w="1085" w:type="pct"/>
            <w:noWrap/>
            <w:hideMark/>
          </w:tcPr>
          <w:p w14:paraId="18F072FC"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2,63%</w:t>
            </w:r>
          </w:p>
        </w:tc>
        <w:tc>
          <w:tcPr>
            <w:tcW w:w="1414" w:type="pct"/>
            <w:noWrap/>
            <w:hideMark/>
          </w:tcPr>
          <w:p w14:paraId="5B77FE2B" w14:textId="1E026270"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0,12</w:t>
            </w:r>
          </w:p>
        </w:tc>
      </w:tr>
      <w:tr w:rsidR="00A37EB3" w:rsidRPr="00A37EB3" w14:paraId="3802DDEB" w14:textId="77777777" w:rsidTr="00A37E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3A8E900E"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Wittenberg</w:t>
            </w:r>
          </w:p>
        </w:tc>
        <w:tc>
          <w:tcPr>
            <w:tcW w:w="918" w:type="pct"/>
            <w:noWrap/>
            <w:hideMark/>
          </w:tcPr>
          <w:p w14:paraId="0A392F99"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2,77%</w:t>
            </w:r>
          </w:p>
        </w:tc>
        <w:tc>
          <w:tcPr>
            <w:tcW w:w="1085" w:type="pct"/>
            <w:noWrap/>
            <w:hideMark/>
          </w:tcPr>
          <w:p w14:paraId="4EE3B123"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2,33%</w:t>
            </w:r>
          </w:p>
        </w:tc>
        <w:tc>
          <w:tcPr>
            <w:tcW w:w="1414" w:type="pct"/>
            <w:noWrap/>
            <w:hideMark/>
          </w:tcPr>
          <w:p w14:paraId="100F5A2B" w14:textId="5C8733E9"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0,44</w:t>
            </w:r>
          </w:p>
        </w:tc>
      </w:tr>
      <w:tr w:rsidR="00A37EB3" w:rsidRPr="00A37EB3" w14:paraId="164B3BA3" w14:textId="77777777" w:rsidTr="00A37EB3">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61083FFC"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Harz</w:t>
            </w:r>
          </w:p>
        </w:tc>
        <w:tc>
          <w:tcPr>
            <w:tcW w:w="918" w:type="pct"/>
            <w:noWrap/>
            <w:hideMark/>
          </w:tcPr>
          <w:p w14:paraId="148B888E"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2,97%</w:t>
            </w:r>
          </w:p>
        </w:tc>
        <w:tc>
          <w:tcPr>
            <w:tcW w:w="1085" w:type="pct"/>
            <w:noWrap/>
            <w:hideMark/>
          </w:tcPr>
          <w:p w14:paraId="4802798A"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2,50%</w:t>
            </w:r>
          </w:p>
        </w:tc>
        <w:tc>
          <w:tcPr>
            <w:tcW w:w="1414" w:type="pct"/>
            <w:noWrap/>
            <w:hideMark/>
          </w:tcPr>
          <w:p w14:paraId="21FD87B0" w14:textId="49DF4796"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0,47</w:t>
            </w:r>
          </w:p>
        </w:tc>
      </w:tr>
      <w:tr w:rsidR="00A37EB3" w:rsidRPr="00A37EB3" w14:paraId="0D12E2A7" w14:textId="77777777" w:rsidTr="00A37E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5F3BA7BE"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Mansfeld-Südharz</w:t>
            </w:r>
          </w:p>
        </w:tc>
        <w:tc>
          <w:tcPr>
            <w:tcW w:w="918" w:type="pct"/>
            <w:noWrap/>
            <w:hideMark/>
          </w:tcPr>
          <w:p w14:paraId="0E9F0176"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3,16%</w:t>
            </w:r>
          </w:p>
        </w:tc>
        <w:tc>
          <w:tcPr>
            <w:tcW w:w="1085" w:type="pct"/>
            <w:noWrap/>
            <w:hideMark/>
          </w:tcPr>
          <w:p w14:paraId="0507D2C1"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2,97%</w:t>
            </w:r>
          </w:p>
        </w:tc>
        <w:tc>
          <w:tcPr>
            <w:tcW w:w="1414" w:type="pct"/>
            <w:noWrap/>
            <w:hideMark/>
          </w:tcPr>
          <w:p w14:paraId="182CE326" w14:textId="15CA2C72"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0,19</w:t>
            </w:r>
          </w:p>
        </w:tc>
      </w:tr>
      <w:tr w:rsidR="00A37EB3" w:rsidRPr="00A37EB3" w14:paraId="5C7AFAB5" w14:textId="77777777" w:rsidTr="00A37EB3">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288DDCD6"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Stendal</w:t>
            </w:r>
          </w:p>
        </w:tc>
        <w:tc>
          <w:tcPr>
            <w:tcW w:w="918" w:type="pct"/>
            <w:noWrap/>
            <w:hideMark/>
          </w:tcPr>
          <w:p w14:paraId="655DD21C"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3,16%</w:t>
            </w:r>
          </w:p>
        </w:tc>
        <w:tc>
          <w:tcPr>
            <w:tcW w:w="1085" w:type="pct"/>
            <w:noWrap/>
            <w:hideMark/>
          </w:tcPr>
          <w:p w14:paraId="5B526A3D"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4,65%</w:t>
            </w:r>
          </w:p>
        </w:tc>
        <w:tc>
          <w:tcPr>
            <w:tcW w:w="1414" w:type="pct"/>
            <w:noWrap/>
            <w:hideMark/>
          </w:tcPr>
          <w:p w14:paraId="03C29FD9" w14:textId="0817DAEC"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-1,49</w:t>
            </w:r>
          </w:p>
        </w:tc>
      </w:tr>
      <w:tr w:rsidR="00A37EB3" w:rsidRPr="00A37EB3" w14:paraId="558AF3C8" w14:textId="77777777" w:rsidTr="00A37E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74F0D867"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Salzlandkreis</w:t>
            </w:r>
          </w:p>
        </w:tc>
        <w:tc>
          <w:tcPr>
            <w:tcW w:w="918" w:type="pct"/>
            <w:noWrap/>
            <w:hideMark/>
          </w:tcPr>
          <w:p w14:paraId="56AAE1C6"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3,56%</w:t>
            </w:r>
          </w:p>
        </w:tc>
        <w:tc>
          <w:tcPr>
            <w:tcW w:w="1085" w:type="pct"/>
            <w:noWrap/>
            <w:hideMark/>
          </w:tcPr>
          <w:p w14:paraId="74A45A98"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2,54%</w:t>
            </w:r>
          </w:p>
        </w:tc>
        <w:tc>
          <w:tcPr>
            <w:tcW w:w="1414" w:type="pct"/>
            <w:noWrap/>
            <w:hideMark/>
          </w:tcPr>
          <w:p w14:paraId="6034681C" w14:textId="52064FAA"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1,02</w:t>
            </w:r>
          </w:p>
        </w:tc>
      </w:tr>
      <w:tr w:rsidR="00A37EB3" w:rsidRPr="00A37EB3" w14:paraId="48FD401D" w14:textId="77777777" w:rsidTr="00A37EB3">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4EB711ED"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Halle (Saale)</w:t>
            </w:r>
          </w:p>
        </w:tc>
        <w:tc>
          <w:tcPr>
            <w:tcW w:w="918" w:type="pct"/>
            <w:noWrap/>
            <w:hideMark/>
          </w:tcPr>
          <w:p w14:paraId="60379BDE"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3,61%</w:t>
            </w:r>
          </w:p>
        </w:tc>
        <w:tc>
          <w:tcPr>
            <w:tcW w:w="1085" w:type="pct"/>
            <w:noWrap/>
            <w:hideMark/>
          </w:tcPr>
          <w:p w14:paraId="50638DA2"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2,51%</w:t>
            </w:r>
          </w:p>
        </w:tc>
        <w:tc>
          <w:tcPr>
            <w:tcW w:w="1414" w:type="pct"/>
            <w:noWrap/>
            <w:hideMark/>
          </w:tcPr>
          <w:p w14:paraId="163D4E9B" w14:textId="572B1F52"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1,10</w:t>
            </w:r>
          </w:p>
        </w:tc>
      </w:tr>
      <w:tr w:rsidR="00A37EB3" w:rsidRPr="00A37EB3" w14:paraId="2DA683AC" w14:textId="77777777" w:rsidTr="00A37EB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36916E07"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Anhalt-Bitterfeld</w:t>
            </w:r>
          </w:p>
        </w:tc>
        <w:tc>
          <w:tcPr>
            <w:tcW w:w="918" w:type="pct"/>
            <w:noWrap/>
            <w:hideMark/>
          </w:tcPr>
          <w:p w14:paraId="0436E60D"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3,78%</w:t>
            </w:r>
          </w:p>
        </w:tc>
        <w:tc>
          <w:tcPr>
            <w:tcW w:w="1085" w:type="pct"/>
            <w:noWrap/>
            <w:hideMark/>
          </w:tcPr>
          <w:p w14:paraId="49243C97" w14:textId="77777777"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2,20%</w:t>
            </w:r>
          </w:p>
        </w:tc>
        <w:tc>
          <w:tcPr>
            <w:tcW w:w="1414" w:type="pct"/>
            <w:noWrap/>
            <w:hideMark/>
          </w:tcPr>
          <w:p w14:paraId="0E354BB8" w14:textId="2C5D8294" w:rsidR="00A37EB3" w:rsidRPr="00582191" w:rsidRDefault="00A37EB3" w:rsidP="00A37EB3">
            <w:pPr>
              <w:spacing w:line="240" w:lineRule="auto"/>
              <w:jc w:val="right"/>
              <w:cnfStyle w:val="000000100000" w:firstRow="0" w:lastRow="0" w:firstColumn="0" w:lastColumn="0" w:oddVBand="0" w:evenVBand="0" w:oddHBand="1"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1,58</w:t>
            </w:r>
          </w:p>
        </w:tc>
      </w:tr>
      <w:tr w:rsidR="00A37EB3" w:rsidRPr="00A37EB3" w14:paraId="215FD9FB" w14:textId="77777777" w:rsidTr="00A37EB3">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68162F4E" w14:textId="77777777" w:rsidR="00A37EB3" w:rsidRPr="00582191" w:rsidRDefault="00A37EB3" w:rsidP="00A37EB3">
            <w:pPr>
              <w:spacing w:line="240" w:lineRule="auto"/>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Börde</w:t>
            </w:r>
          </w:p>
        </w:tc>
        <w:tc>
          <w:tcPr>
            <w:tcW w:w="918" w:type="pct"/>
            <w:noWrap/>
            <w:hideMark/>
          </w:tcPr>
          <w:p w14:paraId="3621AAAA"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4,93%</w:t>
            </w:r>
          </w:p>
        </w:tc>
        <w:tc>
          <w:tcPr>
            <w:tcW w:w="1085" w:type="pct"/>
            <w:noWrap/>
            <w:hideMark/>
          </w:tcPr>
          <w:p w14:paraId="449D01BE" w14:textId="77777777"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4,29%</w:t>
            </w:r>
          </w:p>
        </w:tc>
        <w:tc>
          <w:tcPr>
            <w:tcW w:w="1414" w:type="pct"/>
            <w:noWrap/>
            <w:hideMark/>
          </w:tcPr>
          <w:p w14:paraId="5658A286" w14:textId="1A672FED" w:rsidR="00A37EB3" w:rsidRPr="00582191" w:rsidRDefault="00A37EB3" w:rsidP="00A37EB3">
            <w:pPr>
              <w:spacing w:line="240" w:lineRule="auto"/>
              <w:jc w:val="right"/>
              <w:cnfStyle w:val="000000000000" w:firstRow="0" w:lastRow="0" w:firstColumn="0" w:lastColumn="0" w:oddVBand="0" w:evenVBand="0" w:oddHBand="0" w:evenHBand="0" w:firstRowFirstColumn="0" w:firstRowLastColumn="0" w:lastRowFirstColumn="0" w:lastRowLastColumn="0"/>
              <w:rPr>
                <w:rFonts w:ascii="AOK Buenos Aires" w:eastAsia="Times New Roman" w:hAnsi="AOK Buenos Aires" w:cs="Arial"/>
                <w:color w:val="000000"/>
                <w:kern w:val="0"/>
                <w:szCs w:val="22"/>
                <w:lang w:eastAsia="de-DE"/>
                <w14:numSpacing w14:val="default"/>
              </w:rPr>
            </w:pPr>
            <w:r w:rsidRPr="00582191">
              <w:rPr>
                <w:rFonts w:ascii="AOK Buenos Aires" w:eastAsia="Times New Roman" w:hAnsi="AOK Buenos Aires" w:cs="Arial"/>
                <w:color w:val="000000"/>
                <w:kern w:val="0"/>
                <w:szCs w:val="22"/>
                <w:lang w:eastAsia="de-DE"/>
                <w14:numSpacing w14:val="default"/>
              </w:rPr>
              <w:t>0,64</w:t>
            </w:r>
          </w:p>
        </w:tc>
      </w:tr>
    </w:tbl>
    <w:p w14:paraId="14363AFA" w14:textId="77777777" w:rsidR="006D0ABD" w:rsidRDefault="006D0ABD" w:rsidP="00520B12"/>
    <w:p w14:paraId="49037541" w14:textId="7F8156E4" w:rsidR="00A37EB3" w:rsidRDefault="00A37EB3" w:rsidP="00520B12">
      <w:r w:rsidRPr="00A37EB3">
        <w:t xml:space="preserve">Quelle: Qualitätsatlas Pflege des Wissenschaftlichen Instituts der AOK (WIdO) / www.qualitaetsatlas-pflege.de </w:t>
      </w:r>
    </w:p>
    <w:p w14:paraId="2F678FB4" w14:textId="2B9343B8" w:rsidR="00A37EB3" w:rsidRDefault="00A37EB3" w:rsidP="00520B12"/>
    <w:p w14:paraId="40656FBC" w14:textId="77777777" w:rsidR="00A37EB3" w:rsidRDefault="00A37EB3" w:rsidP="00520B12"/>
    <w:p w14:paraId="09B8BC71" w14:textId="77777777" w:rsidR="004B2906" w:rsidRDefault="004B2906" w:rsidP="00520B12"/>
    <w:p w14:paraId="242D1E31" w14:textId="77777777" w:rsidR="004B2906" w:rsidRDefault="004B2906" w:rsidP="00520B12"/>
    <w:p w14:paraId="04E45356" w14:textId="77777777" w:rsidR="004B2906" w:rsidRDefault="004B2906" w:rsidP="00520B12"/>
    <w:p w14:paraId="17B0F196" w14:textId="77777777" w:rsidR="004B2906" w:rsidRDefault="004B2906" w:rsidP="00520B12"/>
    <w:p w14:paraId="39455BFE" w14:textId="77777777" w:rsidR="004B2906" w:rsidRDefault="004B2906" w:rsidP="00520B12"/>
    <w:p w14:paraId="1AD02C24" w14:textId="77777777" w:rsidR="004B2906" w:rsidRDefault="004B2906" w:rsidP="00520B12"/>
    <w:p w14:paraId="36666CE4" w14:textId="77777777" w:rsidR="004B2906" w:rsidRDefault="004B2906" w:rsidP="00520B12"/>
    <w:p w14:paraId="5CE5BE35" w14:textId="77777777" w:rsidR="004B2906" w:rsidRDefault="004B2906" w:rsidP="00520B12"/>
    <w:p w14:paraId="59230379" w14:textId="77777777" w:rsidR="004B2906" w:rsidRDefault="004B2906" w:rsidP="00520B12"/>
    <w:p w14:paraId="23F2504C" w14:textId="77777777" w:rsidR="004B2906" w:rsidRDefault="004B2906" w:rsidP="00520B12"/>
    <w:p w14:paraId="576567D0" w14:textId="77777777" w:rsidR="004B2906" w:rsidRDefault="004B2906" w:rsidP="00520B12"/>
    <w:p w14:paraId="52AE0E4F" w14:textId="6D1F4AB8" w:rsidR="00A37EB3" w:rsidRDefault="004B2906" w:rsidP="00520B12">
      <w:r w:rsidRPr="004B2906">
        <w:rPr>
          <w:b/>
          <w:bCs/>
        </w:rPr>
        <w:lastRenderedPageBreak/>
        <w:t>Tabelle 2:</w:t>
      </w:r>
      <w:r>
        <w:t xml:space="preserve"> </w:t>
      </w:r>
      <w:r w:rsidRPr="004B2906">
        <w:t>Fehlender jährlicher augenärztlicher Kontakt bei Diabetes mellitus I/II in den Landkreisen in Sachsen-Anhalt / Anteil</w:t>
      </w:r>
      <w:r>
        <w:t xml:space="preserve"> in aufsteigender Reihenfolge für das Jahr 2023</w:t>
      </w:r>
    </w:p>
    <w:p w14:paraId="4E5C7D82" w14:textId="77777777" w:rsidR="004B2906" w:rsidRDefault="004B2906" w:rsidP="00520B12"/>
    <w:tbl>
      <w:tblPr>
        <w:tblStyle w:val="Gitternetztabelle4Akzent5"/>
        <w:tblW w:w="5000" w:type="pct"/>
        <w:tblLayout w:type="fixed"/>
        <w:tblLook w:val="04A0" w:firstRow="1" w:lastRow="0" w:firstColumn="1" w:lastColumn="0" w:noHBand="0" w:noVBand="1"/>
      </w:tblPr>
      <w:tblGrid>
        <w:gridCol w:w="2689"/>
        <w:gridCol w:w="1559"/>
        <w:gridCol w:w="1843"/>
        <w:gridCol w:w="2402"/>
      </w:tblGrid>
      <w:tr w:rsidR="004B2906" w:rsidRPr="005F02D6" w14:paraId="6611293B" w14:textId="77777777" w:rsidTr="004B290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483712F9" w14:textId="77777777" w:rsidR="004B2906" w:rsidRPr="00582191" w:rsidRDefault="004B2906" w:rsidP="004B2906">
            <w:pPr>
              <w:spacing w:line="240" w:lineRule="auto"/>
              <w:rPr>
                <w:rFonts w:eastAsia="Times New Roman" w:cs="Arial"/>
                <w:color w:val="FFFFFF"/>
                <w:kern w:val="0"/>
                <w:szCs w:val="22"/>
                <w:lang w:eastAsia="de-DE"/>
                <w14:numSpacing w14:val="default"/>
              </w:rPr>
            </w:pPr>
            <w:r w:rsidRPr="00582191">
              <w:rPr>
                <w:rFonts w:eastAsia="Times New Roman" w:cs="Arial"/>
                <w:color w:val="FFFFFF"/>
                <w:kern w:val="0"/>
                <w:szCs w:val="22"/>
                <w:lang w:eastAsia="de-DE"/>
                <w14:numSpacing w14:val="default"/>
              </w:rPr>
              <w:t>Landkreis</w:t>
            </w:r>
          </w:p>
        </w:tc>
        <w:tc>
          <w:tcPr>
            <w:tcW w:w="918" w:type="pct"/>
            <w:noWrap/>
            <w:hideMark/>
          </w:tcPr>
          <w:p w14:paraId="03DFC323" w14:textId="77777777" w:rsidR="004B2906" w:rsidRPr="00582191" w:rsidRDefault="004B2906" w:rsidP="004B2906">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kern w:val="0"/>
                <w:szCs w:val="22"/>
                <w:lang w:eastAsia="de-DE"/>
                <w14:numSpacing w14:val="default"/>
              </w:rPr>
            </w:pPr>
            <w:r w:rsidRPr="00582191">
              <w:rPr>
                <w:rFonts w:eastAsia="Times New Roman" w:cs="Arial"/>
                <w:color w:val="FFFFFF"/>
                <w:kern w:val="0"/>
                <w:szCs w:val="22"/>
                <w:lang w:eastAsia="de-DE"/>
                <w14:numSpacing w14:val="default"/>
              </w:rPr>
              <w:t>Wert (Anteil) 2023</w:t>
            </w:r>
          </w:p>
        </w:tc>
        <w:tc>
          <w:tcPr>
            <w:tcW w:w="1085" w:type="pct"/>
            <w:noWrap/>
            <w:hideMark/>
          </w:tcPr>
          <w:p w14:paraId="3A4DBFAD" w14:textId="77777777" w:rsidR="004B2906" w:rsidRPr="00582191" w:rsidRDefault="004B2906" w:rsidP="004B2906">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kern w:val="0"/>
                <w:szCs w:val="22"/>
                <w:lang w:eastAsia="de-DE"/>
                <w14:numSpacing w14:val="default"/>
              </w:rPr>
            </w:pPr>
            <w:r w:rsidRPr="00582191">
              <w:rPr>
                <w:rFonts w:eastAsia="Times New Roman" w:cs="Arial"/>
                <w:color w:val="FFFFFF"/>
                <w:kern w:val="0"/>
                <w:szCs w:val="22"/>
                <w:lang w:eastAsia="de-DE"/>
                <w14:numSpacing w14:val="default"/>
              </w:rPr>
              <w:t>Wert (Anteil) 2017</w:t>
            </w:r>
          </w:p>
        </w:tc>
        <w:tc>
          <w:tcPr>
            <w:tcW w:w="1414" w:type="pct"/>
            <w:noWrap/>
            <w:hideMark/>
          </w:tcPr>
          <w:p w14:paraId="53BF1EE5" w14:textId="6DAF7A0F" w:rsidR="004B2906" w:rsidRPr="00582191" w:rsidRDefault="004B2906" w:rsidP="004B2906">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kern w:val="0"/>
                <w:szCs w:val="22"/>
                <w:lang w:eastAsia="de-DE"/>
                <w14:numSpacing w14:val="default"/>
              </w:rPr>
            </w:pPr>
            <w:r w:rsidRPr="00582191">
              <w:rPr>
                <w:rFonts w:eastAsia="Times New Roman" w:cs="Arial"/>
                <w:color w:val="FFFFFF"/>
                <w:kern w:val="0"/>
                <w:szCs w:val="22"/>
                <w:lang w:eastAsia="de-DE"/>
                <w14:numSpacing w14:val="default"/>
              </w:rPr>
              <w:t>Differenz 2017 zu 2023 in Prozen</w:t>
            </w:r>
            <w:r w:rsidR="00950737" w:rsidRPr="00582191">
              <w:rPr>
                <w:rFonts w:eastAsia="Times New Roman" w:cs="Arial"/>
                <w:color w:val="FFFFFF"/>
                <w:kern w:val="0"/>
                <w:szCs w:val="22"/>
                <w:lang w:eastAsia="de-DE"/>
                <w14:numSpacing w14:val="default"/>
              </w:rPr>
              <w:t>t</w:t>
            </w:r>
            <w:r w:rsidRPr="00582191">
              <w:rPr>
                <w:rFonts w:eastAsia="Times New Roman" w:cs="Arial"/>
                <w:color w:val="FFFFFF"/>
                <w:kern w:val="0"/>
                <w:szCs w:val="22"/>
                <w:lang w:eastAsia="de-DE"/>
                <w14:numSpacing w14:val="default"/>
              </w:rPr>
              <w:t>punkten</w:t>
            </w:r>
          </w:p>
        </w:tc>
      </w:tr>
      <w:tr w:rsidR="004B2906" w:rsidRPr="005F02D6" w14:paraId="58210431" w14:textId="77777777" w:rsidTr="004B290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3B67A7CE"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Halle (Saale)</w:t>
            </w:r>
          </w:p>
        </w:tc>
        <w:tc>
          <w:tcPr>
            <w:tcW w:w="918" w:type="pct"/>
            <w:noWrap/>
            <w:hideMark/>
          </w:tcPr>
          <w:p w14:paraId="129D6ED8"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64,00%</w:t>
            </w:r>
          </w:p>
        </w:tc>
        <w:tc>
          <w:tcPr>
            <w:tcW w:w="1085" w:type="pct"/>
            <w:noWrap/>
            <w:hideMark/>
          </w:tcPr>
          <w:p w14:paraId="3CB20240"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68,53%</w:t>
            </w:r>
          </w:p>
        </w:tc>
        <w:tc>
          <w:tcPr>
            <w:tcW w:w="1414" w:type="pct"/>
            <w:noWrap/>
            <w:hideMark/>
          </w:tcPr>
          <w:p w14:paraId="140D2A6B" w14:textId="03A64781"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-4,53</w:t>
            </w:r>
          </w:p>
        </w:tc>
      </w:tr>
      <w:tr w:rsidR="004B2906" w:rsidRPr="005F02D6" w14:paraId="375CEBD8" w14:textId="77777777" w:rsidTr="004B2906">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05AAA3EC"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Anhalt-Bitterfeld</w:t>
            </w:r>
          </w:p>
        </w:tc>
        <w:tc>
          <w:tcPr>
            <w:tcW w:w="918" w:type="pct"/>
            <w:noWrap/>
            <w:hideMark/>
          </w:tcPr>
          <w:p w14:paraId="7E5F3939"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66,34%</w:t>
            </w:r>
          </w:p>
        </w:tc>
        <w:tc>
          <w:tcPr>
            <w:tcW w:w="1085" w:type="pct"/>
            <w:noWrap/>
            <w:hideMark/>
          </w:tcPr>
          <w:p w14:paraId="26232B28"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66,58%</w:t>
            </w:r>
          </w:p>
        </w:tc>
        <w:tc>
          <w:tcPr>
            <w:tcW w:w="1414" w:type="pct"/>
            <w:noWrap/>
            <w:hideMark/>
          </w:tcPr>
          <w:p w14:paraId="2E3B634A" w14:textId="1D11E061"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-0,24</w:t>
            </w:r>
          </w:p>
        </w:tc>
      </w:tr>
      <w:tr w:rsidR="004B2906" w:rsidRPr="005F02D6" w14:paraId="62B32F6C" w14:textId="77777777" w:rsidTr="004B290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02D08EC5"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Burgenlandkreis</w:t>
            </w:r>
          </w:p>
        </w:tc>
        <w:tc>
          <w:tcPr>
            <w:tcW w:w="918" w:type="pct"/>
            <w:noWrap/>
            <w:hideMark/>
          </w:tcPr>
          <w:p w14:paraId="1601D21E"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72,24%</w:t>
            </w:r>
          </w:p>
        </w:tc>
        <w:tc>
          <w:tcPr>
            <w:tcW w:w="1085" w:type="pct"/>
            <w:noWrap/>
            <w:hideMark/>
          </w:tcPr>
          <w:p w14:paraId="5EE6855E"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74,25%</w:t>
            </w:r>
          </w:p>
        </w:tc>
        <w:tc>
          <w:tcPr>
            <w:tcW w:w="1414" w:type="pct"/>
            <w:noWrap/>
            <w:hideMark/>
          </w:tcPr>
          <w:p w14:paraId="4C974808" w14:textId="51D9ABC6"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-2,01</w:t>
            </w:r>
          </w:p>
        </w:tc>
      </w:tr>
      <w:tr w:rsidR="004B2906" w:rsidRPr="005F02D6" w14:paraId="1C757F79" w14:textId="77777777" w:rsidTr="004B2906">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0F2F3E3E"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Dessau-Roßlau</w:t>
            </w:r>
          </w:p>
        </w:tc>
        <w:tc>
          <w:tcPr>
            <w:tcW w:w="918" w:type="pct"/>
            <w:noWrap/>
            <w:hideMark/>
          </w:tcPr>
          <w:p w14:paraId="22739B9B"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74,49%</w:t>
            </w:r>
          </w:p>
        </w:tc>
        <w:tc>
          <w:tcPr>
            <w:tcW w:w="1085" w:type="pct"/>
            <w:noWrap/>
            <w:hideMark/>
          </w:tcPr>
          <w:p w14:paraId="48253CEF"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74,13%</w:t>
            </w:r>
          </w:p>
        </w:tc>
        <w:tc>
          <w:tcPr>
            <w:tcW w:w="1414" w:type="pct"/>
            <w:noWrap/>
            <w:hideMark/>
          </w:tcPr>
          <w:p w14:paraId="579F7C6E" w14:textId="269FB029"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0,36</w:t>
            </w:r>
          </w:p>
        </w:tc>
      </w:tr>
      <w:tr w:rsidR="004B2906" w:rsidRPr="005F02D6" w14:paraId="6E5F8AD0" w14:textId="77777777" w:rsidTr="004B290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62A813EE"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Saalekreis</w:t>
            </w:r>
          </w:p>
        </w:tc>
        <w:tc>
          <w:tcPr>
            <w:tcW w:w="918" w:type="pct"/>
            <w:noWrap/>
            <w:hideMark/>
          </w:tcPr>
          <w:p w14:paraId="65117C88"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74,75%</w:t>
            </w:r>
          </w:p>
        </w:tc>
        <w:tc>
          <w:tcPr>
            <w:tcW w:w="1085" w:type="pct"/>
            <w:noWrap/>
            <w:hideMark/>
          </w:tcPr>
          <w:p w14:paraId="6AE35CE6"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76,25%</w:t>
            </w:r>
          </w:p>
        </w:tc>
        <w:tc>
          <w:tcPr>
            <w:tcW w:w="1414" w:type="pct"/>
            <w:noWrap/>
            <w:hideMark/>
          </w:tcPr>
          <w:p w14:paraId="2F6FC82F" w14:textId="5735D794"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-1,50</w:t>
            </w:r>
          </w:p>
        </w:tc>
      </w:tr>
      <w:tr w:rsidR="004B2906" w:rsidRPr="005F02D6" w14:paraId="03C290AB" w14:textId="77777777" w:rsidTr="004B2906">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625D424D"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Stendal</w:t>
            </w:r>
          </w:p>
        </w:tc>
        <w:tc>
          <w:tcPr>
            <w:tcW w:w="918" w:type="pct"/>
            <w:noWrap/>
            <w:hideMark/>
          </w:tcPr>
          <w:p w14:paraId="2EC55DD0"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75,50%</w:t>
            </w:r>
          </w:p>
        </w:tc>
        <w:tc>
          <w:tcPr>
            <w:tcW w:w="1085" w:type="pct"/>
            <w:noWrap/>
            <w:hideMark/>
          </w:tcPr>
          <w:p w14:paraId="64ACC63C"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72,87%</w:t>
            </w:r>
          </w:p>
        </w:tc>
        <w:tc>
          <w:tcPr>
            <w:tcW w:w="1414" w:type="pct"/>
            <w:noWrap/>
            <w:hideMark/>
          </w:tcPr>
          <w:p w14:paraId="533DC52F" w14:textId="479C3BEE"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2,63</w:t>
            </w:r>
          </w:p>
        </w:tc>
      </w:tr>
      <w:tr w:rsidR="004B2906" w:rsidRPr="005F02D6" w14:paraId="2CA2443D" w14:textId="77777777" w:rsidTr="004B290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5A349582"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Mansfeld-Südharz</w:t>
            </w:r>
          </w:p>
        </w:tc>
        <w:tc>
          <w:tcPr>
            <w:tcW w:w="918" w:type="pct"/>
            <w:noWrap/>
            <w:hideMark/>
          </w:tcPr>
          <w:p w14:paraId="2E588E92"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79,65%</w:t>
            </w:r>
          </w:p>
        </w:tc>
        <w:tc>
          <w:tcPr>
            <w:tcW w:w="1085" w:type="pct"/>
            <w:noWrap/>
            <w:hideMark/>
          </w:tcPr>
          <w:p w14:paraId="16623190"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71,92%</w:t>
            </w:r>
          </w:p>
        </w:tc>
        <w:tc>
          <w:tcPr>
            <w:tcW w:w="1414" w:type="pct"/>
            <w:noWrap/>
            <w:hideMark/>
          </w:tcPr>
          <w:p w14:paraId="50140F78" w14:textId="4FB3FA45"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7,73</w:t>
            </w:r>
          </w:p>
        </w:tc>
      </w:tr>
      <w:tr w:rsidR="004B2906" w:rsidRPr="005F02D6" w14:paraId="70DDE501" w14:textId="77777777" w:rsidTr="004B2906">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6820A33C"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Jerichower Land</w:t>
            </w:r>
          </w:p>
        </w:tc>
        <w:tc>
          <w:tcPr>
            <w:tcW w:w="918" w:type="pct"/>
            <w:noWrap/>
            <w:hideMark/>
          </w:tcPr>
          <w:p w14:paraId="47233526"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79,68%</w:t>
            </w:r>
          </w:p>
        </w:tc>
        <w:tc>
          <w:tcPr>
            <w:tcW w:w="1085" w:type="pct"/>
            <w:noWrap/>
            <w:hideMark/>
          </w:tcPr>
          <w:p w14:paraId="2CBAD26A"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72,73%</w:t>
            </w:r>
          </w:p>
        </w:tc>
        <w:tc>
          <w:tcPr>
            <w:tcW w:w="1414" w:type="pct"/>
            <w:noWrap/>
            <w:hideMark/>
          </w:tcPr>
          <w:p w14:paraId="1626FDA8" w14:textId="4694F69E"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6,95</w:t>
            </w:r>
          </w:p>
        </w:tc>
      </w:tr>
      <w:tr w:rsidR="004B2906" w:rsidRPr="005F02D6" w14:paraId="00ED353A" w14:textId="77777777" w:rsidTr="004B290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0BA74270"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Magdeburg</w:t>
            </w:r>
          </w:p>
        </w:tc>
        <w:tc>
          <w:tcPr>
            <w:tcW w:w="918" w:type="pct"/>
            <w:noWrap/>
            <w:hideMark/>
          </w:tcPr>
          <w:p w14:paraId="2AAC8BE5"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80,90%</w:t>
            </w:r>
          </w:p>
        </w:tc>
        <w:tc>
          <w:tcPr>
            <w:tcW w:w="1085" w:type="pct"/>
            <w:noWrap/>
            <w:hideMark/>
          </w:tcPr>
          <w:p w14:paraId="387F956D"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72,63%</w:t>
            </w:r>
          </w:p>
        </w:tc>
        <w:tc>
          <w:tcPr>
            <w:tcW w:w="1414" w:type="pct"/>
            <w:noWrap/>
            <w:hideMark/>
          </w:tcPr>
          <w:p w14:paraId="11944A25" w14:textId="5BC5E529"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8,27</w:t>
            </w:r>
          </w:p>
        </w:tc>
      </w:tr>
      <w:tr w:rsidR="004B2906" w:rsidRPr="005F02D6" w14:paraId="2B435464" w14:textId="77777777" w:rsidTr="004B2906">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271FA5FF"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Salzlandkreis</w:t>
            </w:r>
          </w:p>
        </w:tc>
        <w:tc>
          <w:tcPr>
            <w:tcW w:w="918" w:type="pct"/>
            <w:noWrap/>
            <w:hideMark/>
          </w:tcPr>
          <w:p w14:paraId="042FFCC3"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81,56%</w:t>
            </w:r>
          </w:p>
        </w:tc>
        <w:tc>
          <w:tcPr>
            <w:tcW w:w="1085" w:type="pct"/>
            <w:noWrap/>
            <w:hideMark/>
          </w:tcPr>
          <w:p w14:paraId="40006AA4"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76,99%</w:t>
            </w:r>
          </w:p>
        </w:tc>
        <w:tc>
          <w:tcPr>
            <w:tcW w:w="1414" w:type="pct"/>
            <w:noWrap/>
            <w:hideMark/>
          </w:tcPr>
          <w:p w14:paraId="6B07F4B3" w14:textId="51F546F6"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4,57</w:t>
            </w:r>
          </w:p>
        </w:tc>
      </w:tr>
      <w:tr w:rsidR="004B2906" w:rsidRPr="005F02D6" w14:paraId="06FFB1BE" w14:textId="77777777" w:rsidTr="004B290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51094064"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Wittenberg</w:t>
            </w:r>
          </w:p>
        </w:tc>
        <w:tc>
          <w:tcPr>
            <w:tcW w:w="918" w:type="pct"/>
            <w:noWrap/>
            <w:hideMark/>
          </w:tcPr>
          <w:p w14:paraId="6AF821C7"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84,13%</w:t>
            </w:r>
          </w:p>
        </w:tc>
        <w:tc>
          <w:tcPr>
            <w:tcW w:w="1085" w:type="pct"/>
            <w:noWrap/>
            <w:hideMark/>
          </w:tcPr>
          <w:p w14:paraId="4C34CD3F"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77,01%</w:t>
            </w:r>
          </w:p>
        </w:tc>
        <w:tc>
          <w:tcPr>
            <w:tcW w:w="1414" w:type="pct"/>
            <w:noWrap/>
            <w:hideMark/>
          </w:tcPr>
          <w:p w14:paraId="20B2D0C4" w14:textId="49B028E1"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7,12</w:t>
            </w:r>
          </w:p>
        </w:tc>
      </w:tr>
      <w:tr w:rsidR="004B2906" w:rsidRPr="005F02D6" w14:paraId="2C0BE049" w14:textId="77777777" w:rsidTr="004B2906">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1A5284E4"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Börde</w:t>
            </w:r>
          </w:p>
        </w:tc>
        <w:tc>
          <w:tcPr>
            <w:tcW w:w="918" w:type="pct"/>
            <w:noWrap/>
            <w:hideMark/>
          </w:tcPr>
          <w:p w14:paraId="6AC0E183"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85,37%</w:t>
            </w:r>
          </w:p>
        </w:tc>
        <w:tc>
          <w:tcPr>
            <w:tcW w:w="1085" w:type="pct"/>
            <w:noWrap/>
            <w:hideMark/>
          </w:tcPr>
          <w:p w14:paraId="049851C2"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79,50%</w:t>
            </w:r>
          </w:p>
        </w:tc>
        <w:tc>
          <w:tcPr>
            <w:tcW w:w="1414" w:type="pct"/>
            <w:noWrap/>
            <w:hideMark/>
          </w:tcPr>
          <w:p w14:paraId="628539EB" w14:textId="061D0D98"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5,87</w:t>
            </w:r>
          </w:p>
        </w:tc>
      </w:tr>
      <w:tr w:rsidR="004B2906" w:rsidRPr="005F02D6" w14:paraId="23891071" w14:textId="77777777" w:rsidTr="004B290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5EA82A48"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Harz</w:t>
            </w:r>
          </w:p>
        </w:tc>
        <w:tc>
          <w:tcPr>
            <w:tcW w:w="918" w:type="pct"/>
            <w:noWrap/>
            <w:hideMark/>
          </w:tcPr>
          <w:p w14:paraId="746AFD38"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89,58%</w:t>
            </w:r>
          </w:p>
        </w:tc>
        <w:tc>
          <w:tcPr>
            <w:tcW w:w="1085" w:type="pct"/>
            <w:noWrap/>
            <w:hideMark/>
          </w:tcPr>
          <w:p w14:paraId="47815138" w14:textId="77777777"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83,35%</w:t>
            </w:r>
          </w:p>
        </w:tc>
        <w:tc>
          <w:tcPr>
            <w:tcW w:w="1414" w:type="pct"/>
            <w:noWrap/>
            <w:hideMark/>
          </w:tcPr>
          <w:p w14:paraId="47159F32" w14:textId="239F2922" w:rsidR="004B2906" w:rsidRPr="00582191" w:rsidRDefault="004B2906" w:rsidP="004B290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6,23</w:t>
            </w:r>
          </w:p>
        </w:tc>
      </w:tr>
      <w:tr w:rsidR="004B2906" w:rsidRPr="005F02D6" w14:paraId="2E79D720" w14:textId="77777777" w:rsidTr="004B2906">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5C487945" w14:textId="77777777" w:rsidR="004B2906" w:rsidRPr="00582191" w:rsidRDefault="004B2906" w:rsidP="004B2906">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Altmarkkreis Salzwedel</w:t>
            </w:r>
          </w:p>
        </w:tc>
        <w:tc>
          <w:tcPr>
            <w:tcW w:w="918" w:type="pct"/>
            <w:noWrap/>
            <w:hideMark/>
          </w:tcPr>
          <w:p w14:paraId="63612B13"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89,68%</w:t>
            </w:r>
          </w:p>
        </w:tc>
        <w:tc>
          <w:tcPr>
            <w:tcW w:w="1085" w:type="pct"/>
            <w:noWrap/>
            <w:hideMark/>
          </w:tcPr>
          <w:p w14:paraId="21BE5E08" w14:textId="77777777"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82,52%</w:t>
            </w:r>
          </w:p>
        </w:tc>
        <w:tc>
          <w:tcPr>
            <w:tcW w:w="1414" w:type="pct"/>
            <w:noWrap/>
            <w:hideMark/>
          </w:tcPr>
          <w:p w14:paraId="1F2A227D" w14:textId="2BF9B793" w:rsidR="004B2906" w:rsidRPr="00582191" w:rsidRDefault="004B2906" w:rsidP="004B290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7,16</w:t>
            </w:r>
          </w:p>
        </w:tc>
      </w:tr>
    </w:tbl>
    <w:p w14:paraId="53480FE0" w14:textId="77777777" w:rsidR="004B2906" w:rsidRDefault="004B2906" w:rsidP="00520B12"/>
    <w:p w14:paraId="6B7BBEAD" w14:textId="544E9553" w:rsidR="004B2906" w:rsidRDefault="004B2906" w:rsidP="004B2906">
      <w:r w:rsidRPr="00A37EB3">
        <w:t xml:space="preserve">Quelle: Qualitätsatlas Pflege des Wissenschaftlichen Instituts der AOK (WIdO) / www.qualitaetsatlas-pflege.de </w:t>
      </w:r>
    </w:p>
    <w:p w14:paraId="720476CC" w14:textId="77777777" w:rsidR="001679B7" w:rsidRDefault="001679B7" w:rsidP="00520B12"/>
    <w:p w14:paraId="4843AC55" w14:textId="77777777" w:rsidR="001679B7" w:rsidRDefault="001679B7" w:rsidP="00520B12"/>
    <w:p w14:paraId="46BC0FAE" w14:textId="77777777" w:rsidR="001679B7" w:rsidRDefault="001679B7" w:rsidP="00520B12"/>
    <w:p w14:paraId="77326E03" w14:textId="77777777" w:rsidR="001679B7" w:rsidRDefault="001679B7" w:rsidP="00520B12"/>
    <w:p w14:paraId="4FCA4BCA" w14:textId="77777777" w:rsidR="001679B7" w:rsidRDefault="001679B7" w:rsidP="00520B12"/>
    <w:p w14:paraId="542EA6A5" w14:textId="77777777" w:rsidR="001679B7" w:rsidRDefault="001679B7" w:rsidP="00520B12"/>
    <w:p w14:paraId="71E24405" w14:textId="77777777" w:rsidR="001679B7" w:rsidRDefault="001679B7" w:rsidP="00520B12"/>
    <w:p w14:paraId="2A766C03" w14:textId="77777777" w:rsidR="001679B7" w:rsidRDefault="001679B7" w:rsidP="00520B12"/>
    <w:p w14:paraId="40A50867" w14:textId="77777777" w:rsidR="001679B7" w:rsidRDefault="001679B7" w:rsidP="00520B12"/>
    <w:p w14:paraId="34FF818F" w14:textId="77777777" w:rsidR="001679B7" w:rsidRDefault="001679B7" w:rsidP="00520B12"/>
    <w:p w14:paraId="0910E16F" w14:textId="77777777" w:rsidR="001679B7" w:rsidRDefault="001679B7" w:rsidP="00520B12"/>
    <w:p w14:paraId="40599078" w14:textId="77777777" w:rsidR="001679B7" w:rsidRDefault="001679B7" w:rsidP="00520B12"/>
    <w:p w14:paraId="1BC52533" w14:textId="77777777" w:rsidR="001679B7" w:rsidRDefault="001679B7" w:rsidP="00520B12"/>
    <w:p w14:paraId="6FD7AC47" w14:textId="77777777" w:rsidR="001679B7" w:rsidRDefault="001679B7" w:rsidP="00520B12"/>
    <w:p w14:paraId="344CA03D" w14:textId="0FA7A2C5" w:rsidR="00A37EB3" w:rsidRDefault="001679B7" w:rsidP="00520B12">
      <w:r w:rsidRPr="001679B7">
        <w:rPr>
          <w:b/>
          <w:bCs/>
        </w:rPr>
        <w:lastRenderedPageBreak/>
        <w:t>Tabelle 3:</w:t>
      </w:r>
      <w:r>
        <w:t xml:space="preserve"> </w:t>
      </w:r>
      <w:r w:rsidRPr="001679B7">
        <w:t>Sturzbedingte Krankenhausaufenthalte bei sturzrisikoerhöhender Medikation (fall-</w:t>
      </w:r>
      <w:proofErr w:type="spellStart"/>
      <w:r w:rsidRPr="001679B7">
        <w:t>risk</w:t>
      </w:r>
      <w:proofErr w:type="spellEnd"/>
      <w:r w:rsidRPr="001679B7">
        <w:t>-</w:t>
      </w:r>
      <w:proofErr w:type="spellStart"/>
      <w:r w:rsidRPr="001679B7">
        <w:t>increasing</w:t>
      </w:r>
      <w:proofErr w:type="spellEnd"/>
      <w:r w:rsidRPr="001679B7">
        <w:t xml:space="preserve"> </w:t>
      </w:r>
      <w:proofErr w:type="spellStart"/>
      <w:r w:rsidRPr="001679B7">
        <w:t>drugs</w:t>
      </w:r>
      <w:proofErr w:type="spellEnd"/>
      <w:r w:rsidRPr="001679B7">
        <w:t xml:space="preserve"> - FRIDs) in den Landkreisen in Sachsen-Anhalt / Anteil</w:t>
      </w:r>
      <w:r>
        <w:t xml:space="preserve"> in aufsteigender Reihenfolge für das Jahr 2023</w:t>
      </w:r>
    </w:p>
    <w:p w14:paraId="3F705B3F" w14:textId="77777777" w:rsidR="004B2906" w:rsidRDefault="004B2906" w:rsidP="00520B12"/>
    <w:tbl>
      <w:tblPr>
        <w:tblStyle w:val="Gitternetztabelle4Akzent5"/>
        <w:tblW w:w="5000" w:type="pct"/>
        <w:tblLayout w:type="fixed"/>
        <w:tblLook w:val="04A0" w:firstRow="1" w:lastRow="0" w:firstColumn="1" w:lastColumn="0" w:noHBand="0" w:noVBand="1"/>
      </w:tblPr>
      <w:tblGrid>
        <w:gridCol w:w="2689"/>
        <w:gridCol w:w="1559"/>
        <w:gridCol w:w="1843"/>
        <w:gridCol w:w="2402"/>
      </w:tblGrid>
      <w:tr w:rsidR="001679B7" w:rsidRPr="005F02D6" w14:paraId="7E86DA1E" w14:textId="77777777" w:rsidTr="001679B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325CDE69" w14:textId="77777777" w:rsidR="001679B7" w:rsidRPr="00582191" w:rsidRDefault="001679B7" w:rsidP="001679B7">
            <w:pPr>
              <w:spacing w:line="240" w:lineRule="auto"/>
              <w:rPr>
                <w:rFonts w:eastAsia="Times New Roman" w:cs="Arial"/>
                <w:color w:val="FFFFFF"/>
                <w:kern w:val="0"/>
                <w:szCs w:val="22"/>
                <w:lang w:eastAsia="de-DE"/>
                <w14:numSpacing w14:val="default"/>
              </w:rPr>
            </w:pPr>
            <w:r w:rsidRPr="00582191">
              <w:rPr>
                <w:rFonts w:eastAsia="Times New Roman" w:cs="Arial"/>
                <w:color w:val="FFFFFF"/>
                <w:kern w:val="0"/>
                <w:szCs w:val="22"/>
                <w:lang w:eastAsia="de-DE"/>
                <w14:numSpacing w14:val="default"/>
              </w:rPr>
              <w:t>Landkreis</w:t>
            </w:r>
          </w:p>
        </w:tc>
        <w:tc>
          <w:tcPr>
            <w:tcW w:w="918" w:type="pct"/>
            <w:noWrap/>
            <w:hideMark/>
          </w:tcPr>
          <w:p w14:paraId="2FCD311F" w14:textId="77777777" w:rsidR="001679B7" w:rsidRPr="00582191" w:rsidRDefault="001679B7" w:rsidP="001679B7">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kern w:val="0"/>
                <w:szCs w:val="22"/>
                <w:lang w:eastAsia="de-DE"/>
                <w14:numSpacing w14:val="default"/>
              </w:rPr>
            </w:pPr>
            <w:r w:rsidRPr="00582191">
              <w:rPr>
                <w:rFonts w:eastAsia="Times New Roman" w:cs="Arial"/>
                <w:color w:val="FFFFFF"/>
                <w:kern w:val="0"/>
                <w:szCs w:val="22"/>
                <w:lang w:eastAsia="de-DE"/>
                <w14:numSpacing w14:val="default"/>
              </w:rPr>
              <w:t>Wert (Anteil) 2023</w:t>
            </w:r>
          </w:p>
        </w:tc>
        <w:tc>
          <w:tcPr>
            <w:tcW w:w="1085" w:type="pct"/>
            <w:noWrap/>
            <w:hideMark/>
          </w:tcPr>
          <w:p w14:paraId="6DE236F8" w14:textId="77777777" w:rsidR="001679B7" w:rsidRPr="00582191" w:rsidRDefault="001679B7" w:rsidP="001679B7">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kern w:val="0"/>
                <w:szCs w:val="22"/>
                <w:lang w:eastAsia="de-DE"/>
                <w14:numSpacing w14:val="default"/>
              </w:rPr>
            </w:pPr>
            <w:r w:rsidRPr="00582191">
              <w:rPr>
                <w:rFonts w:eastAsia="Times New Roman" w:cs="Arial"/>
                <w:color w:val="FFFFFF"/>
                <w:kern w:val="0"/>
                <w:szCs w:val="22"/>
                <w:lang w:eastAsia="de-DE"/>
                <w14:numSpacing w14:val="default"/>
              </w:rPr>
              <w:t>Wert (Anteil) 2017</w:t>
            </w:r>
          </w:p>
        </w:tc>
        <w:tc>
          <w:tcPr>
            <w:tcW w:w="1414" w:type="pct"/>
            <w:noWrap/>
            <w:hideMark/>
          </w:tcPr>
          <w:p w14:paraId="1A63B797" w14:textId="0AC962DE" w:rsidR="001679B7" w:rsidRPr="00582191" w:rsidRDefault="001679B7" w:rsidP="001679B7">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kern w:val="0"/>
                <w:szCs w:val="22"/>
                <w:lang w:eastAsia="de-DE"/>
                <w14:numSpacing w14:val="default"/>
              </w:rPr>
            </w:pPr>
            <w:r w:rsidRPr="00582191">
              <w:rPr>
                <w:rFonts w:eastAsia="Times New Roman" w:cs="Arial"/>
                <w:color w:val="FFFFFF"/>
                <w:kern w:val="0"/>
                <w:szCs w:val="22"/>
                <w:lang w:eastAsia="de-DE"/>
                <w14:numSpacing w14:val="default"/>
              </w:rPr>
              <w:t>Differenz 2017 zu 2023 in Prozen</w:t>
            </w:r>
            <w:r w:rsidR="009A2ABC" w:rsidRPr="00582191">
              <w:rPr>
                <w:rFonts w:eastAsia="Times New Roman" w:cs="Arial"/>
                <w:color w:val="FFFFFF"/>
                <w:kern w:val="0"/>
                <w:szCs w:val="22"/>
                <w:lang w:eastAsia="de-DE"/>
                <w14:numSpacing w14:val="default"/>
              </w:rPr>
              <w:t>t</w:t>
            </w:r>
            <w:r w:rsidRPr="00582191">
              <w:rPr>
                <w:rFonts w:eastAsia="Times New Roman" w:cs="Arial"/>
                <w:color w:val="FFFFFF"/>
                <w:kern w:val="0"/>
                <w:szCs w:val="22"/>
                <w:lang w:eastAsia="de-DE"/>
                <w14:numSpacing w14:val="default"/>
              </w:rPr>
              <w:t>punkten</w:t>
            </w:r>
          </w:p>
        </w:tc>
      </w:tr>
      <w:tr w:rsidR="001679B7" w:rsidRPr="005F02D6" w14:paraId="415095A1" w14:textId="77777777" w:rsidTr="001679B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166AAEEE"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Stendal</w:t>
            </w:r>
          </w:p>
        </w:tc>
        <w:tc>
          <w:tcPr>
            <w:tcW w:w="918" w:type="pct"/>
            <w:noWrap/>
            <w:hideMark/>
          </w:tcPr>
          <w:p w14:paraId="15C5A805"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11,82%</w:t>
            </w:r>
          </w:p>
        </w:tc>
        <w:tc>
          <w:tcPr>
            <w:tcW w:w="1085" w:type="pct"/>
            <w:noWrap/>
            <w:hideMark/>
          </w:tcPr>
          <w:p w14:paraId="5ACB8D33"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13,94%</w:t>
            </w:r>
          </w:p>
        </w:tc>
        <w:tc>
          <w:tcPr>
            <w:tcW w:w="1414" w:type="pct"/>
            <w:noWrap/>
            <w:hideMark/>
          </w:tcPr>
          <w:p w14:paraId="4DF4BF02" w14:textId="26043B0D"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-2,12</w:t>
            </w:r>
          </w:p>
        </w:tc>
      </w:tr>
      <w:tr w:rsidR="001679B7" w:rsidRPr="005F02D6" w14:paraId="53CFE02E" w14:textId="77777777" w:rsidTr="001679B7">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4B891C87"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Jerichower Land</w:t>
            </w:r>
          </w:p>
        </w:tc>
        <w:tc>
          <w:tcPr>
            <w:tcW w:w="918" w:type="pct"/>
            <w:noWrap/>
            <w:hideMark/>
          </w:tcPr>
          <w:p w14:paraId="6618351E"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13,32%</w:t>
            </w:r>
          </w:p>
        </w:tc>
        <w:tc>
          <w:tcPr>
            <w:tcW w:w="1085" w:type="pct"/>
            <w:noWrap/>
            <w:hideMark/>
          </w:tcPr>
          <w:p w14:paraId="49BAA414"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16,84%</w:t>
            </w:r>
          </w:p>
        </w:tc>
        <w:tc>
          <w:tcPr>
            <w:tcW w:w="1414" w:type="pct"/>
            <w:noWrap/>
            <w:hideMark/>
          </w:tcPr>
          <w:p w14:paraId="1835677D" w14:textId="0B5A217D"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-3,52</w:t>
            </w:r>
          </w:p>
        </w:tc>
      </w:tr>
      <w:tr w:rsidR="001679B7" w:rsidRPr="005F02D6" w14:paraId="15A3544D" w14:textId="77777777" w:rsidTr="001679B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68D82045"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Börde</w:t>
            </w:r>
          </w:p>
        </w:tc>
        <w:tc>
          <w:tcPr>
            <w:tcW w:w="918" w:type="pct"/>
            <w:noWrap/>
            <w:hideMark/>
          </w:tcPr>
          <w:p w14:paraId="465AF5EC"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13,43%</w:t>
            </w:r>
          </w:p>
        </w:tc>
        <w:tc>
          <w:tcPr>
            <w:tcW w:w="1085" w:type="pct"/>
            <w:noWrap/>
            <w:hideMark/>
          </w:tcPr>
          <w:p w14:paraId="2A992611"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12,72%</w:t>
            </w:r>
          </w:p>
        </w:tc>
        <w:tc>
          <w:tcPr>
            <w:tcW w:w="1414" w:type="pct"/>
            <w:noWrap/>
            <w:hideMark/>
          </w:tcPr>
          <w:p w14:paraId="50563104" w14:textId="1BC381FE"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0,71</w:t>
            </w:r>
          </w:p>
        </w:tc>
      </w:tr>
      <w:tr w:rsidR="001679B7" w:rsidRPr="005F02D6" w14:paraId="09575676" w14:textId="77777777" w:rsidTr="001679B7">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35E5CC64"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Salzlandkreis</w:t>
            </w:r>
          </w:p>
        </w:tc>
        <w:tc>
          <w:tcPr>
            <w:tcW w:w="918" w:type="pct"/>
            <w:noWrap/>
            <w:hideMark/>
          </w:tcPr>
          <w:p w14:paraId="4BDED791"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13,81%</w:t>
            </w:r>
          </w:p>
        </w:tc>
        <w:tc>
          <w:tcPr>
            <w:tcW w:w="1085" w:type="pct"/>
            <w:noWrap/>
            <w:hideMark/>
          </w:tcPr>
          <w:p w14:paraId="3F00BB34"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14,55%</w:t>
            </w:r>
          </w:p>
        </w:tc>
        <w:tc>
          <w:tcPr>
            <w:tcW w:w="1414" w:type="pct"/>
            <w:noWrap/>
            <w:hideMark/>
          </w:tcPr>
          <w:p w14:paraId="1A1A9874" w14:textId="365EAEFD"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-0,74</w:t>
            </w:r>
          </w:p>
        </w:tc>
      </w:tr>
      <w:tr w:rsidR="001679B7" w:rsidRPr="005F02D6" w14:paraId="4CFEF900" w14:textId="77777777" w:rsidTr="001679B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769CA8CF"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Halle (Saale)</w:t>
            </w:r>
          </w:p>
        </w:tc>
        <w:tc>
          <w:tcPr>
            <w:tcW w:w="918" w:type="pct"/>
            <w:noWrap/>
            <w:hideMark/>
          </w:tcPr>
          <w:p w14:paraId="7304F306"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13,83%</w:t>
            </w:r>
          </w:p>
        </w:tc>
        <w:tc>
          <w:tcPr>
            <w:tcW w:w="1085" w:type="pct"/>
            <w:noWrap/>
            <w:hideMark/>
          </w:tcPr>
          <w:p w14:paraId="1FEC27B1"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12,58%</w:t>
            </w:r>
          </w:p>
        </w:tc>
        <w:tc>
          <w:tcPr>
            <w:tcW w:w="1414" w:type="pct"/>
            <w:noWrap/>
            <w:hideMark/>
          </w:tcPr>
          <w:p w14:paraId="41BB642D" w14:textId="696BDED9"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1,25</w:t>
            </w:r>
          </w:p>
        </w:tc>
      </w:tr>
      <w:tr w:rsidR="001679B7" w:rsidRPr="005F02D6" w14:paraId="6FBE8E71" w14:textId="77777777" w:rsidTr="001679B7">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6CA348FE"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Burgenlandkreis</w:t>
            </w:r>
          </w:p>
        </w:tc>
        <w:tc>
          <w:tcPr>
            <w:tcW w:w="918" w:type="pct"/>
            <w:noWrap/>
            <w:hideMark/>
          </w:tcPr>
          <w:p w14:paraId="4F3429DD"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14,10%</w:t>
            </w:r>
          </w:p>
        </w:tc>
        <w:tc>
          <w:tcPr>
            <w:tcW w:w="1085" w:type="pct"/>
            <w:noWrap/>
            <w:hideMark/>
          </w:tcPr>
          <w:p w14:paraId="1F36EB37"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14,70%</w:t>
            </w:r>
          </w:p>
        </w:tc>
        <w:tc>
          <w:tcPr>
            <w:tcW w:w="1414" w:type="pct"/>
            <w:noWrap/>
            <w:hideMark/>
          </w:tcPr>
          <w:p w14:paraId="18EA4DFC" w14:textId="6A511AD9"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-0,60</w:t>
            </w:r>
          </w:p>
        </w:tc>
      </w:tr>
      <w:tr w:rsidR="001679B7" w:rsidRPr="005F02D6" w14:paraId="15769878" w14:textId="77777777" w:rsidTr="001679B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7C6B7358"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Harz</w:t>
            </w:r>
          </w:p>
        </w:tc>
        <w:tc>
          <w:tcPr>
            <w:tcW w:w="918" w:type="pct"/>
            <w:noWrap/>
            <w:hideMark/>
          </w:tcPr>
          <w:p w14:paraId="4134DF32"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14,63%</w:t>
            </w:r>
          </w:p>
        </w:tc>
        <w:tc>
          <w:tcPr>
            <w:tcW w:w="1085" w:type="pct"/>
            <w:noWrap/>
            <w:hideMark/>
          </w:tcPr>
          <w:p w14:paraId="24634E1E"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14,12%</w:t>
            </w:r>
          </w:p>
        </w:tc>
        <w:tc>
          <w:tcPr>
            <w:tcW w:w="1414" w:type="pct"/>
            <w:noWrap/>
            <w:hideMark/>
          </w:tcPr>
          <w:p w14:paraId="10B89D48" w14:textId="447FE5E0"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0,51</w:t>
            </w:r>
          </w:p>
        </w:tc>
      </w:tr>
      <w:tr w:rsidR="001679B7" w:rsidRPr="005F02D6" w14:paraId="3D963D03" w14:textId="77777777" w:rsidTr="001679B7">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01C3E7BF"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Wittenberg</w:t>
            </w:r>
          </w:p>
        </w:tc>
        <w:tc>
          <w:tcPr>
            <w:tcW w:w="918" w:type="pct"/>
            <w:noWrap/>
            <w:hideMark/>
          </w:tcPr>
          <w:p w14:paraId="539E4E0C"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14,69%</w:t>
            </w:r>
          </w:p>
        </w:tc>
        <w:tc>
          <w:tcPr>
            <w:tcW w:w="1085" w:type="pct"/>
            <w:noWrap/>
            <w:hideMark/>
          </w:tcPr>
          <w:p w14:paraId="7B24FD06"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14,64%</w:t>
            </w:r>
          </w:p>
        </w:tc>
        <w:tc>
          <w:tcPr>
            <w:tcW w:w="1414" w:type="pct"/>
            <w:noWrap/>
            <w:hideMark/>
          </w:tcPr>
          <w:p w14:paraId="550BB7C7" w14:textId="79A2A38E"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0,05</w:t>
            </w:r>
          </w:p>
        </w:tc>
      </w:tr>
      <w:tr w:rsidR="001679B7" w:rsidRPr="005F02D6" w14:paraId="75DB783C" w14:textId="77777777" w:rsidTr="001679B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47AF6F43"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Anhalt-Bitterfeld</w:t>
            </w:r>
          </w:p>
        </w:tc>
        <w:tc>
          <w:tcPr>
            <w:tcW w:w="918" w:type="pct"/>
            <w:noWrap/>
            <w:hideMark/>
          </w:tcPr>
          <w:p w14:paraId="304C28A5"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14,75%</w:t>
            </w:r>
          </w:p>
        </w:tc>
        <w:tc>
          <w:tcPr>
            <w:tcW w:w="1085" w:type="pct"/>
            <w:noWrap/>
            <w:hideMark/>
          </w:tcPr>
          <w:p w14:paraId="74C00A78"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17,76%</w:t>
            </w:r>
          </w:p>
        </w:tc>
        <w:tc>
          <w:tcPr>
            <w:tcW w:w="1414" w:type="pct"/>
            <w:noWrap/>
            <w:hideMark/>
          </w:tcPr>
          <w:p w14:paraId="065E9735" w14:textId="6F696EFA"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-3,01</w:t>
            </w:r>
          </w:p>
        </w:tc>
      </w:tr>
      <w:tr w:rsidR="001679B7" w:rsidRPr="005F02D6" w14:paraId="246570C8" w14:textId="77777777" w:rsidTr="001679B7">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7FA08789"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Dessau-Roßlau</w:t>
            </w:r>
          </w:p>
        </w:tc>
        <w:tc>
          <w:tcPr>
            <w:tcW w:w="918" w:type="pct"/>
            <w:noWrap/>
            <w:hideMark/>
          </w:tcPr>
          <w:p w14:paraId="4C7C88C8"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15,29%</w:t>
            </w:r>
          </w:p>
        </w:tc>
        <w:tc>
          <w:tcPr>
            <w:tcW w:w="1085" w:type="pct"/>
            <w:noWrap/>
            <w:hideMark/>
          </w:tcPr>
          <w:p w14:paraId="60983DCA"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17,24%</w:t>
            </w:r>
          </w:p>
        </w:tc>
        <w:tc>
          <w:tcPr>
            <w:tcW w:w="1414" w:type="pct"/>
            <w:noWrap/>
            <w:hideMark/>
          </w:tcPr>
          <w:p w14:paraId="4B87661E" w14:textId="3AD35858"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-1,95</w:t>
            </w:r>
          </w:p>
        </w:tc>
      </w:tr>
      <w:tr w:rsidR="001679B7" w:rsidRPr="005F02D6" w14:paraId="3DABE371" w14:textId="77777777" w:rsidTr="001679B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62A46100"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Saalekreis</w:t>
            </w:r>
          </w:p>
        </w:tc>
        <w:tc>
          <w:tcPr>
            <w:tcW w:w="918" w:type="pct"/>
            <w:noWrap/>
            <w:hideMark/>
          </w:tcPr>
          <w:p w14:paraId="572A2D9E"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15,61%</w:t>
            </w:r>
          </w:p>
        </w:tc>
        <w:tc>
          <w:tcPr>
            <w:tcW w:w="1085" w:type="pct"/>
            <w:noWrap/>
            <w:hideMark/>
          </w:tcPr>
          <w:p w14:paraId="0824E077"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17,94%</w:t>
            </w:r>
          </w:p>
        </w:tc>
        <w:tc>
          <w:tcPr>
            <w:tcW w:w="1414" w:type="pct"/>
            <w:noWrap/>
            <w:hideMark/>
          </w:tcPr>
          <w:p w14:paraId="09C3F573" w14:textId="58F0F49F"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-2,33</w:t>
            </w:r>
          </w:p>
        </w:tc>
      </w:tr>
      <w:tr w:rsidR="001679B7" w:rsidRPr="005F02D6" w14:paraId="2AD86C2E" w14:textId="77777777" w:rsidTr="001679B7">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06413567"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Mansfeld-Südharz</w:t>
            </w:r>
          </w:p>
        </w:tc>
        <w:tc>
          <w:tcPr>
            <w:tcW w:w="918" w:type="pct"/>
            <w:noWrap/>
            <w:hideMark/>
          </w:tcPr>
          <w:p w14:paraId="0EAA719C"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15,74%</w:t>
            </w:r>
          </w:p>
        </w:tc>
        <w:tc>
          <w:tcPr>
            <w:tcW w:w="1085" w:type="pct"/>
            <w:noWrap/>
            <w:hideMark/>
          </w:tcPr>
          <w:p w14:paraId="3BD52232"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14,46%</w:t>
            </w:r>
          </w:p>
        </w:tc>
        <w:tc>
          <w:tcPr>
            <w:tcW w:w="1414" w:type="pct"/>
            <w:noWrap/>
            <w:hideMark/>
          </w:tcPr>
          <w:p w14:paraId="7A8DBEAA" w14:textId="2EE54AA2"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1,28</w:t>
            </w:r>
          </w:p>
        </w:tc>
      </w:tr>
      <w:tr w:rsidR="001679B7" w:rsidRPr="005F02D6" w14:paraId="5222EBD1" w14:textId="77777777" w:rsidTr="001679B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4BBAF441"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Magdeburg</w:t>
            </w:r>
          </w:p>
        </w:tc>
        <w:tc>
          <w:tcPr>
            <w:tcW w:w="918" w:type="pct"/>
            <w:noWrap/>
            <w:hideMark/>
          </w:tcPr>
          <w:p w14:paraId="5E394FC2"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15,77%</w:t>
            </w:r>
          </w:p>
        </w:tc>
        <w:tc>
          <w:tcPr>
            <w:tcW w:w="1085" w:type="pct"/>
            <w:noWrap/>
            <w:hideMark/>
          </w:tcPr>
          <w:p w14:paraId="57B59FC4" w14:textId="77777777"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13,07%</w:t>
            </w:r>
          </w:p>
        </w:tc>
        <w:tc>
          <w:tcPr>
            <w:tcW w:w="1414" w:type="pct"/>
            <w:noWrap/>
            <w:hideMark/>
          </w:tcPr>
          <w:p w14:paraId="6DBEF752" w14:textId="2D6CFEA5" w:rsidR="001679B7" w:rsidRPr="00582191" w:rsidRDefault="001679B7" w:rsidP="001679B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2,70</w:t>
            </w:r>
          </w:p>
        </w:tc>
      </w:tr>
      <w:tr w:rsidR="001679B7" w:rsidRPr="005F02D6" w14:paraId="027F22F6" w14:textId="77777777" w:rsidTr="001679B7">
        <w:trPr>
          <w:trHeight w:val="280"/>
        </w:trPr>
        <w:tc>
          <w:tcPr>
            <w:cnfStyle w:val="001000000000" w:firstRow="0" w:lastRow="0" w:firstColumn="1" w:lastColumn="0" w:oddVBand="0" w:evenVBand="0" w:oddHBand="0" w:evenHBand="0" w:firstRowFirstColumn="0" w:firstRowLastColumn="0" w:lastRowFirstColumn="0" w:lastRowLastColumn="0"/>
            <w:tcW w:w="1583" w:type="pct"/>
            <w:noWrap/>
            <w:hideMark/>
          </w:tcPr>
          <w:p w14:paraId="20BD817A" w14:textId="77777777" w:rsidR="001679B7" w:rsidRPr="00582191" w:rsidRDefault="001679B7" w:rsidP="001679B7">
            <w:pPr>
              <w:spacing w:line="240" w:lineRule="auto"/>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Altmarkkreis Salzwedel</w:t>
            </w:r>
          </w:p>
        </w:tc>
        <w:tc>
          <w:tcPr>
            <w:tcW w:w="918" w:type="pct"/>
            <w:noWrap/>
            <w:hideMark/>
          </w:tcPr>
          <w:p w14:paraId="211CE2EA"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17,05%</w:t>
            </w:r>
          </w:p>
        </w:tc>
        <w:tc>
          <w:tcPr>
            <w:tcW w:w="1085" w:type="pct"/>
            <w:noWrap/>
            <w:hideMark/>
          </w:tcPr>
          <w:p w14:paraId="6C39EA52" w14:textId="77777777"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18,56%</w:t>
            </w:r>
          </w:p>
        </w:tc>
        <w:tc>
          <w:tcPr>
            <w:tcW w:w="1414" w:type="pct"/>
            <w:noWrap/>
            <w:hideMark/>
          </w:tcPr>
          <w:p w14:paraId="04DF384A" w14:textId="4971D8F5" w:rsidR="001679B7" w:rsidRPr="00582191" w:rsidRDefault="001679B7" w:rsidP="001679B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2"/>
                <w:lang w:eastAsia="de-DE"/>
                <w14:numSpacing w14:val="default"/>
              </w:rPr>
            </w:pPr>
            <w:r w:rsidRPr="00582191">
              <w:rPr>
                <w:rFonts w:eastAsia="Times New Roman" w:cs="Arial"/>
                <w:color w:val="000000"/>
                <w:kern w:val="0"/>
                <w:szCs w:val="22"/>
                <w:lang w:eastAsia="de-DE"/>
                <w14:numSpacing w14:val="default"/>
              </w:rPr>
              <w:t>-1,51</w:t>
            </w:r>
          </w:p>
        </w:tc>
      </w:tr>
    </w:tbl>
    <w:p w14:paraId="6A395401" w14:textId="77777777" w:rsidR="004B2906" w:rsidRDefault="004B2906" w:rsidP="00520B12"/>
    <w:p w14:paraId="3875AFE7" w14:textId="1FEF735F" w:rsidR="00C02C89" w:rsidRDefault="00C02C89" w:rsidP="00C02C89">
      <w:r w:rsidRPr="00A37EB3">
        <w:t xml:space="preserve">Quelle: Qualitätsatlas Pflege des Wissenschaftlichen Instituts der AOK (WIdO) / www.qualitaetsatlas-pflege.de </w:t>
      </w:r>
    </w:p>
    <w:p w14:paraId="47AB78D3" w14:textId="77777777" w:rsidR="004B2906" w:rsidRDefault="004B2906" w:rsidP="00520B12"/>
    <w:p w14:paraId="37416099" w14:textId="77777777" w:rsidR="00A37EB3" w:rsidRDefault="00A37EB3" w:rsidP="00520B12"/>
    <w:p w14:paraId="6D6D8A8A" w14:textId="77777777" w:rsidR="005726E3" w:rsidRDefault="005726E3" w:rsidP="00520B12"/>
    <w:p w14:paraId="35BCC89C" w14:textId="77777777" w:rsidR="005726E3" w:rsidRDefault="005726E3" w:rsidP="00520B12"/>
    <w:p w14:paraId="21CC217F" w14:textId="77777777" w:rsidR="005726E3" w:rsidRDefault="005726E3" w:rsidP="00520B12"/>
    <w:p w14:paraId="0949829D" w14:textId="77777777" w:rsidR="005726E3" w:rsidRDefault="005726E3" w:rsidP="00520B12"/>
    <w:p w14:paraId="6731A4C4" w14:textId="77777777" w:rsidR="005726E3" w:rsidRDefault="005726E3" w:rsidP="00520B12"/>
    <w:p w14:paraId="4983A727" w14:textId="77777777" w:rsidR="005726E3" w:rsidRDefault="005726E3" w:rsidP="00520B12"/>
    <w:p w14:paraId="4304B8B3" w14:textId="77777777" w:rsidR="003A5A6C" w:rsidRDefault="003A5A6C" w:rsidP="00520B12"/>
    <w:p w14:paraId="4055772E" w14:textId="77777777" w:rsidR="003A5A6C" w:rsidRDefault="003A5A6C" w:rsidP="00520B12"/>
    <w:p w14:paraId="44FBA1F2" w14:textId="77777777" w:rsidR="003A5A6C" w:rsidRDefault="003A5A6C" w:rsidP="00520B12"/>
    <w:p w14:paraId="3DD845C6" w14:textId="77777777" w:rsidR="005726E3" w:rsidRDefault="005726E3" w:rsidP="00520B12"/>
    <w:p w14:paraId="7E70115B" w14:textId="77777777" w:rsidR="005726E3" w:rsidRDefault="005726E3" w:rsidP="00520B12"/>
    <w:p w14:paraId="18277B9C" w14:textId="77777777" w:rsidR="005726E3" w:rsidRDefault="005726E3" w:rsidP="00520B12"/>
    <w:p w14:paraId="3BFBA2B6" w14:textId="12BC1A01" w:rsidR="00520B12" w:rsidRDefault="006D15D1" w:rsidP="00520B12">
      <w:r>
        <w:lastRenderedPageBreak/>
        <w:t>Bilderservice:</w:t>
      </w:r>
    </w:p>
    <w:p w14:paraId="50639AA0" w14:textId="02BB99B2" w:rsidR="006D15D1" w:rsidRDefault="006D15D1" w:rsidP="00520B12">
      <w:r>
        <w:t xml:space="preserve">Für Ihre Berichterstattung in Verbindung mit dieser Pressemitteilung können Sie die beigefügten Fotos bei Angabe des Bildnachweises kostenfrei verwenden. </w:t>
      </w:r>
    </w:p>
    <w:p w14:paraId="1ACF4F8D" w14:textId="77777777" w:rsidR="006D15D1" w:rsidRDefault="006D15D1" w:rsidP="00520B12"/>
    <w:p w14:paraId="4D6FB473" w14:textId="1549174F" w:rsidR="00C8296F" w:rsidRDefault="00C8296F" w:rsidP="006D15D1">
      <w:pPr>
        <w:pStyle w:val="Bildunterschrift"/>
      </w:pPr>
      <w:r w:rsidRPr="00CF368A">
        <w:rPr>
          <w:noProof/>
          <w:lang w:eastAsia="de-DE"/>
        </w:rPr>
        <w:drawing>
          <wp:anchor distT="0" distB="0" distL="114300" distR="114300" simplePos="0" relativeHeight="251659264" behindDoc="1" locked="0" layoutInCell="1" allowOverlap="1" wp14:anchorId="211454D7" wp14:editId="5BB4DEF5">
            <wp:simplePos x="0" y="0"/>
            <wp:positionH relativeFrom="margin">
              <wp:align>left</wp:align>
            </wp:positionH>
            <wp:positionV relativeFrom="paragraph">
              <wp:posOffset>7620</wp:posOffset>
            </wp:positionV>
            <wp:extent cx="1500505" cy="1776095"/>
            <wp:effectExtent l="0" t="0" r="4445" b="0"/>
            <wp:wrapThrough wrapText="bothSides">
              <wp:wrapPolygon edited="0">
                <wp:start x="0" y="0"/>
                <wp:lineTo x="0" y="21314"/>
                <wp:lineTo x="21390" y="21314"/>
                <wp:lineTo x="21390" y="0"/>
                <wp:lineTo x="0" y="0"/>
              </wp:wrapPolygon>
            </wp:wrapThrough>
            <wp:docPr id="6" name="Grafik 6" descr="Ein Foto von Marion Strickmann, Leiterin der Geschäftseinheit Gesundheit und Medizin bei der AOK Sachsen-Anh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Foto von Marion Strickmann, Leiterin der Geschäftseinheit Gesundheit und Medizin bei der AOK Sachsen-Anhal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505" cy="1776095"/>
                    </a:xfrm>
                    <a:prstGeom prst="rect">
                      <a:avLst/>
                    </a:prstGeom>
                  </pic:spPr>
                </pic:pic>
              </a:graphicData>
            </a:graphic>
            <wp14:sizeRelH relativeFrom="margin">
              <wp14:pctWidth>0</wp14:pctWidth>
            </wp14:sizeRelH>
          </wp:anchor>
        </w:drawing>
      </w:r>
    </w:p>
    <w:p w14:paraId="7F6ED58C" w14:textId="77777777" w:rsidR="00C8296F" w:rsidRDefault="00C8296F" w:rsidP="006D15D1">
      <w:pPr>
        <w:pStyle w:val="Bildunterschrift"/>
      </w:pPr>
    </w:p>
    <w:p w14:paraId="1F9357DD" w14:textId="77777777" w:rsidR="00C8296F" w:rsidRDefault="00C8296F" w:rsidP="006D15D1">
      <w:pPr>
        <w:pStyle w:val="Bildunterschrift"/>
      </w:pPr>
    </w:p>
    <w:p w14:paraId="447FB256" w14:textId="77777777" w:rsidR="00C8296F" w:rsidRDefault="00C8296F" w:rsidP="006D15D1">
      <w:pPr>
        <w:pStyle w:val="Bildunterschrift"/>
      </w:pPr>
    </w:p>
    <w:p w14:paraId="237D52C9" w14:textId="77777777" w:rsidR="00C8296F" w:rsidRDefault="00C8296F" w:rsidP="006D15D1">
      <w:pPr>
        <w:pStyle w:val="Bildunterschrift"/>
      </w:pPr>
    </w:p>
    <w:p w14:paraId="665EFF15" w14:textId="77777777" w:rsidR="00C8296F" w:rsidRDefault="00C8296F" w:rsidP="006D15D1">
      <w:pPr>
        <w:pStyle w:val="Bildunterschrift"/>
      </w:pPr>
    </w:p>
    <w:p w14:paraId="15F1CCA1" w14:textId="77777777" w:rsidR="00C8296F" w:rsidRDefault="00C8296F" w:rsidP="006D15D1">
      <w:pPr>
        <w:pStyle w:val="Bildunterschrift"/>
      </w:pPr>
    </w:p>
    <w:p w14:paraId="608AB1B6" w14:textId="77777777" w:rsidR="00C8296F" w:rsidRDefault="00C8296F" w:rsidP="006D15D1">
      <w:pPr>
        <w:pStyle w:val="Bildunterschrift"/>
      </w:pPr>
    </w:p>
    <w:p w14:paraId="321E1491" w14:textId="77777777" w:rsidR="00C8296F" w:rsidRDefault="00C8296F" w:rsidP="006D15D1">
      <w:pPr>
        <w:pStyle w:val="Bildunterschrift"/>
      </w:pPr>
    </w:p>
    <w:p w14:paraId="13324FD1" w14:textId="77777777" w:rsidR="00C8296F" w:rsidRDefault="00C8296F" w:rsidP="006D15D1">
      <w:pPr>
        <w:pStyle w:val="Bildunterschrift"/>
      </w:pPr>
    </w:p>
    <w:p w14:paraId="2D73F905" w14:textId="77777777" w:rsidR="00C8296F" w:rsidRDefault="00C8296F" w:rsidP="006D15D1">
      <w:pPr>
        <w:pStyle w:val="Bildunterschrift"/>
      </w:pPr>
    </w:p>
    <w:p w14:paraId="05EFFFE7" w14:textId="77777777" w:rsidR="00C8296F" w:rsidRDefault="00C8296F" w:rsidP="006D15D1">
      <w:pPr>
        <w:pStyle w:val="Bildunterschrift"/>
      </w:pPr>
    </w:p>
    <w:p w14:paraId="1A412129" w14:textId="77777777" w:rsidR="00C8296F" w:rsidRDefault="00C8296F" w:rsidP="006D15D1">
      <w:pPr>
        <w:pStyle w:val="Bildunterschrift"/>
      </w:pPr>
    </w:p>
    <w:p w14:paraId="10329BCA" w14:textId="77777777" w:rsidR="00C8296F" w:rsidRDefault="00C8296F" w:rsidP="006D15D1">
      <w:pPr>
        <w:pStyle w:val="Bildunterschrift"/>
      </w:pPr>
    </w:p>
    <w:p w14:paraId="130C9CE0" w14:textId="77777777" w:rsidR="00C8296F" w:rsidRDefault="00C8296F" w:rsidP="006D15D1">
      <w:pPr>
        <w:pStyle w:val="Bildunterschrift"/>
      </w:pPr>
    </w:p>
    <w:p w14:paraId="005D816D" w14:textId="77777777" w:rsidR="00C8296F" w:rsidRDefault="00C8296F" w:rsidP="006D15D1">
      <w:pPr>
        <w:pStyle w:val="Bildunterschrift"/>
      </w:pPr>
    </w:p>
    <w:p w14:paraId="090CD82A" w14:textId="6E0910EC" w:rsidR="006D15D1" w:rsidRDefault="005726E3" w:rsidP="006D15D1">
      <w:pPr>
        <w:pStyle w:val="Bildunterschrift"/>
      </w:pPr>
      <w:r>
        <w:t xml:space="preserve">Marion Strickmann, Leiterin der Geschäftseinheit Gesundheit und Medizin bei der AOK Sachsen-Anhalt. Foto: </w:t>
      </w:r>
      <w:r w:rsidR="005F02D6" w:rsidRPr="005F02D6">
        <w:rPr>
          <w:color w:val="000000" w:themeColor="text1"/>
        </w:rPr>
        <w:t xml:space="preserve">Dirk </w:t>
      </w:r>
      <w:r>
        <w:t>Mahler / AOK Sachsen-Anhalt</w:t>
      </w:r>
    </w:p>
    <w:p w14:paraId="39838B05" w14:textId="77777777" w:rsidR="00C8296F" w:rsidRDefault="00C8296F" w:rsidP="006D15D1">
      <w:pPr>
        <w:pStyle w:val="Bildunterschrift"/>
      </w:pPr>
    </w:p>
    <w:p w14:paraId="6C012B3B" w14:textId="77777777" w:rsidR="006D15D1" w:rsidRDefault="006D15D1" w:rsidP="006D15D1">
      <w:pPr>
        <w:pStyle w:val="Bildunterschrift"/>
      </w:pPr>
    </w:p>
    <w:p w14:paraId="4D2F3C18" w14:textId="37C569D7" w:rsidR="006D15D1" w:rsidRDefault="00C8296F" w:rsidP="006D15D1">
      <w:pPr>
        <w:pStyle w:val="Bildunterschrift"/>
      </w:pPr>
      <w:r w:rsidRPr="00CF368A">
        <w:rPr>
          <w:noProof/>
          <w:lang w:eastAsia="de-DE"/>
        </w:rPr>
        <w:drawing>
          <wp:anchor distT="0" distB="0" distL="114300" distR="114300" simplePos="0" relativeHeight="251661312" behindDoc="1" locked="0" layoutInCell="1" allowOverlap="1" wp14:anchorId="300FE1DA" wp14:editId="69E24A6C">
            <wp:simplePos x="0" y="0"/>
            <wp:positionH relativeFrom="margin">
              <wp:align>left</wp:align>
            </wp:positionH>
            <wp:positionV relativeFrom="paragraph">
              <wp:posOffset>3810</wp:posOffset>
            </wp:positionV>
            <wp:extent cx="1550670" cy="2611755"/>
            <wp:effectExtent l="0" t="0" r="0" b="0"/>
            <wp:wrapThrough wrapText="bothSides">
              <wp:wrapPolygon edited="0">
                <wp:start x="0" y="0"/>
                <wp:lineTo x="0" y="21427"/>
                <wp:lineTo x="21229" y="21427"/>
                <wp:lineTo x="21229" y="0"/>
                <wp:lineTo x="0" y="0"/>
              </wp:wrapPolygon>
            </wp:wrapThrough>
            <wp:docPr id="1693394623" name="Grafik 1693394623" descr="Ein älterer Mann geht in einem Pflegeheim an einem Rollator und wird dabei von einer Pflegerin gestütz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94623" name="Grafik 1693394623" descr="Ein älterer Mann geht in einem Pflegeheim an einem Rollator und wird dabei von einer Pflegerin gestützt.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0670" cy="2611755"/>
                    </a:xfrm>
                    <a:prstGeom prst="rect">
                      <a:avLst/>
                    </a:prstGeom>
                  </pic:spPr>
                </pic:pic>
              </a:graphicData>
            </a:graphic>
            <wp14:sizeRelH relativeFrom="margin">
              <wp14:pctWidth>0</wp14:pctWidth>
            </wp14:sizeRelH>
            <wp14:sizeRelV relativeFrom="margin">
              <wp14:pctHeight>0</wp14:pctHeight>
            </wp14:sizeRelV>
          </wp:anchor>
        </w:drawing>
      </w:r>
    </w:p>
    <w:p w14:paraId="63D05632" w14:textId="77777777" w:rsidR="00C8296F" w:rsidRDefault="00C8296F" w:rsidP="006D15D1">
      <w:pPr>
        <w:pStyle w:val="Bildunterschrift"/>
      </w:pPr>
    </w:p>
    <w:p w14:paraId="53581F12" w14:textId="77777777" w:rsidR="00C8296F" w:rsidRDefault="00C8296F" w:rsidP="006D15D1">
      <w:pPr>
        <w:pStyle w:val="Bildunterschrift"/>
      </w:pPr>
    </w:p>
    <w:p w14:paraId="608817CB" w14:textId="77777777" w:rsidR="00C8296F" w:rsidRDefault="00C8296F" w:rsidP="006D15D1">
      <w:pPr>
        <w:pStyle w:val="Bildunterschrift"/>
      </w:pPr>
    </w:p>
    <w:p w14:paraId="5680830A" w14:textId="77777777" w:rsidR="00C8296F" w:rsidRDefault="00C8296F" w:rsidP="006D15D1">
      <w:pPr>
        <w:pStyle w:val="Bildunterschrift"/>
      </w:pPr>
    </w:p>
    <w:p w14:paraId="182C2F03" w14:textId="77777777" w:rsidR="00C8296F" w:rsidRDefault="00C8296F" w:rsidP="006D15D1">
      <w:pPr>
        <w:pStyle w:val="Bildunterschrift"/>
      </w:pPr>
    </w:p>
    <w:p w14:paraId="0F7AE420" w14:textId="77777777" w:rsidR="00C8296F" w:rsidRDefault="00C8296F" w:rsidP="006D15D1">
      <w:pPr>
        <w:pStyle w:val="Bildunterschrift"/>
      </w:pPr>
    </w:p>
    <w:p w14:paraId="056D7143" w14:textId="77777777" w:rsidR="00C8296F" w:rsidRDefault="00C8296F" w:rsidP="006D15D1">
      <w:pPr>
        <w:pStyle w:val="Bildunterschrift"/>
      </w:pPr>
    </w:p>
    <w:p w14:paraId="30368CD7" w14:textId="77777777" w:rsidR="00C8296F" w:rsidRDefault="00C8296F" w:rsidP="006D15D1">
      <w:pPr>
        <w:pStyle w:val="Bildunterschrift"/>
      </w:pPr>
    </w:p>
    <w:p w14:paraId="3F4BEE54" w14:textId="77777777" w:rsidR="00C8296F" w:rsidRDefault="00C8296F" w:rsidP="006D15D1">
      <w:pPr>
        <w:pStyle w:val="Bildunterschrift"/>
      </w:pPr>
    </w:p>
    <w:p w14:paraId="0BFE91BC" w14:textId="77777777" w:rsidR="00C8296F" w:rsidRDefault="00C8296F" w:rsidP="006D15D1">
      <w:pPr>
        <w:pStyle w:val="Bildunterschrift"/>
      </w:pPr>
    </w:p>
    <w:p w14:paraId="179F7BDC" w14:textId="77777777" w:rsidR="00C8296F" w:rsidRDefault="00C8296F" w:rsidP="006D15D1">
      <w:pPr>
        <w:pStyle w:val="Bildunterschrift"/>
      </w:pPr>
    </w:p>
    <w:p w14:paraId="52B9BA1A" w14:textId="77777777" w:rsidR="00C8296F" w:rsidRDefault="00C8296F" w:rsidP="006D15D1">
      <w:pPr>
        <w:pStyle w:val="Bildunterschrift"/>
      </w:pPr>
    </w:p>
    <w:p w14:paraId="47A8CCCA" w14:textId="77777777" w:rsidR="00C8296F" w:rsidRDefault="00C8296F" w:rsidP="006D15D1">
      <w:pPr>
        <w:pStyle w:val="Bildunterschrift"/>
      </w:pPr>
    </w:p>
    <w:p w14:paraId="78DF2FF5" w14:textId="77777777" w:rsidR="00C8296F" w:rsidRDefault="00C8296F" w:rsidP="006D15D1">
      <w:pPr>
        <w:pStyle w:val="Bildunterschrift"/>
      </w:pPr>
    </w:p>
    <w:p w14:paraId="1C7956C7" w14:textId="77777777" w:rsidR="00C8296F" w:rsidRDefault="00C8296F" w:rsidP="006D15D1">
      <w:pPr>
        <w:pStyle w:val="Bildunterschrift"/>
      </w:pPr>
    </w:p>
    <w:p w14:paraId="652576D4" w14:textId="77777777" w:rsidR="00C8296F" w:rsidRDefault="00C8296F" w:rsidP="006D15D1">
      <w:pPr>
        <w:pStyle w:val="Bildunterschrift"/>
      </w:pPr>
    </w:p>
    <w:p w14:paraId="786DEEC2" w14:textId="77777777" w:rsidR="005726E3" w:rsidRDefault="005726E3" w:rsidP="006D15D1">
      <w:pPr>
        <w:pStyle w:val="Bildunterschrift"/>
      </w:pPr>
    </w:p>
    <w:p w14:paraId="7D167B83" w14:textId="77777777" w:rsidR="005726E3" w:rsidRDefault="005726E3" w:rsidP="006D15D1">
      <w:pPr>
        <w:pStyle w:val="Bildunterschrift"/>
      </w:pPr>
    </w:p>
    <w:p w14:paraId="6178780B" w14:textId="77777777" w:rsidR="005726E3" w:rsidRDefault="005726E3" w:rsidP="006D15D1">
      <w:pPr>
        <w:pStyle w:val="Bildunterschrift"/>
      </w:pPr>
    </w:p>
    <w:p w14:paraId="16C6DAED" w14:textId="77777777" w:rsidR="005726E3" w:rsidRDefault="005726E3" w:rsidP="006D15D1">
      <w:pPr>
        <w:pStyle w:val="Bildunterschrift"/>
      </w:pPr>
    </w:p>
    <w:p w14:paraId="7B655840" w14:textId="77777777" w:rsidR="005726E3" w:rsidRDefault="005726E3" w:rsidP="006D15D1">
      <w:pPr>
        <w:pStyle w:val="Bildunterschrift"/>
      </w:pPr>
    </w:p>
    <w:p w14:paraId="2A2A3CBF" w14:textId="77777777" w:rsidR="005726E3" w:rsidRDefault="005726E3" w:rsidP="006D15D1">
      <w:pPr>
        <w:pStyle w:val="Bildunterschrift"/>
      </w:pPr>
    </w:p>
    <w:p w14:paraId="28FB7414" w14:textId="416F210F" w:rsidR="005726E3" w:rsidRDefault="005726E3" w:rsidP="006D15D1">
      <w:pPr>
        <w:pStyle w:val="Bildunterschrift"/>
      </w:pPr>
      <w:r>
        <w:t xml:space="preserve">Der „Qualitätsatlas Pflege“ des Wissenschaftlichen Instituts der AOK (WIdO) analysiert die Versorgungsqualität in Pflegeheimen bis auf Kreisebene. </w:t>
      </w:r>
      <w:r w:rsidRPr="005726E3">
        <w:t xml:space="preserve">Diese kleinräumige Analyse </w:t>
      </w:r>
      <w:r>
        <w:t>soll</w:t>
      </w:r>
      <w:r w:rsidRPr="005726E3">
        <w:t xml:space="preserve"> den Verantwortlichen vor Ort und den gesundheitspolitischen Akteuren helfen</w:t>
      </w:r>
      <w:r>
        <w:t xml:space="preserve">, Probleme zu identifizieren und Lösungen zu finden. Foto: AOK </w:t>
      </w:r>
    </w:p>
    <w:p w14:paraId="27153240" w14:textId="77777777" w:rsidR="005726E3" w:rsidRDefault="005726E3" w:rsidP="006D15D1">
      <w:pPr>
        <w:pStyle w:val="Bildunterschrift"/>
      </w:pPr>
    </w:p>
    <w:p w14:paraId="1DD44C59" w14:textId="77777777" w:rsidR="006D15D1" w:rsidRDefault="006D15D1" w:rsidP="006D15D1">
      <w:pPr>
        <w:pStyle w:val="Bildunterschrift"/>
      </w:pPr>
    </w:p>
    <w:sectPr w:rsidR="006D15D1" w:rsidSect="00954C96">
      <w:headerReference w:type="default" r:id="rId10"/>
      <w:footerReference w:type="default" r:id="rId11"/>
      <w:footerReference w:type="first" r:id="rId12"/>
      <w:pgSz w:w="11906" w:h="16838" w:code="9"/>
      <w:pgMar w:top="2835" w:right="1985" w:bottom="2778" w:left="1418" w:header="78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B535" w14:textId="77777777" w:rsidR="00F93B13" w:rsidRDefault="00F93B13" w:rsidP="00611B96">
      <w:pPr>
        <w:spacing w:line="240" w:lineRule="auto"/>
      </w:pPr>
      <w:r>
        <w:separator/>
      </w:r>
    </w:p>
  </w:endnote>
  <w:endnote w:type="continuationSeparator" w:id="0">
    <w:p w14:paraId="1BFB55DB" w14:textId="77777777" w:rsidR="00F93B13" w:rsidRDefault="00F93B13"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K Buenos Aires Text">
    <w:altName w:val="Times New Roman"/>
    <w:panose1 w:val="00000000000000000000"/>
    <w:charset w:val="00"/>
    <w:family w:val="auto"/>
    <w:pitch w:val="variable"/>
    <w:sig w:usb0="A00000EF" w:usb1="0000207A" w:usb2="00000000" w:usb3="00000000" w:csb0="00000093" w:csb1="00000000"/>
    <w:embedRegular r:id="rId1" w:fontKey="{2810CFAA-3D2C-4380-AF4C-D6F9C632A89D}"/>
    <w:embedBold r:id="rId2" w:fontKey="{7BCE2D29-F790-4631-8904-A827350B36D0}"/>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AOK Buenos Aires Text SemiBold">
    <w:altName w:val="Times New Roman"/>
    <w:panose1 w:val="00000000000000000000"/>
    <w:charset w:val="00"/>
    <w:family w:val="auto"/>
    <w:pitch w:val="variable"/>
    <w:sig w:usb0="A00000EF" w:usb1="0000207A" w:usb2="00000000" w:usb3="00000000" w:csb0="00000093" w:csb1="00000000"/>
    <w:embedRegular r:id="rId3" w:fontKey="{551BEA7D-B236-4609-8F90-D5013E37F971}"/>
    <w:embedItalic r:id="rId4" w:fontKey="{C47DC404-D901-4C47-B143-14AFA5CD97CF}"/>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84E9A319-71EA-4EA0-B094-87643B63D31A}"/>
  </w:font>
  <w:font w:name="AOK Buenos Aires">
    <w:panose1 w:val="00000000000000000000"/>
    <w:charset w:val="00"/>
    <w:family w:val="auto"/>
    <w:pitch w:val="variable"/>
    <w:sig w:usb0="A00000EF" w:usb1="0000207A" w:usb2="00000000" w:usb3="00000000" w:csb0="00000093" w:csb1="00000000"/>
    <w:embedRegular r:id="rId6" w:fontKey="{40874EBF-E335-4190-B526-4D35DF00FA19}"/>
    <w:embedBold r:id="rId7" w:fontKey="{EB86053B-8141-4C93-ADCE-5266AFB19916}"/>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135" w14:textId="77777777" w:rsidR="006D15D1" w:rsidRDefault="006D15D1" w:rsidP="006D15D1">
    <w:pPr>
      <w:pStyle w:val="Fuzeile"/>
      <w:spacing w:after="80"/>
      <w:rPr>
        <w:szCs w:val="14"/>
      </w:rPr>
    </w:pPr>
    <w:r>
      <w:rPr>
        <w:noProof/>
        <w:lang w:eastAsia="de-DE"/>
      </w:rPr>
      <mc:AlternateContent>
        <mc:Choice Requires="wps">
          <w:drawing>
            <wp:anchor distT="0" distB="0" distL="114300" distR="114300" simplePos="0" relativeHeight="251677696" behindDoc="0" locked="0" layoutInCell="1" allowOverlap="1" wp14:anchorId="62EA21FD" wp14:editId="4B26C83E">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124E36">
                            <w:fldChar w:fldCharType="begin"/>
                          </w:r>
                          <w:r w:rsidR="00124E36">
                            <w:instrText>NUMPAGES  \* Arabic  \* MERGEFORMAT</w:instrText>
                          </w:r>
                          <w:r w:rsidR="00124E36">
                            <w:fldChar w:fldCharType="separate"/>
                          </w:r>
                          <w:r>
                            <w:rPr>
                              <w:noProof/>
                            </w:rPr>
                            <w:t>2</w:t>
                          </w:r>
                          <w:r w:rsidR="00124E36">
                            <w:rPr>
                              <w:noProof/>
                            </w:rPr>
                            <w:fldChar w:fldCharType="end"/>
                          </w:r>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21FD"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124E36">
                      <w:fldChar w:fldCharType="begin"/>
                    </w:r>
                    <w:r w:rsidR="00124E36">
                      <w:instrText>NUMPAGES  \* Arabic  \* MERGEFORMAT</w:instrText>
                    </w:r>
                    <w:r w:rsidR="00124E36">
                      <w:fldChar w:fldCharType="separate"/>
                    </w:r>
                    <w:r>
                      <w:rPr>
                        <w:noProof/>
                      </w:rPr>
                      <w:t>2</w:t>
                    </w:r>
                    <w:r w:rsidR="00124E36">
                      <w:rPr>
                        <w:noProof/>
                      </w:rPr>
                      <w:fldChar w:fldCharType="end"/>
                    </w:r>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v:textbox>
              <w10:wrap anchory="page"/>
            </v:shape>
          </w:pict>
        </mc:Fallback>
      </mc:AlternateContent>
    </w:r>
    <w:r w:rsidRPr="00E342AE">
      <w:rPr>
        <w:szCs w:val="14"/>
      </w:rPr>
      <w:t xml:space="preserve">Kontakt und Information </w:t>
    </w:r>
  </w:p>
  <w:p w14:paraId="73AA1546" w14:textId="77777777" w:rsidR="006D15D1" w:rsidRDefault="006D15D1" w:rsidP="006D15D1">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49CA7F0E" w14:textId="3C9453A1" w:rsidR="00B43790" w:rsidRPr="006D15D1" w:rsidRDefault="006D15D1" w:rsidP="006D15D1">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B04" w14:textId="12D89DCC" w:rsidR="00034288" w:rsidRDefault="00034288" w:rsidP="00DF534D">
    <w:pPr>
      <w:pStyle w:val="Fuzeile"/>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9306" w14:textId="77777777" w:rsidR="00F93B13" w:rsidRDefault="00F93B13" w:rsidP="00611B96">
      <w:pPr>
        <w:spacing w:line="240" w:lineRule="auto"/>
      </w:pPr>
      <w:r>
        <w:separator/>
      </w:r>
    </w:p>
  </w:footnote>
  <w:footnote w:type="continuationSeparator" w:id="0">
    <w:p w14:paraId="17794643" w14:textId="77777777" w:rsidR="00F93B13" w:rsidRDefault="00F93B13"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9F4" w14:textId="7D074574" w:rsidR="00256005" w:rsidRDefault="00AD09F1">
    <w:pPr>
      <w:pStyle w:val="Kopfzeile"/>
    </w:pPr>
    <w:r>
      <w:rPr>
        <w:noProof/>
        <w:lang w:eastAsia="de-DE"/>
        <w14:numSpacing w14:val="default"/>
      </w:rPr>
      <w:drawing>
        <wp:anchor distT="0" distB="0" distL="114300" distR="114300" simplePos="0" relativeHeight="251674624" behindDoc="0" locked="0" layoutInCell="1" allowOverlap="1" wp14:anchorId="1DA5CD28" wp14:editId="6C4817F7">
          <wp:simplePos x="0" y="0"/>
          <wp:positionH relativeFrom="page">
            <wp:posOffset>5543846</wp:posOffset>
          </wp:positionH>
          <wp:positionV relativeFrom="page">
            <wp:posOffset>494389</wp:posOffset>
          </wp:positionV>
          <wp:extent cx="1475379" cy="454807"/>
          <wp:effectExtent l="0" t="0" r="0" b="2540"/>
          <wp:wrapNone/>
          <wp:docPr id="1579401431"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05876" name="Grafik 19">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5379" cy="454807"/>
                  </a:xfrm>
                  <a:prstGeom prst="rect">
                    <a:avLst/>
                  </a:prstGeom>
                </pic:spPr>
              </pic:pic>
            </a:graphicData>
          </a:graphic>
        </wp:anchor>
      </w:drawing>
    </w:r>
    <w:r>
      <w:rPr>
        <w:noProof/>
        <w:lang w:eastAsia="de-DE"/>
        <w14:numSpacing w14:val="default"/>
      </w:rPr>
      <mc:AlternateContent>
        <mc:Choice Requires="wps">
          <w:drawing>
            <wp:anchor distT="0" distB="0" distL="114300" distR="114300" simplePos="0" relativeHeight="251675648" behindDoc="0" locked="0" layoutInCell="1" allowOverlap="1" wp14:anchorId="1B006B8E" wp14:editId="200FD9EC">
              <wp:simplePos x="0" y="0"/>
              <wp:positionH relativeFrom="page">
                <wp:posOffset>910025</wp:posOffset>
              </wp:positionH>
              <wp:positionV relativeFrom="page">
                <wp:posOffset>555199</wp:posOffset>
              </wp:positionV>
              <wp:extent cx="1999451" cy="425190"/>
              <wp:effectExtent l="0" t="0" r="0" b="0"/>
              <wp:wrapNone/>
              <wp:docPr id="760856348" name="Textfeld 1993081931" descr="AOK-Bundesverband&#10;Die Gesundheitskasse."/>
              <wp:cNvGraphicFramePr/>
              <a:graphic xmlns:a="http://schemas.openxmlformats.org/drawingml/2006/main">
                <a:graphicData uri="http://schemas.microsoft.com/office/word/2010/wordprocessingShape">
                  <wps:wsp>
                    <wps:cNvSpPr txBox="1"/>
                    <wps:spPr>
                      <a:xfrm>
                        <a:off x="0" y="0"/>
                        <a:ext cx="1999451" cy="425190"/>
                      </a:xfrm>
                      <a:prstGeom prst="rect">
                        <a:avLst/>
                      </a:prstGeom>
                      <a:noFill/>
                    </wps:spPr>
                    <wps:txbx>
                      <w:txbxContent>
                        <w:p w14:paraId="300BEC4D" w14:textId="62B091C4" w:rsidR="00256005" w:rsidRDefault="00256005" w:rsidP="00256005">
                          <w:pPr>
                            <w:pStyle w:val="Bundesland"/>
                          </w:pPr>
                          <w:r>
                            <w:t>AOK</w:t>
                          </w:r>
                          <w:r w:rsidR="006D15D1">
                            <w:t xml:space="preserve"> Sachsen-Anhalt</w:t>
                          </w:r>
                        </w:p>
                        <w:p w14:paraId="54752581" w14:textId="77777777" w:rsidR="00256005" w:rsidRDefault="00256005" w:rsidP="00256005">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B006B8E" id="_x0000_t202" coordsize="21600,21600" o:spt="202" path="m,l,21600r21600,l21600,xe">
              <v:stroke joinstyle="miter"/>
              <v:path gradientshapeok="t" o:connecttype="rect"/>
            </v:shapetype>
            <v:shape id="Textfeld 1993081931" o:spid="_x0000_s1026" type="#_x0000_t202" alt="AOK-Bundesverband&#10;Die Gesundheitskasse." style="position:absolute;margin-left:71.65pt;margin-top:43.7pt;width:157.45pt;height:33.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" filled="f" stroked="f">
              <v:textbox inset="0,0,0,0">
                <w:txbxContent>
                  <w:p w14:paraId="300BEC4D" w14:textId="62B091C4" w:rsidR="00256005" w:rsidRDefault="00256005" w:rsidP="00256005">
                    <w:pPr>
                      <w:pStyle w:val="Bundesland"/>
                    </w:pPr>
                    <w:r>
                      <w:t>AOK</w:t>
                    </w:r>
                    <w:r w:rsidR="006D15D1">
                      <w:t xml:space="preserve"> Sachsen-Anhalt</w:t>
                    </w:r>
                  </w:p>
                  <w:p w14:paraId="54752581" w14:textId="77777777" w:rsidR="00256005" w:rsidRDefault="00256005" w:rsidP="00256005">
                    <w:pPr>
                      <w:pStyle w:val="Bundesland"/>
                    </w:pPr>
                    <w:r>
                      <w:t>Die Gesundheitskasse.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018E4"/>
    <w:rsid w:val="000141B1"/>
    <w:rsid w:val="00020B3F"/>
    <w:rsid w:val="00034288"/>
    <w:rsid w:val="00041A9A"/>
    <w:rsid w:val="00056437"/>
    <w:rsid w:val="00071423"/>
    <w:rsid w:val="000C36DF"/>
    <w:rsid w:val="000C55E3"/>
    <w:rsid w:val="000C64CF"/>
    <w:rsid w:val="000E1FD4"/>
    <w:rsid w:val="000F3AE3"/>
    <w:rsid w:val="000F5F66"/>
    <w:rsid w:val="001019B5"/>
    <w:rsid w:val="001177B4"/>
    <w:rsid w:val="00124E36"/>
    <w:rsid w:val="00163B98"/>
    <w:rsid w:val="001679B7"/>
    <w:rsid w:val="00175DE5"/>
    <w:rsid w:val="00192EA1"/>
    <w:rsid w:val="001A28CD"/>
    <w:rsid w:val="001B19C4"/>
    <w:rsid w:val="001F19D6"/>
    <w:rsid w:val="001F4B93"/>
    <w:rsid w:val="0020308C"/>
    <w:rsid w:val="002320EB"/>
    <w:rsid w:val="00251BA4"/>
    <w:rsid w:val="00256005"/>
    <w:rsid w:val="00261CB0"/>
    <w:rsid w:val="00280BF2"/>
    <w:rsid w:val="00281BD7"/>
    <w:rsid w:val="002A0684"/>
    <w:rsid w:val="002A089F"/>
    <w:rsid w:val="002A0F7D"/>
    <w:rsid w:val="002B607A"/>
    <w:rsid w:val="002C1D55"/>
    <w:rsid w:val="002D1BE9"/>
    <w:rsid w:val="002D4A5E"/>
    <w:rsid w:val="002D6039"/>
    <w:rsid w:val="002E5187"/>
    <w:rsid w:val="00317A02"/>
    <w:rsid w:val="00322266"/>
    <w:rsid w:val="0039313A"/>
    <w:rsid w:val="003947C5"/>
    <w:rsid w:val="003A5A6C"/>
    <w:rsid w:val="003B1F8F"/>
    <w:rsid w:val="003C180C"/>
    <w:rsid w:val="003C2126"/>
    <w:rsid w:val="003C2D99"/>
    <w:rsid w:val="003D4C21"/>
    <w:rsid w:val="00403B4C"/>
    <w:rsid w:val="00420D7E"/>
    <w:rsid w:val="004268E9"/>
    <w:rsid w:val="00427FA6"/>
    <w:rsid w:val="004547F5"/>
    <w:rsid w:val="004916CA"/>
    <w:rsid w:val="00495E12"/>
    <w:rsid w:val="004B2906"/>
    <w:rsid w:val="004B5915"/>
    <w:rsid w:val="004C3E4B"/>
    <w:rsid w:val="004C40D6"/>
    <w:rsid w:val="004D34C1"/>
    <w:rsid w:val="004D7F82"/>
    <w:rsid w:val="00514D0D"/>
    <w:rsid w:val="00516F3F"/>
    <w:rsid w:val="0052026D"/>
    <w:rsid w:val="00520B12"/>
    <w:rsid w:val="0053682A"/>
    <w:rsid w:val="005430E3"/>
    <w:rsid w:val="00546B57"/>
    <w:rsid w:val="005608BE"/>
    <w:rsid w:val="005679EA"/>
    <w:rsid w:val="005726E3"/>
    <w:rsid w:val="00582191"/>
    <w:rsid w:val="005A44B8"/>
    <w:rsid w:val="005B59C7"/>
    <w:rsid w:val="005B6626"/>
    <w:rsid w:val="005B6A95"/>
    <w:rsid w:val="005C2557"/>
    <w:rsid w:val="005C40E7"/>
    <w:rsid w:val="005E6BF3"/>
    <w:rsid w:val="005F02D6"/>
    <w:rsid w:val="006107F5"/>
    <w:rsid w:val="00611B96"/>
    <w:rsid w:val="006307FC"/>
    <w:rsid w:val="00647CC8"/>
    <w:rsid w:val="0065720D"/>
    <w:rsid w:val="006770FD"/>
    <w:rsid w:val="00682602"/>
    <w:rsid w:val="0068598E"/>
    <w:rsid w:val="00686182"/>
    <w:rsid w:val="00695827"/>
    <w:rsid w:val="006A24C7"/>
    <w:rsid w:val="006B3B23"/>
    <w:rsid w:val="006D0ABD"/>
    <w:rsid w:val="006D15D1"/>
    <w:rsid w:val="006D2418"/>
    <w:rsid w:val="006D5FD4"/>
    <w:rsid w:val="006E7F96"/>
    <w:rsid w:val="00725049"/>
    <w:rsid w:val="0072599D"/>
    <w:rsid w:val="007429C4"/>
    <w:rsid w:val="0074392A"/>
    <w:rsid w:val="007557F8"/>
    <w:rsid w:val="00763C27"/>
    <w:rsid w:val="00766150"/>
    <w:rsid w:val="007B1358"/>
    <w:rsid w:val="007C3E26"/>
    <w:rsid w:val="007C40BE"/>
    <w:rsid w:val="007E7A9A"/>
    <w:rsid w:val="008050D8"/>
    <w:rsid w:val="00805F7B"/>
    <w:rsid w:val="0081547C"/>
    <w:rsid w:val="008311A6"/>
    <w:rsid w:val="008340A1"/>
    <w:rsid w:val="00840985"/>
    <w:rsid w:val="00841125"/>
    <w:rsid w:val="0084545E"/>
    <w:rsid w:val="00861EF7"/>
    <w:rsid w:val="00871E98"/>
    <w:rsid w:val="00880B45"/>
    <w:rsid w:val="00883717"/>
    <w:rsid w:val="008B690B"/>
    <w:rsid w:val="008D600A"/>
    <w:rsid w:val="008E08B7"/>
    <w:rsid w:val="008E40E5"/>
    <w:rsid w:val="008F3E5A"/>
    <w:rsid w:val="009030A8"/>
    <w:rsid w:val="00905A2C"/>
    <w:rsid w:val="00922EAA"/>
    <w:rsid w:val="009249BB"/>
    <w:rsid w:val="00926687"/>
    <w:rsid w:val="009278C3"/>
    <w:rsid w:val="00931533"/>
    <w:rsid w:val="0093505A"/>
    <w:rsid w:val="00950737"/>
    <w:rsid w:val="00954C96"/>
    <w:rsid w:val="009628B7"/>
    <w:rsid w:val="009767FC"/>
    <w:rsid w:val="0099599E"/>
    <w:rsid w:val="009A2ABC"/>
    <w:rsid w:val="009B02E6"/>
    <w:rsid w:val="009C1365"/>
    <w:rsid w:val="009D3726"/>
    <w:rsid w:val="009D53B6"/>
    <w:rsid w:val="00A27844"/>
    <w:rsid w:val="00A30053"/>
    <w:rsid w:val="00A37EB3"/>
    <w:rsid w:val="00A44AB6"/>
    <w:rsid w:val="00A516B5"/>
    <w:rsid w:val="00A51768"/>
    <w:rsid w:val="00A6369E"/>
    <w:rsid w:val="00AB44CE"/>
    <w:rsid w:val="00AC5780"/>
    <w:rsid w:val="00AC6879"/>
    <w:rsid w:val="00AD09F1"/>
    <w:rsid w:val="00AD5377"/>
    <w:rsid w:val="00AD78C9"/>
    <w:rsid w:val="00AE0598"/>
    <w:rsid w:val="00AE367D"/>
    <w:rsid w:val="00AE71AC"/>
    <w:rsid w:val="00AF2D16"/>
    <w:rsid w:val="00AF4C4D"/>
    <w:rsid w:val="00AF71AE"/>
    <w:rsid w:val="00B06E94"/>
    <w:rsid w:val="00B371A5"/>
    <w:rsid w:val="00B43790"/>
    <w:rsid w:val="00B46902"/>
    <w:rsid w:val="00B6558A"/>
    <w:rsid w:val="00B73C1B"/>
    <w:rsid w:val="00B870B4"/>
    <w:rsid w:val="00B9271F"/>
    <w:rsid w:val="00B94B60"/>
    <w:rsid w:val="00B9748B"/>
    <w:rsid w:val="00BB7C05"/>
    <w:rsid w:val="00BC1997"/>
    <w:rsid w:val="00BD6487"/>
    <w:rsid w:val="00BE201D"/>
    <w:rsid w:val="00C022C7"/>
    <w:rsid w:val="00C02C89"/>
    <w:rsid w:val="00C353A4"/>
    <w:rsid w:val="00C376D1"/>
    <w:rsid w:val="00C46CD2"/>
    <w:rsid w:val="00C64220"/>
    <w:rsid w:val="00C8296F"/>
    <w:rsid w:val="00CC2ADC"/>
    <w:rsid w:val="00CC707C"/>
    <w:rsid w:val="00CE4278"/>
    <w:rsid w:val="00CE4623"/>
    <w:rsid w:val="00CF7A40"/>
    <w:rsid w:val="00D20F7F"/>
    <w:rsid w:val="00D402B2"/>
    <w:rsid w:val="00D51170"/>
    <w:rsid w:val="00D534CC"/>
    <w:rsid w:val="00D5764A"/>
    <w:rsid w:val="00D83CC2"/>
    <w:rsid w:val="00D872AC"/>
    <w:rsid w:val="00D907FD"/>
    <w:rsid w:val="00DB3B05"/>
    <w:rsid w:val="00DC3869"/>
    <w:rsid w:val="00DE0BFA"/>
    <w:rsid w:val="00DE1405"/>
    <w:rsid w:val="00DF1279"/>
    <w:rsid w:val="00DF2C6A"/>
    <w:rsid w:val="00DF534D"/>
    <w:rsid w:val="00E143F7"/>
    <w:rsid w:val="00E1456D"/>
    <w:rsid w:val="00E14BC2"/>
    <w:rsid w:val="00E26503"/>
    <w:rsid w:val="00E3077A"/>
    <w:rsid w:val="00E342AE"/>
    <w:rsid w:val="00E34B6C"/>
    <w:rsid w:val="00E45265"/>
    <w:rsid w:val="00E62891"/>
    <w:rsid w:val="00E64F40"/>
    <w:rsid w:val="00E673C1"/>
    <w:rsid w:val="00E977F3"/>
    <w:rsid w:val="00EA72F4"/>
    <w:rsid w:val="00EB2EA1"/>
    <w:rsid w:val="00ED02D2"/>
    <w:rsid w:val="00ED5FA3"/>
    <w:rsid w:val="00EE260B"/>
    <w:rsid w:val="00EF05A7"/>
    <w:rsid w:val="00F044D1"/>
    <w:rsid w:val="00F151E4"/>
    <w:rsid w:val="00F157B2"/>
    <w:rsid w:val="00F35984"/>
    <w:rsid w:val="00F53BD5"/>
    <w:rsid w:val="00F62343"/>
    <w:rsid w:val="00F76A01"/>
    <w:rsid w:val="00F93B13"/>
    <w:rsid w:val="00FB1A7F"/>
    <w:rsid w:val="00FD2F49"/>
    <w:rsid w:val="00FE4247"/>
    <w:rsid w:val="00FE7F4B"/>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CFB2"/>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paragraph" w:styleId="berschrift3">
    <w:name w:val="heading 3"/>
    <w:basedOn w:val="Standard"/>
    <w:next w:val="Standard"/>
    <w:link w:val="berschrift3Zchn"/>
    <w:uiPriority w:val="9"/>
    <w:unhideWhenUsed/>
    <w:qFormat/>
    <w:rsid w:val="006D15D1"/>
    <w:pPr>
      <w:keepNext/>
      <w:keepLines/>
      <w:spacing w:before="40"/>
      <w:outlineLvl w:val="2"/>
    </w:pPr>
    <w:rPr>
      <w:rFonts w:asciiTheme="majorHAnsi" w:eastAsiaTheme="majorEastAsia" w:hAnsiTheme="majorHAnsi" w:cstheme="majorBidi"/>
      <w:color w:val="002E1F" w:themeColor="accent1" w:themeShade="7F"/>
    </w:rPr>
  </w:style>
  <w:style w:type="paragraph" w:styleId="berschrift4">
    <w:name w:val="heading 4"/>
    <w:basedOn w:val="Standard"/>
    <w:next w:val="Standard"/>
    <w:link w:val="berschrift4Zchn"/>
    <w:uiPriority w:val="9"/>
    <w:semiHidden/>
    <w:unhideWhenUsed/>
    <w:rsid w:val="0074392A"/>
    <w:pPr>
      <w:keepNext/>
      <w:keepLines/>
      <w:spacing w:before="40"/>
      <w:outlineLvl w:val="3"/>
    </w:pPr>
    <w:rPr>
      <w:rFonts w:asciiTheme="majorHAnsi" w:eastAsiaTheme="majorEastAsia" w:hAnsiTheme="majorHAnsi" w:cstheme="majorBidi"/>
      <w:i/>
      <w:iCs/>
      <w:color w:val="00462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EinleitungstextZwischenberschrift"/>
    <w:qFormat/>
    <w:rsid w:val="00175DE5"/>
    <w:pPr>
      <w:spacing w:line="264" w:lineRule="auto"/>
    </w:pPr>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rsid w:val="002C1D55"/>
    <w:rPr>
      <w:rFonts w:asciiTheme="minorHAnsi" w:hAnsiTheme="minorHAnsi"/>
    </w:rPr>
  </w:style>
  <w:style w:type="paragraph" w:customStyle="1" w:styleId="Bundesland">
    <w:name w:val="_Bundesland"/>
    <w:basedOn w:val="Standard"/>
    <w:rsid w:val="000C36DF"/>
    <w:rPr>
      <w:rFonts w:asciiTheme="majorHAnsi" w:hAnsiTheme="majorHAnsi"/>
      <w:color w:val="005E3F" w:themeColor="background2"/>
    </w:rPr>
  </w:style>
  <w:style w:type="paragraph" w:customStyle="1" w:styleId="Seite">
    <w:name w:val="_Seite"/>
    <w:basedOn w:val="Standard"/>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customStyle="1" w:styleId="StyleEinleitungstextZwischenberschrift">
    <w:name w:val="Style _Einleitungstext Zwischenüberschrift"/>
    <w:basedOn w:val="EinleitungstextZwischenberschrift"/>
    <w:next w:val="Standard"/>
    <w:rsid w:val="00F35984"/>
    <w:pPr>
      <w:keepNext/>
    </w:pPr>
    <w:rPr>
      <w:bCs/>
    </w:rPr>
  </w:style>
  <w:style w:type="character" w:customStyle="1" w:styleId="berschrift3Zchn">
    <w:name w:val="Überschrift 3 Zchn"/>
    <w:basedOn w:val="Absatz-Standardschriftart"/>
    <w:link w:val="berschrift3"/>
    <w:uiPriority w:val="9"/>
    <w:rsid w:val="006D15D1"/>
    <w:rPr>
      <w:rFonts w:asciiTheme="majorHAnsi" w:eastAsiaTheme="majorEastAsia" w:hAnsiTheme="majorHAnsi" w:cstheme="majorBidi"/>
      <w:color w:val="002E1F" w:themeColor="accent1" w:themeShade="7F"/>
      <w:kern w:val="10"/>
      <w:sz w:val="22"/>
      <w14:numSpacing w14:val="proportional"/>
    </w:rPr>
  </w:style>
  <w:style w:type="character" w:customStyle="1" w:styleId="berschrift4Zchn">
    <w:name w:val="Überschrift 4 Zchn"/>
    <w:basedOn w:val="Absatz-Standardschriftart"/>
    <w:link w:val="berschrift4"/>
    <w:uiPriority w:val="9"/>
    <w:semiHidden/>
    <w:rsid w:val="0074392A"/>
    <w:rPr>
      <w:rFonts w:asciiTheme="majorHAnsi" w:eastAsiaTheme="majorEastAsia" w:hAnsiTheme="majorHAnsi" w:cstheme="majorBidi"/>
      <w:i/>
      <w:iCs/>
      <w:color w:val="00462E" w:themeColor="accent1" w:themeShade="BF"/>
      <w:kern w:val="10"/>
      <w:sz w:val="22"/>
      <w14:numSpacing w14:val="proportional"/>
    </w:rPr>
  </w:style>
  <w:style w:type="character" w:styleId="NichtaufgelsteErwhnung">
    <w:name w:val="Unresolved Mention"/>
    <w:basedOn w:val="Absatz-Standardschriftart"/>
    <w:uiPriority w:val="99"/>
    <w:semiHidden/>
    <w:unhideWhenUsed/>
    <w:rsid w:val="008311A6"/>
    <w:rPr>
      <w:color w:val="605E5C"/>
      <w:shd w:val="clear" w:color="auto" w:fill="E1DFDD"/>
    </w:rPr>
  </w:style>
  <w:style w:type="table" w:styleId="Gitternetztabelle2Akzent2">
    <w:name w:val="Grid Table 2 Accent 2"/>
    <w:basedOn w:val="NormaleTabelle"/>
    <w:uiPriority w:val="47"/>
    <w:rsid w:val="00A37EB3"/>
    <w:tblPr>
      <w:tblStyleRowBandSize w:val="1"/>
      <w:tblStyleColBandSize w:val="1"/>
      <w:tblBorders>
        <w:top w:val="single" w:sz="2" w:space="0" w:color="57E880" w:themeColor="accent2" w:themeTint="99"/>
        <w:bottom w:val="single" w:sz="2" w:space="0" w:color="57E880" w:themeColor="accent2" w:themeTint="99"/>
        <w:insideH w:val="single" w:sz="2" w:space="0" w:color="57E880" w:themeColor="accent2" w:themeTint="99"/>
        <w:insideV w:val="single" w:sz="2" w:space="0" w:color="57E880" w:themeColor="accent2" w:themeTint="99"/>
      </w:tblBorders>
    </w:tblPr>
    <w:tblStylePr w:type="firstRow">
      <w:rPr>
        <w:b/>
        <w:bCs/>
      </w:rPr>
      <w:tblPr/>
      <w:tcPr>
        <w:tcBorders>
          <w:top w:val="nil"/>
          <w:bottom w:val="single" w:sz="12" w:space="0" w:color="57E880" w:themeColor="accent2" w:themeTint="99"/>
          <w:insideH w:val="nil"/>
          <w:insideV w:val="nil"/>
        </w:tcBorders>
        <w:shd w:val="clear" w:color="auto" w:fill="FFFFFF" w:themeFill="background1"/>
      </w:tcPr>
    </w:tblStylePr>
    <w:tblStylePr w:type="lastRow">
      <w:rPr>
        <w:b/>
        <w:bCs/>
      </w:rPr>
      <w:tblPr/>
      <w:tcPr>
        <w:tcBorders>
          <w:top w:val="double" w:sz="2" w:space="0" w:color="57E88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D4" w:themeFill="accent2" w:themeFillTint="33"/>
      </w:tcPr>
    </w:tblStylePr>
    <w:tblStylePr w:type="band1Horz">
      <w:tblPr/>
      <w:tcPr>
        <w:shd w:val="clear" w:color="auto" w:fill="C7F7D4" w:themeFill="accent2" w:themeFillTint="33"/>
      </w:tcPr>
    </w:tblStylePr>
  </w:style>
  <w:style w:type="table" w:styleId="Gitternetztabelle5dunkel">
    <w:name w:val="Grid Table 5 Dark"/>
    <w:basedOn w:val="NormaleTabelle"/>
    <w:uiPriority w:val="50"/>
    <w:rsid w:val="00A37E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4">
    <w:name w:val="Grid Table 4"/>
    <w:basedOn w:val="NormaleTabelle"/>
    <w:uiPriority w:val="49"/>
    <w:rsid w:val="00A37E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1">
    <w:name w:val="Grid Table 5 Dark Accent 1"/>
    <w:basedOn w:val="NormaleTabelle"/>
    <w:uiPriority w:val="50"/>
    <w:rsid w:val="00A37E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3F" w:themeFill="accent1"/>
      </w:tcPr>
    </w:tblStylePr>
    <w:tblStylePr w:type="band1Vert">
      <w:tblPr/>
      <w:tcPr>
        <w:shd w:val="clear" w:color="auto" w:fill="58FFC7" w:themeFill="accent1" w:themeFillTint="66"/>
      </w:tcPr>
    </w:tblStylePr>
    <w:tblStylePr w:type="band1Horz">
      <w:tblPr/>
      <w:tcPr>
        <w:shd w:val="clear" w:color="auto" w:fill="58FFC7" w:themeFill="accent1" w:themeFillTint="66"/>
      </w:tcPr>
    </w:tblStylePr>
  </w:style>
  <w:style w:type="table" w:styleId="Gitternetztabelle4Akzent6">
    <w:name w:val="Grid Table 4 Accent 6"/>
    <w:basedOn w:val="NormaleTabelle"/>
    <w:uiPriority w:val="49"/>
    <w:rsid w:val="00A37EB3"/>
    <w:tblPr>
      <w:tblStyleRowBandSize w:val="1"/>
      <w:tblStyleColBandSize w:val="1"/>
      <w:tblBorders>
        <w:top w:val="single" w:sz="4" w:space="0" w:color="C0F0BD" w:themeColor="accent6" w:themeTint="99"/>
        <w:left w:val="single" w:sz="4" w:space="0" w:color="C0F0BD" w:themeColor="accent6" w:themeTint="99"/>
        <w:bottom w:val="single" w:sz="4" w:space="0" w:color="C0F0BD" w:themeColor="accent6" w:themeTint="99"/>
        <w:right w:val="single" w:sz="4" w:space="0" w:color="C0F0BD" w:themeColor="accent6" w:themeTint="99"/>
        <w:insideH w:val="single" w:sz="4" w:space="0" w:color="C0F0BD" w:themeColor="accent6" w:themeTint="99"/>
        <w:insideV w:val="single" w:sz="4" w:space="0" w:color="C0F0BD" w:themeColor="accent6" w:themeTint="99"/>
      </w:tblBorders>
    </w:tblPr>
    <w:tblStylePr w:type="firstRow">
      <w:rPr>
        <w:b/>
        <w:bCs/>
        <w:color w:val="FFFFFF" w:themeColor="background1"/>
      </w:rPr>
      <w:tblPr/>
      <w:tcPr>
        <w:tcBorders>
          <w:top w:val="single" w:sz="4" w:space="0" w:color="98E692" w:themeColor="accent6"/>
          <w:left w:val="single" w:sz="4" w:space="0" w:color="98E692" w:themeColor="accent6"/>
          <w:bottom w:val="single" w:sz="4" w:space="0" w:color="98E692" w:themeColor="accent6"/>
          <w:right w:val="single" w:sz="4" w:space="0" w:color="98E692" w:themeColor="accent6"/>
          <w:insideH w:val="nil"/>
          <w:insideV w:val="nil"/>
        </w:tcBorders>
        <w:shd w:val="clear" w:color="auto" w:fill="98E692" w:themeFill="accent6"/>
      </w:tcPr>
    </w:tblStylePr>
    <w:tblStylePr w:type="lastRow">
      <w:rPr>
        <w:b/>
        <w:bCs/>
      </w:rPr>
      <w:tblPr/>
      <w:tcPr>
        <w:tcBorders>
          <w:top w:val="double" w:sz="4" w:space="0" w:color="98E692" w:themeColor="accent6"/>
        </w:tcBorders>
      </w:tcPr>
    </w:tblStylePr>
    <w:tblStylePr w:type="firstCol">
      <w:rPr>
        <w:b/>
        <w:bCs/>
      </w:rPr>
    </w:tblStylePr>
    <w:tblStylePr w:type="lastCol">
      <w:rPr>
        <w:b/>
        <w:bCs/>
      </w:rPr>
    </w:tblStylePr>
    <w:tblStylePr w:type="band1Vert">
      <w:tblPr/>
      <w:tcPr>
        <w:shd w:val="clear" w:color="auto" w:fill="EAFAE9" w:themeFill="accent6" w:themeFillTint="33"/>
      </w:tcPr>
    </w:tblStylePr>
    <w:tblStylePr w:type="band1Horz">
      <w:tblPr/>
      <w:tcPr>
        <w:shd w:val="clear" w:color="auto" w:fill="EAFAE9" w:themeFill="accent6" w:themeFillTint="33"/>
      </w:tcPr>
    </w:tblStylePr>
  </w:style>
  <w:style w:type="table" w:styleId="Gitternetztabelle4Akzent1">
    <w:name w:val="Grid Table 4 Accent 1"/>
    <w:basedOn w:val="NormaleTabelle"/>
    <w:uiPriority w:val="49"/>
    <w:rsid w:val="00A37EB3"/>
    <w:tblPr>
      <w:tblStyleRowBandSize w:val="1"/>
      <w:tblStyleColBandSize w:val="1"/>
      <w:tblBorders>
        <w:top w:val="single" w:sz="4" w:space="0" w:color="05FFAB" w:themeColor="accent1" w:themeTint="99"/>
        <w:left w:val="single" w:sz="4" w:space="0" w:color="05FFAB" w:themeColor="accent1" w:themeTint="99"/>
        <w:bottom w:val="single" w:sz="4" w:space="0" w:color="05FFAB" w:themeColor="accent1" w:themeTint="99"/>
        <w:right w:val="single" w:sz="4" w:space="0" w:color="05FFAB" w:themeColor="accent1" w:themeTint="99"/>
        <w:insideH w:val="single" w:sz="4" w:space="0" w:color="05FFAB" w:themeColor="accent1" w:themeTint="99"/>
        <w:insideV w:val="single" w:sz="4" w:space="0" w:color="05FFAB" w:themeColor="accent1" w:themeTint="99"/>
      </w:tblBorders>
    </w:tblPr>
    <w:tblStylePr w:type="firstRow">
      <w:rPr>
        <w:b/>
        <w:bCs/>
        <w:color w:val="FFFFFF" w:themeColor="background1"/>
      </w:rPr>
      <w:tblPr/>
      <w:tcPr>
        <w:tcBorders>
          <w:top w:val="single" w:sz="4" w:space="0" w:color="005E3F" w:themeColor="accent1"/>
          <w:left w:val="single" w:sz="4" w:space="0" w:color="005E3F" w:themeColor="accent1"/>
          <w:bottom w:val="single" w:sz="4" w:space="0" w:color="005E3F" w:themeColor="accent1"/>
          <w:right w:val="single" w:sz="4" w:space="0" w:color="005E3F" w:themeColor="accent1"/>
          <w:insideH w:val="nil"/>
          <w:insideV w:val="nil"/>
        </w:tcBorders>
        <w:shd w:val="clear" w:color="auto" w:fill="005E3F" w:themeFill="accent1"/>
      </w:tcPr>
    </w:tblStylePr>
    <w:tblStylePr w:type="lastRow">
      <w:rPr>
        <w:b/>
        <w:bCs/>
      </w:rPr>
      <w:tblPr/>
      <w:tcPr>
        <w:tcBorders>
          <w:top w:val="double" w:sz="4" w:space="0" w:color="005E3F" w:themeColor="accent1"/>
        </w:tcBorders>
      </w:tcPr>
    </w:tblStylePr>
    <w:tblStylePr w:type="firstCol">
      <w:rPr>
        <w:b/>
        <w:bCs/>
      </w:rPr>
    </w:tblStylePr>
    <w:tblStylePr w:type="lastCol">
      <w:rPr>
        <w:b/>
        <w:bCs/>
      </w:rPr>
    </w:tblStylePr>
    <w:tblStylePr w:type="band1Vert">
      <w:tblPr/>
      <w:tcPr>
        <w:shd w:val="clear" w:color="auto" w:fill="ABFFE3" w:themeFill="accent1" w:themeFillTint="33"/>
      </w:tcPr>
    </w:tblStylePr>
    <w:tblStylePr w:type="band1Horz">
      <w:tblPr/>
      <w:tcPr>
        <w:shd w:val="clear" w:color="auto" w:fill="ABFFE3" w:themeFill="accent1" w:themeFillTint="33"/>
      </w:tcPr>
    </w:tblStylePr>
  </w:style>
  <w:style w:type="table" w:styleId="Gitternetztabelle4Akzent5">
    <w:name w:val="Grid Table 4 Accent 5"/>
    <w:basedOn w:val="NormaleTabelle"/>
    <w:uiPriority w:val="49"/>
    <w:rsid w:val="00A37EB3"/>
    <w:tblPr>
      <w:tblStyleRowBandSize w:val="1"/>
      <w:tblStyleColBandSize w:val="1"/>
      <w:tblBorders>
        <w:top w:val="single" w:sz="4" w:space="0" w:color="82DC93" w:themeColor="accent5" w:themeTint="99"/>
        <w:left w:val="single" w:sz="4" w:space="0" w:color="82DC93" w:themeColor="accent5" w:themeTint="99"/>
        <w:bottom w:val="single" w:sz="4" w:space="0" w:color="82DC93" w:themeColor="accent5" w:themeTint="99"/>
        <w:right w:val="single" w:sz="4" w:space="0" w:color="82DC93" w:themeColor="accent5" w:themeTint="99"/>
        <w:insideH w:val="single" w:sz="4" w:space="0" w:color="82DC93" w:themeColor="accent5" w:themeTint="99"/>
        <w:insideV w:val="single" w:sz="4" w:space="0" w:color="82DC93" w:themeColor="accent5" w:themeTint="99"/>
      </w:tblBorders>
    </w:tblPr>
    <w:tblStylePr w:type="firstRow">
      <w:rPr>
        <w:b/>
        <w:bCs/>
        <w:color w:val="FFFFFF" w:themeColor="background1"/>
      </w:rPr>
      <w:tblPr/>
      <w:tcPr>
        <w:tcBorders>
          <w:top w:val="single" w:sz="4" w:space="0" w:color="35BF50" w:themeColor="accent5"/>
          <w:left w:val="single" w:sz="4" w:space="0" w:color="35BF50" w:themeColor="accent5"/>
          <w:bottom w:val="single" w:sz="4" w:space="0" w:color="35BF50" w:themeColor="accent5"/>
          <w:right w:val="single" w:sz="4" w:space="0" w:color="35BF50" w:themeColor="accent5"/>
          <w:insideH w:val="nil"/>
          <w:insideV w:val="nil"/>
        </w:tcBorders>
        <w:shd w:val="clear" w:color="auto" w:fill="35BF50" w:themeFill="accent5"/>
      </w:tcPr>
    </w:tblStylePr>
    <w:tblStylePr w:type="lastRow">
      <w:rPr>
        <w:b/>
        <w:bCs/>
      </w:rPr>
      <w:tblPr/>
      <w:tcPr>
        <w:tcBorders>
          <w:top w:val="double" w:sz="4" w:space="0" w:color="35BF50" w:themeColor="accent5"/>
        </w:tcBorders>
      </w:tcPr>
    </w:tblStylePr>
    <w:tblStylePr w:type="firstCol">
      <w:rPr>
        <w:b/>
        <w:bCs/>
      </w:rPr>
    </w:tblStylePr>
    <w:tblStylePr w:type="lastCol">
      <w:rPr>
        <w:b/>
        <w:bCs/>
      </w:rPr>
    </w:tblStylePr>
    <w:tblStylePr w:type="band1Vert">
      <w:tblPr/>
      <w:tcPr>
        <w:shd w:val="clear" w:color="auto" w:fill="D5F3DA" w:themeFill="accent5" w:themeFillTint="33"/>
      </w:tcPr>
    </w:tblStylePr>
    <w:tblStylePr w:type="band1Horz">
      <w:tblPr/>
      <w:tcPr>
        <w:shd w:val="clear" w:color="auto" w:fill="D5F3DA" w:themeFill="accent5" w:themeFillTint="33"/>
      </w:tcPr>
    </w:tblStylePr>
  </w:style>
  <w:style w:type="paragraph" w:styleId="berarbeitung">
    <w:name w:val="Revision"/>
    <w:hidden/>
    <w:uiPriority w:val="99"/>
    <w:semiHidden/>
    <w:rsid w:val="00BB7C05"/>
    <w:rPr>
      <w:rFonts w:cs="Times New Roman (Textkörper CS)"/>
      <w:kern w:val="10"/>
      <w:sz w:val="22"/>
      <w14:numSpacing w14:val="proportional"/>
    </w:rPr>
  </w:style>
  <w:style w:type="paragraph" w:styleId="Kommentarthema">
    <w:name w:val="annotation subject"/>
    <w:basedOn w:val="Kommentartext"/>
    <w:next w:val="Kommentartext"/>
    <w:link w:val="KommentarthemaZchn"/>
    <w:uiPriority w:val="99"/>
    <w:semiHidden/>
    <w:unhideWhenUsed/>
    <w:rsid w:val="00E26503"/>
    <w:pPr>
      <w:spacing w:after="0"/>
    </w:pPr>
    <w:rPr>
      <w:b/>
      <w:bCs/>
    </w:rPr>
  </w:style>
  <w:style w:type="character" w:customStyle="1" w:styleId="KommentarthemaZchn">
    <w:name w:val="Kommentarthema Zchn"/>
    <w:basedOn w:val="KommentartextZchn"/>
    <w:link w:val="Kommentarthema"/>
    <w:uiPriority w:val="99"/>
    <w:semiHidden/>
    <w:rsid w:val="00E26503"/>
    <w:rPr>
      <w:rFonts w:cs="Times New Roman (Textkörper CS)"/>
      <w:b/>
      <w:bCs/>
      <w:kern w:val="10"/>
      <w:sz w:val="20"/>
      <w:szCs w:val="20"/>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7297">
      <w:bodyDiv w:val="1"/>
      <w:marLeft w:val="0"/>
      <w:marRight w:val="0"/>
      <w:marTop w:val="0"/>
      <w:marBottom w:val="0"/>
      <w:divBdr>
        <w:top w:val="none" w:sz="0" w:space="0" w:color="auto"/>
        <w:left w:val="none" w:sz="0" w:space="0" w:color="auto"/>
        <w:bottom w:val="none" w:sz="0" w:space="0" w:color="auto"/>
        <w:right w:val="none" w:sz="0" w:space="0" w:color="auto"/>
      </w:divBdr>
    </w:div>
    <w:div w:id="992484113">
      <w:bodyDiv w:val="1"/>
      <w:marLeft w:val="0"/>
      <w:marRight w:val="0"/>
      <w:marTop w:val="0"/>
      <w:marBottom w:val="0"/>
      <w:divBdr>
        <w:top w:val="none" w:sz="0" w:space="0" w:color="auto"/>
        <w:left w:val="none" w:sz="0" w:space="0" w:color="auto"/>
        <w:bottom w:val="none" w:sz="0" w:space="0" w:color="auto"/>
        <w:right w:val="none" w:sz="0" w:space="0" w:color="auto"/>
      </w:divBdr>
    </w:div>
    <w:div w:id="11017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alitaetsatlas-pflege.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5B34-D607-4B59-943B-AABAB741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1507</Words>
  <Characters>9495</Characters>
  <Application>Microsoft Office Word</Application>
  <DocSecurity>0</DocSecurity>
  <Lines>79</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AOK Pressemitteilung</vt:lpstr>
      <vt:lpstr>AOK Pressemitteilung</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AOK Pressemitteilung</dc:title>
  <dc:subject/>
  <dc:creator>Kirmeß, Sascha</dc:creator>
  <cp:keywords/>
  <dc:description>Version 1.0.1
März 2025</dc:description>
  <cp:lastModifiedBy>Kirmeß, Sascha</cp:lastModifiedBy>
  <cp:revision>37</cp:revision>
  <cp:lastPrinted>2025-01-24T16:02:00Z</cp:lastPrinted>
  <dcterms:created xsi:type="dcterms:W3CDTF">2025-06-06T08:05:00Z</dcterms:created>
  <dcterms:modified xsi:type="dcterms:W3CDTF">2025-06-12T11:19:00Z</dcterms:modified>
</cp:coreProperties>
</file>