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1F1B9D3"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95D9D">
        <w:rPr>
          <w:rFonts w:ascii="Arial" w:hAnsi="Arial" w:cs="Arial"/>
          <w:noProof/>
          <w:color w:val="000000" w:themeColor="text1"/>
          <w:sz w:val="40"/>
          <w:szCs w:val="40"/>
          <w:lang w:eastAsia="de-DE"/>
        </w:rPr>
        <w:t>TOP-7-INVESTMENTMÄRKTE</w:t>
      </w:r>
      <w:r w:rsidR="00995D9D" w:rsidRPr="00A93F42">
        <w:rPr>
          <w:rFonts w:ascii="Arial" w:hAnsi="Arial" w:cs="Arial"/>
          <w:color w:val="000000" w:themeColor="text1"/>
          <w:sz w:val="40"/>
          <w:szCs w:val="40"/>
        </w:rPr>
        <w:t xml:space="preserve"> </w:t>
      </w:r>
      <w:bookmarkEnd w:id="0"/>
      <w:r w:rsidR="00A9552F">
        <w:rPr>
          <w:rFonts w:ascii="Arial" w:hAnsi="Arial" w:cs="Arial"/>
          <w:color w:val="000000" w:themeColor="text1"/>
          <w:sz w:val="40"/>
          <w:szCs w:val="40"/>
        </w:rPr>
        <w:t>Q1</w:t>
      </w:r>
      <w:r w:rsidR="00995D9D" w:rsidRPr="004D02F0">
        <w:rPr>
          <w:rFonts w:ascii="Arial" w:hAnsi="Arial" w:cs="Arial"/>
          <w:color w:val="000000" w:themeColor="text1"/>
          <w:sz w:val="40"/>
          <w:szCs w:val="40"/>
        </w:rPr>
        <w:t>/20</w:t>
      </w:r>
      <w:r w:rsidR="00A9552F">
        <w:rPr>
          <w:rFonts w:ascii="Arial" w:hAnsi="Arial" w:cs="Arial"/>
          <w:color w:val="000000" w:themeColor="text1"/>
          <w:sz w:val="40"/>
          <w:szCs w:val="40"/>
        </w:rPr>
        <w:t>21</w:t>
      </w:r>
    </w:p>
    <w:p w14:paraId="3B735A9E" w14:textId="6CEDC389" w:rsidR="00073A8E" w:rsidRPr="004D02F0" w:rsidRDefault="00A92A06"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historisch niedriger jahresstart</w:t>
      </w:r>
    </w:p>
    <w:p w14:paraId="28BEC29F" w14:textId="4BC3E52D"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756CF3">
        <w:rPr>
          <w:noProof/>
          <w:lang w:eastAsia="de-DE"/>
        </w:rPr>
        <w:drawing>
          <wp:inline distT="0" distB="0" distL="0" distR="0" wp14:anchorId="353BD913" wp14:editId="6FE36596">
            <wp:extent cx="4345200"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5200" cy="2520000"/>
                    </a:xfrm>
                    <a:prstGeom prst="rect">
                      <a:avLst/>
                    </a:prstGeom>
                  </pic:spPr>
                </pic:pic>
              </a:graphicData>
            </a:graphic>
          </wp:inline>
        </w:drawing>
      </w:r>
    </w:p>
    <w:p w14:paraId="032005C4" w14:textId="189AA5DB" w:rsidR="00735CE6" w:rsidRPr="00735CE6" w:rsidRDefault="006A0566" w:rsidP="00727CFC">
      <w:pPr>
        <w:widowControl w:val="0"/>
        <w:spacing w:after="120"/>
        <w:jc w:val="both"/>
        <w:rPr>
          <w:rFonts w:ascii="Arial" w:hAnsi="Arial" w:cs="Arial"/>
          <w:bCs/>
          <w:sz w:val="20"/>
          <w:szCs w:val="20"/>
        </w:rPr>
      </w:pPr>
      <w:r>
        <w:rPr>
          <w:rFonts w:ascii="Arial" w:hAnsi="Arial" w:cs="Arial"/>
          <w:b/>
          <w:sz w:val="20"/>
          <w:szCs w:val="20"/>
        </w:rPr>
        <w:br/>
      </w:r>
      <w:r w:rsidR="00BE3093">
        <w:rPr>
          <w:rFonts w:ascii="Arial" w:hAnsi="Arial" w:cs="Arial"/>
          <w:b/>
          <w:sz w:val="20"/>
          <w:szCs w:val="20"/>
        </w:rPr>
        <w:t>8</w:t>
      </w:r>
      <w:r w:rsidR="00205F77" w:rsidRPr="004D02F0">
        <w:rPr>
          <w:rFonts w:ascii="Arial" w:hAnsi="Arial" w:cs="Arial"/>
          <w:b/>
          <w:sz w:val="20"/>
          <w:szCs w:val="20"/>
        </w:rPr>
        <w:t xml:space="preserve">. </w:t>
      </w:r>
      <w:r w:rsidR="00C62163">
        <w:rPr>
          <w:rFonts w:ascii="Arial" w:hAnsi="Arial" w:cs="Arial"/>
          <w:b/>
          <w:sz w:val="20"/>
          <w:szCs w:val="20"/>
        </w:rPr>
        <w:t>April</w:t>
      </w:r>
      <w:r w:rsidR="00205F77" w:rsidRPr="004D02F0">
        <w:rPr>
          <w:rFonts w:ascii="Arial" w:hAnsi="Arial" w:cs="Arial"/>
          <w:b/>
          <w:sz w:val="20"/>
          <w:szCs w:val="20"/>
        </w:rPr>
        <w:t xml:space="preserve"> 20</w:t>
      </w:r>
      <w:r w:rsidR="00EC64A2">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C16191">
        <w:rPr>
          <w:rFonts w:ascii="Arial" w:hAnsi="Arial" w:cs="Arial"/>
          <w:bCs/>
          <w:sz w:val="20"/>
          <w:szCs w:val="20"/>
        </w:rPr>
        <w:t>Nach</w:t>
      </w:r>
      <w:r w:rsidR="006F012B">
        <w:rPr>
          <w:rFonts w:ascii="Arial" w:hAnsi="Arial" w:cs="Arial"/>
          <w:bCs/>
          <w:sz w:val="20"/>
          <w:szCs w:val="20"/>
        </w:rPr>
        <w:t xml:space="preserve"> dem starken Jahresendspurt 2020 herrschte auf dem Markt für gewerbliche Immobilieninvestments an den deutschen Top-7-Standorten im 1. Quartal 2021 </w:t>
      </w:r>
      <w:r w:rsidR="00660A04">
        <w:rPr>
          <w:rFonts w:ascii="Arial" w:hAnsi="Arial" w:cs="Arial"/>
          <w:bCs/>
          <w:sz w:val="20"/>
          <w:szCs w:val="20"/>
        </w:rPr>
        <w:t xml:space="preserve">erwartungsgemäß </w:t>
      </w:r>
      <w:r w:rsidR="006F012B">
        <w:rPr>
          <w:rFonts w:ascii="Arial" w:hAnsi="Arial" w:cs="Arial"/>
          <w:bCs/>
          <w:sz w:val="20"/>
          <w:szCs w:val="20"/>
        </w:rPr>
        <w:t xml:space="preserve">ein starker Produktmangel. Entsprechend niedrig fiel das Transaktionsvolumen (TAV) </w:t>
      </w:r>
      <w:r w:rsidR="00506B59">
        <w:rPr>
          <w:rFonts w:ascii="Arial" w:hAnsi="Arial" w:cs="Arial"/>
          <w:bCs/>
          <w:sz w:val="20"/>
          <w:szCs w:val="20"/>
        </w:rPr>
        <w:t xml:space="preserve">mit </w:t>
      </w:r>
      <w:r w:rsidR="00506B59" w:rsidRPr="002C7BE0">
        <w:rPr>
          <w:rFonts w:ascii="Arial" w:hAnsi="Arial" w:cs="Arial"/>
          <w:bCs/>
          <w:sz w:val="20"/>
          <w:szCs w:val="20"/>
        </w:rPr>
        <w:t>3,4</w:t>
      </w:r>
      <w:r w:rsidR="006F012B" w:rsidRPr="002C7BE0">
        <w:rPr>
          <w:rFonts w:ascii="Arial" w:hAnsi="Arial" w:cs="Arial"/>
          <w:bCs/>
          <w:sz w:val="20"/>
          <w:szCs w:val="20"/>
        </w:rPr>
        <w:t xml:space="preserve"> </w:t>
      </w:r>
      <w:r w:rsidR="006F012B">
        <w:rPr>
          <w:rFonts w:ascii="Arial" w:hAnsi="Arial" w:cs="Arial"/>
          <w:bCs/>
          <w:sz w:val="20"/>
          <w:szCs w:val="20"/>
        </w:rPr>
        <w:t>Mrd. € aus</w:t>
      </w:r>
      <w:r w:rsidR="00660A04">
        <w:rPr>
          <w:rFonts w:ascii="Arial" w:hAnsi="Arial" w:cs="Arial"/>
          <w:bCs/>
          <w:sz w:val="20"/>
          <w:szCs w:val="20"/>
        </w:rPr>
        <w:t>, was einen Rückgang um</w:t>
      </w:r>
      <w:r w:rsidR="00506B59">
        <w:rPr>
          <w:rFonts w:ascii="Arial" w:hAnsi="Arial" w:cs="Arial"/>
          <w:bCs/>
          <w:sz w:val="20"/>
          <w:szCs w:val="20"/>
        </w:rPr>
        <w:t xml:space="preserve"> </w:t>
      </w:r>
      <w:r w:rsidR="00506B59" w:rsidRPr="002C7BE0">
        <w:rPr>
          <w:rFonts w:ascii="Arial" w:hAnsi="Arial" w:cs="Arial"/>
          <w:bCs/>
          <w:sz w:val="20"/>
          <w:szCs w:val="20"/>
        </w:rPr>
        <w:t>54</w:t>
      </w:r>
      <w:r w:rsidR="006F012B" w:rsidRPr="002C7BE0">
        <w:rPr>
          <w:rFonts w:ascii="Arial" w:hAnsi="Arial" w:cs="Arial"/>
          <w:bCs/>
          <w:sz w:val="20"/>
          <w:szCs w:val="20"/>
        </w:rPr>
        <w:t xml:space="preserve"> </w:t>
      </w:r>
      <w:r w:rsidR="006F012B">
        <w:rPr>
          <w:rFonts w:ascii="Arial" w:hAnsi="Arial" w:cs="Arial"/>
          <w:bCs/>
          <w:sz w:val="20"/>
          <w:szCs w:val="20"/>
        </w:rPr>
        <w:t xml:space="preserve">% gegenüber dem Vorjahresquartal </w:t>
      </w:r>
      <w:r w:rsidR="00660A04">
        <w:rPr>
          <w:rFonts w:ascii="Arial" w:hAnsi="Arial" w:cs="Arial"/>
          <w:bCs/>
          <w:sz w:val="20"/>
          <w:szCs w:val="20"/>
        </w:rPr>
        <w:t>bedeutet</w:t>
      </w:r>
      <w:r w:rsidR="006F012B">
        <w:rPr>
          <w:rFonts w:ascii="Arial" w:hAnsi="Arial" w:cs="Arial"/>
          <w:bCs/>
          <w:sz w:val="20"/>
          <w:szCs w:val="20"/>
        </w:rPr>
        <w:t xml:space="preserve">. </w:t>
      </w:r>
      <w:r w:rsidR="00503DDE">
        <w:rPr>
          <w:rFonts w:ascii="Arial" w:hAnsi="Arial" w:cs="Arial"/>
          <w:bCs/>
          <w:sz w:val="20"/>
          <w:szCs w:val="20"/>
        </w:rPr>
        <w:t>Damit liegt das</w:t>
      </w:r>
      <w:r w:rsidR="006F012B">
        <w:rPr>
          <w:rFonts w:ascii="Arial" w:hAnsi="Arial" w:cs="Arial"/>
          <w:bCs/>
          <w:sz w:val="20"/>
          <w:szCs w:val="20"/>
        </w:rPr>
        <w:t xml:space="preserve"> TAV in Hamburg, Berlin, Düsseldorf, Köln, Frankfurt, Stuttgart und München </w:t>
      </w:r>
      <w:r w:rsidR="00503DDE">
        <w:rPr>
          <w:rFonts w:ascii="Arial" w:hAnsi="Arial" w:cs="Arial"/>
          <w:bCs/>
          <w:sz w:val="20"/>
          <w:szCs w:val="20"/>
        </w:rPr>
        <w:t xml:space="preserve">weit unter dem Fünf-Jahres-Mittel von 5,8 Mrd. €. </w:t>
      </w:r>
      <w:r w:rsidR="00660A04">
        <w:rPr>
          <w:rFonts w:ascii="Arial" w:hAnsi="Arial" w:cs="Arial"/>
          <w:bCs/>
          <w:sz w:val="20"/>
          <w:szCs w:val="20"/>
        </w:rPr>
        <w:t xml:space="preserve">Einziger Standort mit einem Umsatzplus war Köln, wo </w:t>
      </w:r>
      <w:r w:rsidR="003D22F6">
        <w:rPr>
          <w:rFonts w:ascii="Arial" w:hAnsi="Arial" w:cs="Arial"/>
          <w:bCs/>
          <w:sz w:val="20"/>
          <w:szCs w:val="20"/>
        </w:rPr>
        <w:t>das Einzelhandelssegment ein vergleichsweise hohes Ergebnis erzielte</w:t>
      </w:r>
      <w:r w:rsidR="00660A04">
        <w:rPr>
          <w:rFonts w:ascii="Arial" w:hAnsi="Arial" w:cs="Arial"/>
          <w:bCs/>
          <w:sz w:val="20"/>
          <w:szCs w:val="20"/>
        </w:rPr>
        <w:t xml:space="preserve">. </w:t>
      </w:r>
      <w:r w:rsidR="000A0966" w:rsidRPr="008E0C49">
        <w:rPr>
          <w:rFonts w:ascii="Arial" w:hAnsi="Arial" w:cs="Arial"/>
          <w:bCs/>
          <w:sz w:val="20"/>
          <w:szCs w:val="20"/>
        </w:rPr>
        <w:t xml:space="preserve">Dies </w:t>
      </w:r>
      <w:r w:rsidR="000A0966">
        <w:rPr>
          <w:rFonts w:ascii="Arial" w:hAnsi="Arial" w:cs="Arial"/>
          <w:bCs/>
          <w:sz w:val="20"/>
          <w:szCs w:val="20"/>
        </w:rPr>
        <w:t xml:space="preserve">ergaben Analysen </w:t>
      </w:r>
      <w:r w:rsidR="00A938AE">
        <w:rPr>
          <w:rFonts w:ascii="Arial" w:hAnsi="Arial" w:cs="Arial"/>
          <w:bCs/>
          <w:sz w:val="20"/>
          <w:szCs w:val="20"/>
        </w:rPr>
        <w:t>von</w:t>
      </w:r>
      <w:r w:rsidR="00305F72">
        <w:rPr>
          <w:rFonts w:ascii="Arial" w:hAnsi="Arial" w:cs="Arial"/>
          <w:bCs/>
          <w:sz w:val="20"/>
          <w:szCs w:val="20"/>
        </w:rPr>
        <w:t xml:space="preserve"> German Property Partners (GPP), dem </w:t>
      </w:r>
      <w:r w:rsidR="00A64C0F">
        <w:rPr>
          <w:rFonts w:ascii="Arial" w:hAnsi="Arial" w:cs="Arial"/>
          <w:bCs/>
          <w:sz w:val="20"/>
          <w:szCs w:val="20"/>
        </w:rPr>
        <w:t>Gewerbeimmobiliennetzwerk</w:t>
      </w:r>
      <w:r w:rsidR="00A938AE">
        <w:rPr>
          <w:rFonts w:ascii="Arial" w:hAnsi="Arial" w:cs="Arial"/>
          <w:bCs/>
          <w:sz w:val="20"/>
          <w:szCs w:val="20"/>
        </w:rPr>
        <w:t xml:space="preserve"> </w:t>
      </w:r>
      <w:r w:rsidR="00305F72">
        <w:rPr>
          <w:rFonts w:ascii="Arial" w:hAnsi="Arial" w:cs="Arial"/>
          <w:bCs/>
          <w:sz w:val="20"/>
          <w:szCs w:val="20"/>
        </w:rPr>
        <w:t>von</w:t>
      </w:r>
      <w:r w:rsidR="00A938AE">
        <w:rPr>
          <w:rFonts w:ascii="Arial" w:hAnsi="Arial" w:cs="Arial"/>
          <w:bCs/>
          <w:sz w:val="20"/>
          <w:szCs w:val="20"/>
        </w:rPr>
        <w:t xml:space="preserve"> </w:t>
      </w:r>
      <w:r w:rsidR="00251815">
        <w:rPr>
          <w:rFonts w:ascii="Arial" w:hAnsi="Arial" w:cs="Arial"/>
          <w:bCs/>
          <w:sz w:val="20"/>
          <w:szCs w:val="20"/>
        </w:rPr>
        <w:t>Grossmann &amp; Berger</w:t>
      </w:r>
      <w:r w:rsidR="00CE2246">
        <w:rPr>
          <w:rFonts w:ascii="Arial" w:hAnsi="Arial" w:cs="Arial"/>
          <w:bCs/>
          <w:sz w:val="20"/>
          <w:szCs w:val="20"/>
        </w:rPr>
        <w:t>,</w:t>
      </w:r>
      <w:r w:rsidR="00251815">
        <w:rPr>
          <w:rFonts w:ascii="Arial" w:hAnsi="Arial" w:cs="Arial"/>
          <w:bCs/>
          <w:sz w:val="20"/>
          <w:szCs w:val="20"/>
        </w:rPr>
        <w:t xml:space="preserve"> </w:t>
      </w:r>
      <w:proofErr w:type="spellStart"/>
      <w:r w:rsidR="00A938AE">
        <w:rPr>
          <w:rFonts w:ascii="Arial" w:hAnsi="Arial" w:cs="Arial"/>
          <w:bCs/>
          <w:sz w:val="20"/>
          <w:szCs w:val="20"/>
        </w:rPr>
        <w:t>Anteon</w:t>
      </w:r>
      <w:proofErr w:type="spellEnd"/>
      <w:r w:rsidR="00A938AE">
        <w:rPr>
          <w:rFonts w:ascii="Arial" w:hAnsi="Arial" w:cs="Arial"/>
          <w:bCs/>
          <w:sz w:val="20"/>
          <w:szCs w:val="20"/>
        </w:rPr>
        <w:t xml:space="preserve"> Immobilien, </w:t>
      </w:r>
      <w:r w:rsidR="00CE2246">
        <w:rPr>
          <w:rFonts w:ascii="Arial" w:hAnsi="Arial" w:cs="Arial"/>
          <w:bCs/>
          <w:sz w:val="20"/>
          <w:szCs w:val="20"/>
        </w:rPr>
        <w:t xml:space="preserve">GREIF &amp; CONTZEN Immobilien, </w:t>
      </w:r>
      <w:proofErr w:type="spellStart"/>
      <w:r w:rsidR="00CE2246">
        <w:rPr>
          <w:rFonts w:ascii="Arial" w:hAnsi="Arial" w:cs="Arial"/>
          <w:bCs/>
          <w:sz w:val="20"/>
          <w:szCs w:val="20"/>
        </w:rPr>
        <w:t>blackolive</w:t>
      </w:r>
      <w:proofErr w:type="spellEnd"/>
      <w:r w:rsidR="00A938AE">
        <w:rPr>
          <w:rFonts w:ascii="Arial" w:hAnsi="Arial" w:cs="Arial"/>
          <w:bCs/>
          <w:sz w:val="20"/>
          <w:szCs w:val="20"/>
        </w:rPr>
        <w:t xml:space="preserve"> </w:t>
      </w:r>
      <w:r w:rsidR="00CE2246">
        <w:rPr>
          <w:rFonts w:ascii="Arial" w:hAnsi="Arial" w:cs="Arial"/>
          <w:bCs/>
          <w:sz w:val="20"/>
          <w:szCs w:val="20"/>
        </w:rPr>
        <w:t xml:space="preserve">und </w:t>
      </w:r>
      <w:r w:rsidR="00A938AE">
        <w:rPr>
          <w:rFonts w:ascii="Arial" w:hAnsi="Arial" w:cs="Arial"/>
          <w:bCs/>
          <w:sz w:val="20"/>
          <w:szCs w:val="20"/>
        </w:rPr>
        <w:t>E</w:t>
      </w:r>
      <w:r w:rsidR="00CE2246">
        <w:rPr>
          <w:rFonts w:ascii="Arial" w:hAnsi="Arial" w:cs="Arial"/>
          <w:bCs/>
          <w:sz w:val="20"/>
          <w:szCs w:val="20"/>
        </w:rPr>
        <w:t xml:space="preserve"> &amp; G Real Estate</w:t>
      </w:r>
      <w:r w:rsidR="00A938AE">
        <w:rPr>
          <w:rFonts w:ascii="Arial" w:hAnsi="Arial" w:cs="Arial"/>
          <w:bCs/>
          <w:sz w:val="20"/>
          <w:szCs w:val="20"/>
        </w:rPr>
        <w:t>.</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4CB38D38" w:rsidR="004C1EFC" w:rsidRPr="0069588E" w:rsidRDefault="0069588E" w:rsidP="00727CFC">
      <w:pPr>
        <w:widowControl w:val="0"/>
        <w:spacing w:after="0"/>
        <w:jc w:val="center"/>
        <w:rPr>
          <w:rFonts w:ascii="Arial" w:hAnsi="Arial" w:cs="Arial"/>
          <w:b/>
          <w:bCs/>
          <w:caps/>
          <w:sz w:val="20"/>
          <w:szCs w:val="20"/>
        </w:rPr>
      </w:pPr>
      <w:r w:rsidRPr="0069588E">
        <w:rPr>
          <w:rFonts w:ascii="Arial" w:hAnsi="Arial" w:cs="Arial"/>
          <w:b/>
          <w:bCs/>
          <w:caps/>
          <w:sz w:val="20"/>
          <w:szCs w:val="20"/>
        </w:rPr>
        <w:t xml:space="preserve">PRODUKTMANGEL </w:t>
      </w:r>
      <w:r w:rsidR="00A92A06">
        <w:rPr>
          <w:rFonts w:ascii="Arial" w:hAnsi="Arial" w:cs="Arial"/>
          <w:b/>
          <w:bCs/>
          <w:caps/>
          <w:sz w:val="20"/>
          <w:szCs w:val="20"/>
        </w:rPr>
        <w:t>und zurückhaltung bremsen markt aus</w:t>
      </w:r>
    </w:p>
    <w:p w14:paraId="465237C3" w14:textId="042C46C9" w:rsidR="00A035D3" w:rsidRDefault="00A035D3" w:rsidP="00727CFC">
      <w:pPr>
        <w:widowControl w:val="0"/>
        <w:spacing w:after="0"/>
        <w:jc w:val="both"/>
        <w:rPr>
          <w:rFonts w:ascii="Arial" w:hAnsi="Arial" w:cs="Arial"/>
          <w:sz w:val="20"/>
          <w:szCs w:val="20"/>
        </w:rPr>
      </w:pPr>
    </w:p>
    <w:p w14:paraId="31A44FDB" w14:textId="1BC64616" w:rsidR="00C62163" w:rsidRDefault="00C62163" w:rsidP="00727CFC">
      <w:pPr>
        <w:widowControl w:val="0"/>
        <w:spacing w:after="0"/>
        <w:jc w:val="both"/>
        <w:rPr>
          <w:rFonts w:ascii="Arial" w:hAnsi="Arial" w:cs="Arial"/>
          <w:sz w:val="20"/>
          <w:szCs w:val="20"/>
        </w:rPr>
      </w:pPr>
      <w:r>
        <w:rPr>
          <w:rFonts w:ascii="Arial" w:hAnsi="Arial" w:cs="Arial"/>
          <w:i/>
          <w:sz w:val="20"/>
          <w:szCs w:val="20"/>
        </w:rPr>
        <w:t>„</w:t>
      </w:r>
      <w:r w:rsidR="0069588E">
        <w:rPr>
          <w:rFonts w:ascii="Arial" w:hAnsi="Arial" w:cs="Arial"/>
          <w:i/>
          <w:sz w:val="20"/>
          <w:szCs w:val="20"/>
        </w:rPr>
        <w:t>E</w:t>
      </w:r>
      <w:r w:rsidRPr="00C62163">
        <w:rPr>
          <w:rFonts w:ascii="Arial" w:hAnsi="Arial" w:cs="Arial"/>
          <w:i/>
          <w:sz w:val="20"/>
          <w:szCs w:val="20"/>
        </w:rPr>
        <w:t>in schwacher Jahresauftakt bei gewerblichen Immobilieninvestments</w:t>
      </w:r>
      <w:r w:rsidR="0069588E">
        <w:rPr>
          <w:rFonts w:ascii="Arial" w:hAnsi="Arial" w:cs="Arial"/>
          <w:i/>
          <w:sz w:val="20"/>
          <w:szCs w:val="20"/>
        </w:rPr>
        <w:t xml:space="preserve"> ist</w:t>
      </w:r>
      <w:r w:rsidRPr="00C62163">
        <w:rPr>
          <w:rFonts w:ascii="Arial" w:hAnsi="Arial" w:cs="Arial"/>
          <w:i/>
          <w:sz w:val="20"/>
          <w:szCs w:val="20"/>
        </w:rPr>
        <w:t xml:space="preserve"> an den deutschen Top-7-Standorten nicht ungewöhnlich. Viele großvolumige Transaktionen wurden zum Jahresende 2020 abgeschlossen, wodurch aktuell wenig</w:t>
      </w:r>
      <w:r w:rsidR="003D22F6">
        <w:rPr>
          <w:rFonts w:ascii="Arial" w:hAnsi="Arial" w:cs="Arial"/>
          <w:i/>
          <w:sz w:val="20"/>
          <w:szCs w:val="20"/>
        </w:rPr>
        <w:t>e</w:t>
      </w:r>
      <w:r w:rsidRPr="00C62163">
        <w:rPr>
          <w:rFonts w:ascii="Arial" w:hAnsi="Arial" w:cs="Arial"/>
          <w:i/>
          <w:sz w:val="20"/>
          <w:szCs w:val="20"/>
        </w:rPr>
        <w:t xml:space="preserve"> Produkte an den Märkten sind</w:t>
      </w:r>
      <w:r w:rsidR="00C00270">
        <w:rPr>
          <w:rFonts w:ascii="Arial" w:hAnsi="Arial" w:cs="Arial"/>
          <w:i/>
          <w:sz w:val="20"/>
          <w:szCs w:val="20"/>
        </w:rPr>
        <w:t xml:space="preserve"> bzw. viele neue Verkaufsprozesse erst starten</w:t>
      </w:r>
      <w:r w:rsidRPr="00C62163">
        <w:rPr>
          <w:rFonts w:ascii="Arial" w:hAnsi="Arial" w:cs="Arial"/>
          <w:i/>
          <w:sz w:val="20"/>
          <w:szCs w:val="20"/>
        </w:rPr>
        <w:t>. Durch die Corona-Pandemie zeigen sich allerdings an einigen Standorten Investoren wie auch Verkäufer teils noch zurückhaltend. Gleichwohl ist die Nachfrage nach Core-Objekten sehr hoch“,</w:t>
      </w:r>
      <w:r>
        <w:rPr>
          <w:rFonts w:ascii="Arial" w:hAnsi="Arial" w:cs="Arial"/>
          <w:sz w:val="20"/>
          <w:szCs w:val="20"/>
        </w:rPr>
        <w:t xml:space="preserve"> ordnet GPP-Sprecher </w:t>
      </w:r>
      <w:r w:rsidRPr="00C62163">
        <w:rPr>
          <w:rFonts w:ascii="Arial" w:hAnsi="Arial" w:cs="Arial"/>
          <w:b/>
          <w:sz w:val="20"/>
          <w:szCs w:val="20"/>
        </w:rPr>
        <w:t>Oliver Schön</w:t>
      </w:r>
      <w:r>
        <w:rPr>
          <w:rFonts w:ascii="Arial" w:hAnsi="Arial" w:cs="Arial"/>
          <w:b/>
          <w:sz w:val="20"/>
          <w:szCs w:val="20"/>
        </w:rPr>
        <w:t xml:space="preserve"> </w:t>
      </w:r>
      <w:r w:rsidRPr="00C62163">
        <w:rPr>
          <w:rFonts w:ascii="Arial" w:hAnsi="Arial" w:cs="Arial"/>
          <w:sz w:val="20"/>
          <w:szCs w:val="20"/>
        </w:rPr>
        <w:t>die Marktentwicklung ein</w:t>
      </w:r>
      <w:r>
        <w:rPr>
          <w:rFonts w:ascii="Arial" w:hAnsi="Arial" w:cs="Arial"/>
          <w:sz w:val="20"/>
          <w:szCs w:val="20"/>
        </w:rPr>
        <w:t xml:space="preserve">. </w:t>
      </w:r>
      <w:r w:rsidR="001D31B1">
        <w:rPr>
          <w:rFonts w:ascii="Arial" w:hAnsi="Arial" w:cs="Arial"/>
          <w:sz w:val="20"/>
          <w:szCs w:val="20"/>
        </w:rPr>
        <w:t>Ein historisches Tief erreichte das Transaktionsvolumen in Düsseldorf</w:t>
      </w:r>
      <w:r w:rsidR="00A92A06">
        <w:rPr>
          <w:rFonts w:ascii="Arial" w:hAnsi="Arial" w:cs="Arial"/>
          <w:sz w:val="20"/>
          <w:szCs w:val="20"/>
        </w:rPr>
        <w:t xml:space="preserve"> im 1. </w:t>
      </w:r>
      <w:r w:rsidR="001D31B1">
        <w:rPr>
          <w:rFonts w:ascii="Arial" w:hAnsi="Arial" w:cs="Arial"/>
          <w:sz w:val="20"/>
          <w:szCs w:val="20"/>
        </w:rPr>
        <w:t>Quartal 2021 mit 200 Mio. €, was einem Rückgang um 76 % gegenüber dem Vorjahresquartal entspricht. Auch in Berlin</w:t>
      </w:r>
      <w:r w:rsidR="001338B1">
        <w:rPr>
          <w:rFonts w:ascii="Arial" w:hAnsi="Arial" w:cs="Arial"/>
          <w:sz w:val="20"/>
          <w:szCs w:val="20"/>
        </w:rPr>
        <w:t xml:space="preserve"> (850 Mio. €, </w:t>
      </w:r>
      <w:r w:rsidR="001338B1">
        <w:rPr>
          <w:rFonts w:ascii="Arial" w:hAnsi="Arial" w:cs="Arial"/>
          <w:sz w:val="20"/>
          <w:szCs w:val="20"/>
        </w:rPr>
        <w:lastRenderedPageBreak/>
        <w:t>-67 %)</w:t>
      </w:r>
      <w:r w:rsidR="001D31B1">
        <w:rPr>
          <w:rFonts w:ascii="Arial" w:hAnsi="Arial" w:cs="Arial"/>
          <w:sz w:val="20"/>
          <w:szCs w:val="20"/>
        </w:rPr>
        <w:t xml:space="preserve"> und Frankfurt </w:t>
      </w:r>
      <w:r w:rsidR="00506B59">
        <w:rPr>
          <w:rFonts w:ascii="Arial" w:hAnsi="Arial" w:cs="Arial"/>
          <w:sz w:val="20"/>
          <w:szCs w:val="20"/>
        </w:rPr>
        <w:t>(852 Mio. €, -55</w:t>
      </w:r>
      <w:r w:rsidR="001338B1" w:rsidRPr="009520CB">
        <w:rPr>
          <w:rFonts w:ascii="Arial" w:hAnsi="Arial" w:cs="Arial"/>
          <w:sz w:val="20"/>
          <w:szCs w:val="20"/>
        </w:rPr>
        <w:t xml:space="preserve"> %) </w:t>
      </w:r>
      <w:r w:rsidR="001D31B1">
        <w:rPr>
          <w:rFonts w:ascii="Arial" w:hAnsi="Arial" w:cs="Arial"/>
          <w:sz w:val="20"/>
          <w:szCs w:val="20"/>
        </w:rPr>
        <w:t xml:space="preserve">betrug der Rückgang des Verkaufsvolumens bei gewerblichen Immobilieninvestments über 50 %. </w:t>
      </w:r>
      <w:r w:rsidR="00A3351D">
        <w:rPr>
          <w:rFonts w:ascii="Arial" w:hAnsi="Arial" w:cs="Arial"/>
          <w:sz w:val="20"/>
          <w:szCs w:val="20"/>
        </w:rPr>
        <w:t xml:space="preserve">Lediglich in Köln sorgten unter anderem Abschlüsse mit Einzelhandelsimmobilien, darunter </w:t>
      </w:r>
      <w:r w:rsidR="00C00270">
        <w:rPr>
          <w:rFonts w:ascii="Arial" w:hAnsi="Arial" w:cs="Arial"/>
          <w:sz w:val="20"/>
          <w:szCs w:val="20"/>
        </w:rPr>
        <w:t xml:space="preserve">einzelne </w:t>
      </w:r>
      <w:r w:rsidR="00A3351D">
        <w:rPr>
          <w:rFonts w:ascii="Arial" w:hAnsi="Arial" w:cs="Arial"/>
          <w:sz w:val="20"/>
          <w:szCs w:val="20"/>
        </w:rPr>
        <w:t>größere Geschäftshäuser in der City, für eine Zunahme des Transaktionsvolumens um 33 %</w:t>
      </w:r>
      <w:r w:rsidR="001338B1">
        <w:rPr>
          <w:rFonts w:ascii="Arial" w:hAnsi="Arial" w:cs="Arial"/>
          <w:sz w:val="20"/>
          <w:szCs w:val="20"/>
        </w:rPr>
        <w:t xml:space="preserve"> auf 200 Mio</w:t>
      </w:r>
      <w:r w:rsidR="003A1E3C">
        <w:rPr>
          <w:rFonts w:ascii="Arial" w:hAnsi="Arial" w:cs="Arial"/>
          <w:sz w:val="20"/>
          <w:szCs w:val="20"/>
        </w:rPr>
        <w:t>.</w:t>
      </w:r>
      <w:r w:rsidR="00A92A06">
        <w:rPr>
          <w:rFonts w:ascii="Arial" w:hAnsi="Arial" w:cs="Arial"/>
          <w:sz w:val="20"/>
          <w:szCs w:val="20"/>
        </w:rPr>
        <w:t xml:space="preserve"> € (Q1 2020: 150 Mio.</w:t>
      </w:r>
      <w:r w:rsidR="003A1E3C">
        <w:rPr>
          <w:rFonts w:ascii="Arial" w:hAnsi="Arial" w:cs="Arial"/>
          <w:sz w:val="20"/>
          <w:szCs w:val="20"/>
        </w:rPr>
        <w:t> </w:t>
      </w:r>
      <w:r w:rsidR="001338B1">
        <w:rPr>
          <w:rFonts w:ascii="Arial" w:hAnsi="Arial" w:cs="Arial"/>
          <w:sz w:val="20"/>
          <w:szCs w:val="20"/>
        </w:rPr>
        <w:t>€</w:t>
      </w:r>
      <w:r w:rsidR="00A92A06">
        <w:rPr>
          <w:rFonts w:ascii="Arial" w:hAnsi="Arial" w:cs="Arial"/>
          <w:sz w:val="20"/>
          <w:szCs w:val="20"/>
        </w:rPr>
        <w:t>)</w:t>
      </w:r>
      <w:r w:rsidR="00A3351D">
        <w:rPr>
          <w:rFonts w:ascii="Arial" w:hAnsi="Arial" w:cs="Arial"/>
          <w:sz w:val="20"/>
          <w:szCs w:val="20"/>
        </w:rPr>
        <w:t>.</w:t>
      </w:r>
      <w:r w:rsidR="00A1359F">
        <w:rPr>
          <w:rFonts w:ascii="Arial" w:hAnsi="Arial" w:cs="Arial"/>
          <w:sz w:val="20"/>
          <w:szCs w:val="20"/>
        </w:rPr>
        <w:t xml:space="preserve"> </w:t>
      </w:r>
      <w:r w:rsidR="00D45F65">
        <w:rPr>
          <w:rFonts w:ascii="Arial" w:hAnsi="Arial" w:cs="Arial"/>
          <w:sz w:val="20"/>
          <w:szCs w:val="20"/>
        </w:rPr>
        <w:t>An drei der Top-7-Standorte fanden im 1. Quartal 2021 keine Portfolio-Verkäufe statt, weshalb sich ihr Anteil am Gesamt-Transaktionsvolumen gegenüber dem Vorjahreszeitraum au</w:t>
      </w:r>
      <w:r w:rsidR="00506B59">
        <w:rPr>
          <w:rFonts w:ascii="Arial" w:hAnsi="Arial" w:cs="Arial"/>
          <w:sz w:val="20"/>
          <w:szCs w:val="20"/>
        </w:rPr>
        <w:t xml:space="preserve">f </w:t>
      </w:r>
      <w:r w:rsidR="00506B59" w:rsidRPr="002C7BE0">
        <w:rPr>
          <w:rFonts w:ascii="Arial" w:hAnsi="Arial" w:cs="Arial"/>
          <w:sz w:val="20"/>
          <w:szCs w:val="20"/>
        </w:rPr>
        <w:t>15</w:t>
      </w:r>
      <w:r w:rsidR="003A1E3C" w:rsidRPr="002C7BE0">
        <w:rPr>
          <w:rFonts w:ascii="Arial" w:hAnsi="Arial" w:cs="Arial"/>
          <w:sz w:val="20"/>
          <w:szCs w:val="20"/>
        </w:rPr>
        <w:t xml:space="preserve"> % </w:t>
      </w:r>
      <w:r w:rsidR="00506B59" w:rsidRPr="002C7BE0">
        <w:rPr>
          <w:rFonts w:ascii="Arial" w:hAnsi="Arial" w:cs="Arial"/>
          <w:sz w:val="20"/>
          <w:szCs w:val="20"/>
        </w:rPr>
        <w:t xml:space="preserve">mehr als </w:t>
      </w:r>
      <w:r w:rsidR="003A1E3C">
        <w:rPr>
          <w:rFonts w:ascii="Arial" w:hAnsi="Arial" w:cs="Arial"/>
          <w:sz w:val="20"/>
          <w:szCs w:val="20"/>
        </w:rPr>
        <w:t>halbierte</w:t>
      </w:r>
      <w:r w:rsidR="00D45F65">
        <w:rPr>
          <w:rFonts w:ascii="Arial" w:hAnsi="Arial" w:cs="Arial"/>
          <w:sz w:val="20"/>
          <w:szCs w:val="20"/>
        </w:rPr>
        <w:t>.</w:t>
      </w:r>
    </w:p>
    <w:p w14:paraId="2D7FC3FE" w14:textId="60CDF049" w:rsidR="00AA7AD2" w:rsidRDefault="00AA7AD2" w:rsidP="00727CFC">
      <w:pPr>
        <w:widowControl w:val="0"/>
        <w:spacing w:after="0"/>
        <w:jc w:val="both"/>
        <w:rPr>
          <w:rFonts w:ascii="Arial" w:hAnsi="Arial" w:cs="Arial"/>
          <w:sz w:val="20"/>
          <w:szCs w:val="20"/>
        </w:rPr>
      </w:pPr>
    </w:p>
    <w:p w14:paraId="441E0ACC" w14:textId="3502B1CC" w:rsidR="00487ECE" w:rsidRPr="0069588E" w:rsidRDefault="0069588E" w:rsidP="00727CFC">
      <w:pPr>
        <w:widowControl w:val="0"/>
        <w:spacing w:after="0"/>
        <w:jc w:val="center"/>
        <w:rPr>
          <w:rFonts w:ascii="Arial" w:hAnsi="Arial" w:cs="Arial"/>
          <w:b/>
          <w:bCs/>
          <w:caps/>
          <w:sz w:val="20"/>
          <w:szCs w:val="20"/>
        </w:rPr>
      </w:pPr>
      <w:r w:rsidRPr="0069588E">
        <w:rPr>
          <w:rFonts w:ascii="Arial" w:hAnsi="Arial" w:cs="Arial"/>
          <w:b/>
          <w:bCs/>
          <w:caps/>
          <w:sz w:val="20"/>
          <w:szCs w:val="20"/>
        </w:rPr>
        <w:t>spitzenrenditen für logistikimmobilien weiter gesunken</w:t>
      </w:r>
    </w:p>
    <w:p w14:paraId="1FB7C3C1" w14:textId="7950B649" w:rsidR="006B7430" w:rsidRDefault="006B7430" w:rsidP="00727CFC">
      <w:pPr>
        <w:widowControl w:val="0"/>
        <w:spacing w:after="0"/>
        <w:jc w:val="both"/>
        <w:rPr>
          <w:rFonts w:ascii="Arial" w:hAnsi="Arial" w:cs="Arial"/>
          <w:sz w:val="20"/>
          <w:szCs w:val="20"/>
        </w:rPr>
      </w:pPr>
    </w:p>
    <w:p w14:paraId="286E05A8" w14:textId="057CD1AF" w:rsidR="004E1EE9" w:rsidRDefault="003A1E3C" w:rsidP="00727CFC">
      <w:pPr>
        <w:widowControl w:val="0"/>
        <w:spacing w:after="0"/>
        <w:jc w:val="both"/>
        <w:rPr>
          <w:rFonts w:ascii="Arial" w:hAnsi="Arial" w:cs="Arial"/>
          <w:sz w:val="20"/>
          <w:szCs w:val="20"/>
        </w:rPr>
      </w:pPr>
      <w:r>
        <w:rPr>
          <w:rFonts w:ascii="Arial" w:hAnsi="Arial" w:cs="Arial"/>
          <w:sz w:val="20"/>
          <w:szCs w:val="20"/>
        </w:rPr>
        <w:t>A</w:t>
      </w:r>
      <w:r w:rsidR="004616F4">
        <w:rPr>
          <w:rFonts w:ascii="Arial" w:hAnsi="Arial" w:cs="Arial"/>
          <w:sz w:val="20"/>
          <w:szCs w:val="20"/>
        </w:rPr>
        <w:t xml:space="preserve">n einem Großteil der Top-7-Standorte </w:t>
      </w:r>
      <w:r>
        <w:rPr>
          <w:rFonts w:ascii="Arial" w:hAnsi="Arial" w:cs="Arial"/>
          <w:sz w:val="20"/>
          <w:szCs w:val="20"/>
        </w:rPr>
        <w:t xml:space="preserve">ging auch </w:t>
      </w:r>
      <w:r w:rsidR="004616F4">
        <w:rPr>
          <w:rFonts w:ascii="Arial" w:hAnsi="Arial" w:cs="Arial"/>
          <w:sz w:val="20"/>
          <w:szCs w:val="20"/>
        </w:rPr>
        <w:t xml:space="preserve">der Anteil an internationalen Investoren im 1. Quartal 2021 zurück. Wurde </w:t>
      </w:r>
      <w:r>
        <w:rPr>
          <w:rFonts w:ascii="Arial" w:hAnsi="Arial" w:cs="Arial"/>
          <w:sz w:val="20"/>
          <w:szCs w:val="20"/>
        </w:rPr>
        <w:t>im Vorjahresquartal</w:t>
      </w:r>
      <w:r w:rsidR="004616F4">
        <w:rPr>
          <w:rFonts w:ascii="Arial" w:hAnsi="Arial" w:cs="Arial"/>
          <w:sz w:val="20"/>
          <w:szCs w:val="20"/>
        </w:rPr>
        <w:t xml:space="preserve"> noch die Hälfte des Transaktionsvolumens an internationale Käufer veräußert, betrug ihr Anteil in den vergangenen d</w:t>
      </w:r>
      <w:r w:rsidR="00506B59">
        <w:rPr>
          <w:rFonts w:ascii="Arial" w:hAnsi="Arial" w:cs="Arial"/>
          <w:sz w:val="20"/>
          <w:szCs w:val="20"/>
        </w:rPr>
        <w:t>rei Monaten lediglich 1</w:t>
      </w:r>
      <w:r w:rsidR="00506B59" w:rsidRPr="002C7BE0">
        <w:rPr>
          <w:rFonts w:ascii="Arial" w:hAnsi="Arial" w:cs="Arial"/>
          <w:sz w:val="20"/>
          <w:szCs w:val="20"/>
        </w:rPr>
        <w:t>4</w:t>
      </w:r>
      <w:r w:rsidR="004616F4">
        <w:rPr>
          <w:rFonts w:ascii="Arial" w:hAnsi="Arial" w:cs="Arial"/>
          <w:sz w:val="20"/>
          <w:szCs w:val="20"/>
        </w:rPr>
        <w:t xml:space="preserve"> %. </w:t>
      </w:r>
      <w:r w:rsidR="004616F4" w:rsidRPr="001E68ED">
        <w:rPr>
          <w:rFonts w:ascii="Arial" w:hAnsi="Arial" w:cs="Arial"/>
          <w:i/>
          <w:sz w:val="20"/>
          <w:szCs w:val="20"/>
        </w:rPr>
        <w:t xml:space="preserve">„Hier </w:t>
      </w:r>
      <w:r w:rsidR="00FC53B5">
        <w:rPr>
          <w:rFonts w:ascii="Arial" w:hAnsi="Arial" w:cs="Arial"/>
          <w:i/>
          <w:sz w:val="20"/>
          <w:szCs w:val="20"/>
        </w:rPr>
        <w:t>machen</w:t>
      </w:r>
      <w:r w:rsidR="004616F4" w:rsidRPr="001E68ED">
        <w:rPr>
          <w:rFonts w:ascii="Arial" w:hAnsi="Arial" w:cs="Arial"/>
          <w:i/>
          <w:sz w:val="20"/>
          <w:szCs w:val="20"/>
        </w:rPr>
        <w:t xml:space="preserve"> sich die Auswirkungen der Corona-Pandemie bislang am deutlichsten</w:t>
      </w:r>
      <w:r w:rsidR="00FC53B5">
        <w:rPr>
          <w:rFonts w:ascii="Arial" w:hAnsi="Arial" w:cs="Arial"/>
          <w:i/>
          <w:sz w:val="20"/>
          <w:szCs w:val="20"/>
        </w:rPr>
        <w:t xml:space="preserve"> bemerkbar</w:t>
      </w:r>
      <w:r w:rsidR="004616F4" w:rsidRPr="001E68ED">
        <w:rPr>
          <w:rFonts w:ascii="Arial" w:hAnsi="Arial" w:cs="Arial"/>
          <w:i/>
          <w:sz w:val="20"/>
          <w:szCs w:val="20"/>
        </w:rPr>
        <w:t xml:space="preserve">: </w:t>
      </w:r>
      <w:r w:rsidR="00FC53B5">
        <w:rPr>
          <w:rFonts w:ascii="Arial" w:hAnsi="Arial" w:cs="Arial"/>
          <w:i/>
          <w:sz w:val="20"/>
          <w:szCs w:val="20"/>
        </w:rPr>
        <w:t xml:space="preserve">Internationale Investoren können einerseits die nationalen Auswirkungen der Corona-Pandemie schwer abschätzen und zeigen sich daher zögerlich. Darüber hinaus hindern </w:t>
      </w:r>
      <w:r w:rsidR="003D22F6">
        <w:rPr>
          <w:rFonts w:ascii="Arial" w:hAnsi="Arial" w:cs="Arial"/>
          <w:i/>
          <w:sz w:val="20"/>
          <w:szCs w:val="20"/>
        </w:rPr>
        <w:t xml:space="preserve">zum Teil </w:t>
      </w:r>
      <w:r w:rsidR="00FC53B5">
        <w:rPr>
          <w:rFonts w:ascii="Arial" w:hAnsi="Arial" w:cs="Arial"/>
          <w:i/>
          <w:sz w:val="20"/>
          <w:szCs w:val="20"/>
        </w:rPr>
        <w:t>die</w:t>
      </w:r>
      <w:r w:rsidR="004616F4" w:rsidRPr="001E68ED">
        <w:rPr>
          <w:rFonts w:ascii="Arial" w:hAnsi="Arial" w:cs="Arial"/>
          <w:i/>
          <w:sz w:val="20"/>
          <w:szCs w:val="20"/>
        </w:rPr>
        <w:t xml:space="preserve"> Reisebeschränkungen </w:t>
      </w:r>
      <w:r w:rsidR="00FC53B5">
        <w:rPr>
          <w:rFonts w:ascii="Arial" w:hAnsi="Arial" w:cs="Arial"/>
          <w:i/>
          <w:sz w:val="20"/>
          <w:szCs w:val="20"/>
        </w:rPr>
        <w:t>Besichtigungen von Objekten</w:t>
      </w:r>
      <w:r w:rsidR="004616F4" w:rsidRPr="001E68ED">
        <w:rPr>
          <w:rFonts w:ascii="Arial" w:hAnsi="Arial" w:cs="Arial"/>
          <w:i/>
          <w:sz w:val="20"/>
          <w:szCs w:val="20"/>
        </w:rPr>
        <w:t>“</w:t>
      </w:r>
      <w:r w:rsidR="004616F4">
        <w:rPr>
          <w:rFonts w:ascii="Arial" w:hAnsi="Arial" w:cs="Arial"/>
          <w:sz w:val="20"/>
          <w:szCs w:val="20"/>
        </w:rPr>
        <w:t xml:space="preserve">, so </w:t>
      </w:r>
      <w:r w:rsidR="004616F4" w:rsidRPr="004616F4">
        <w:rPr>
          <w:rFonts w:ascii="Arial" w:hAnsi="Arial" w:cs="Arial"/>
          <w:b/>
          <w:sz w:val="20"/>
          <w:szCs w:val="20"/>
        </w:rPr>
        <w:t>Schön</w:t>
      </w:r>
      <w:r w:rsidR="004616F4">
        <w:rPr>
          <w:rFonts w:ascii="Arial" w:hAnsi="Arial" w:cs="Arial"/>
          <w:sz w:val="20"/>
          <w:szCs w:val="20"/>
        </w:rPr>
        <w:t xml:space="preserve">. </w:t>
      </w:r>
      <w:r w:rsidR="00F97A75">
        <w:rPr>
          <w:rFonts w:ascii="Arial" w:hAnsi="Arial" w:cs="Arial"/>
          <w:sz w:val="20"/>
          <w:szCs w:val="20"/>
        </w:rPr>
        <w:t xml:space="preserve">Unverändert geblieben ist die Attraktivität von Büro-Immobilien, welche mit Ausnahme von Köln </w:t>
      </w:r>
      <w:r w:rsidR="004800A4">
        <w:rPr>
          <w:rFonts w:ascii="Arial" w:hAnsi="Arial" w:cs="Arial"/>
          <w:sz w:val="20"/>
          <w:szCs w:val="20"/>
        </w:rPr>
        <w:t>auch im 1. </w:t>
      </w:r>
      <w:r w:rsidR="00F97A75">
        <w:rPr>
          <w:rFonts w:ascii="Arial" w:hAnsi="Arial" w:cs="Arial"/>
          <w:sz w:val="20"/>
          <w:szCs w:val="20"/>
        </w:rPr>
        <w:t xml:space="preserve">Jahresviertel 2021 die stärkste </w:t>
      </w:r>
      <w:proofErr w:type="spellStart"/>
      <w:r w:rsidR="00F97A75">
        <w:rPr>
          <w:rFonts w:ascii="Arial" w:hAnsi="Arial" w:cs="Arial"/>
          <w:sz w:val="20"/>
          <w:szCs w:val="20"/>
        </w:rPr>
        <w:t>Assetklasse</w:t>
      </w:r>
      <w:proofErr w:type="spellEnd"/>
      <w:r w:rsidR="00F97A75">
        <w:rPr>
          <w:rFonts w:ascii="Arial" w:hAnsi="Arial" w:cs="Arial"/>
          <w:sz w:val="20"/>
          <w:szCs w:val="20"/>
        </w:rPr>
        <w:t xml:space="preserve"> stellen. Allerdings ist ihr Anteil am Transaktionsvolumen im Vergleich zum Vorjahresquartal in Berlin, Düsseldorf und München deutlich zurückgegangen.</w:t>
      </w:r>
      <w:r w:rsidR="001E68ED">
        <w:rPr>
          <w:rFonts w:ascii="Arial" w:hAnsi="Arial" w:cs="Arial"/>
          <w:sz w:val="20"/>
          <w:szCs w:val="20"/>
        </w:rPr>
        <w:t xml:space="preserve"> </w:t>
      </w:r>
      <w:r>
        <w:rPr>
          <w:rFonts w:ascii="Arial" w:hAnsi="Arial" w:cs="Arial"/>
          <w:sz w:val="20"/>
          <w:szCs w:val="20"/>
        </w:rPr>
        <w:t>Der gestiegene Nachfragedruck angesichts der</w:t>
      </w:r>
      <w:r w:rsidR="001E68ED">
        <w:rPr>
          <w:rFonts w:ascii="Arial" w:hAnsi="Arial" w:cs="Arial"/>
          <w:sz w:val="20"/>
          <w:szCs w:val="20"/>
        </w:rPr>
        <w:t xml:space="preserve"> Produktknappheit </w:t>
      </w:r>
      <w:r>
        <w:rPr>
          <w:rFonts w:ascii="Arial" w:hAnsi="Arial" w:cs="Arial"/>
          <w:sz w:val="20"/>
          <w:szCs w:val="20"/>
        </w:rPr>
        <w:t>erhöht</w:t>
      </w:r>
      <w:r w:rsidR="001E68ED">
        <w:rPr>
          <w:rFonts w:ascii="Arial" w:hAnsi="Arial" w:cs="Arial"/>
          <w:sz w:val="20"/>
          <w:szCs w:val="20"/>
        </w:rPr>
        <w:t xml:space="preserve"> an den meisten Top-7-Standorten den Druck auf die Renditen. In der begehrten </w:t>
      </w:r>
      <w:proofErr w:type="spellStart"/>
      <w:r w:rsidR="001E68ED">
        <w:rPr>
          <w:rFonts w:ascii="Arial" w:hAnsi="Arial" w:cs="Arial"/>
          <w:sz w:val="20"/>
          <w:szCs w:val="20"/>
        </w:rPr>
        <w:t>Assetklasse</w:t>
      </w:r>
      <w:proofErr w:type="spellEnd"/>
      <w:r w:rsidR="001E68ED">
        <w:rPr>
          <w:rFonts w:ascii="Arial" w:hAnsi="Arial" w:cs="Arial"/>
          <w:sz w:val="20"/>
          <w:szCs w:val="20"/>
        </w:rPr>
        <w:t xml:space="preserve"> der Industrie- und Logistikimmobilien hat die Spit</w:t>
      </w:r>
      <w:r w:rsidR="002C7BE0">
        <w:rPr>
          <w:rFonts w:ascii="Arial" w:hAnsi="Arial" w:cs="Arial"/>
          <w:sz w:val="20"/>
          <w:szCs w:val="20"/>
        </w:rPr>
        <w:t xml:space="preserve">zenrendite im Schnitt um -0,24 </w:t>
      </w:r>
      <w:r w:rsidR="00C00270">
        <w:rPr>
          <w:rFonts w:ascii="Arial" w:hAnsi="Arial" w:cs="Arial"/>
          <w:sz w:val="20"/>
          <w:szCs w:val="20"/>
        </w:rPr>
        <w:t>%-P</w:t>
      </w:r>
      <w:r w:rsidR="002C7BE0">
        <w:rPr>
          <w:rFonts w:ascii="Arial" w:hAnsi="Arial" w:cs="Arial"/>
          <w:sz w:val="20"/>
          <w:szCs w:val="20"/>
        </w:rPr>
        <w:t>unkte</w:t>
      </w:r>
      <w:r w:rsidR="001E68ED">
        <w:rPr>
          <w:rFonts w:ascii="Arial" w:hAnsi="Arial" w:cs="Arial"/>
          <w:sz w:val="20"/>
          <w:szCs w:val="20"/>
        </w:rPr>
        <w:t xml:space="preserve"> gegenüber dem 1. Quartal 2020 </w:t>
      </w:r>
      <w:r w:rsidR="004800A4">
        <w:rPr>
          <w:rFonts w:ascii="Arial" w:hAnsi="Arial" w:cs="Arial"/>
          <w:sz w:val="20"/>
          <w:szCs w:val="20"/>
        </w:rPr>
        <w:t xml:space="preserve">auf 3,77 % </w:t>
      </w:r>
      <w:r w:rsidR="001E68ED">
        <w:rPr>
          <w:rFonts w:ascii="Arial" w:hAnsi="Arial" w:cs="Arial"/>
          <w:sz w:val="20"/>
          <w:szCs w:val="20"/>
        </w:rPr>
        <w:t>nachgegeben. Den höchsten Rückga</w:t>
      </w:r>
      <w:r w:rsidR="002C7BE0">
        <w:rPr>
          <w:rFonts w:ascii="Arial" w:hAnsi="Arial" w:cs="Arial"/>
          <w:sz w:val="20"/>
          <w:szCs w:val="20"/>
        </w:rPr>
        <w:t>ng ver</w:t>
      </w:r>
      <w:r w:rsidR="00C00270">
        <w:rPr>
          <w:rFonts w:ascii="Arial" w:hAnsi="Arial" w:cs="Arial"/>
          <w:sz w:val="20"/>
          <w:szCs w:val="20"/>
        </w:rPr>
        <w:t>zeichnete Köln mit -0,50 %-P</w:t>
      </w:r>
      <w:r w:rsidR="002C7BE0">
        <w:rPr>
          <w:rFonts w:ascii="Arial" w:hAnsi="Arial" w:cs="Arial"/>
          <w:sz w:val="20"/>
          <w:szCs w:val="20"/>
        </w:rPr>
        <w:t>unkten</w:t>
      </w:r>
      <w:r w:rsidR="001E68ED">
        <w:rPr>
          <w:rFonts w:ascii="Arial" w:hAnsi="Arial" w:cs="Arial"/>
          <w:sz w:val="20"/>
          <w:szCs w:val="20"/>
        </w:rPr>
        <w:t xml:space="preserve"> von 4,10 auf </w:t>
      </w:r>
      <w:r w:rsidR="00FC53B5">
        <w:rPr>
          <w:rFonts w:ascii="Arial" w:hAnsi="Arial" w:cs="Arial"/>
          <w:sz w:val="20"/>
          <w:szCs w:val="20"/>
        </w:rPr>
        <w:t>3,60 %. Auch die Spitzenrendite für Büro-Immobilien gab</w:t>
      </w:r>
      <w:r w:rsidR="001E68ED">
        <w:rPr>
          <w:rFonts w:ascii="Arial" w:hAnsi="Arial" w:cs="Arial"/>
          <w:sz w:val="20"/>
          <w:szCs w:val="20"/>
        </w:rPr>
        <w:t xml:space="preserve"> </w:t>
      </w:r>
      <w:r w:rsidR="00E47331">
        <w:rPr>
          <w:rFonts w:ascii="Arial" w:hAnsi="Arial" w:cs="Arial"/>
          <w:sz w:val="20"/>
          <w:szCs w:val="20"/>
        </w:rPr>
        <w:t>an e</w:t>
      </w:r>
      <w:r w:rsidR="004800A4">
        <w:rPr>
          <w:rFonts w:ascii="Arial" w:hAnsi="Arial" w:cs="Arial"/>
          <w:sz w:val="20"/>
          <w:szCs w:val="20"/>
        </w:rPr>
        <w:t>inigen Standorten nochmals nach.</w:t>
      </w:r>
      <w:r w:rsidR="00E47331">
        <w:rPr>
          <w:rFonts w:ascii="Arial" w:hAnsi="Arial" w:cs="Arial"/>
          <w:sz w:val="20"/>
          <w:szCs w:val="20"/>
        </w:rPr>
        <w:t xml:space="preserve"> </w:t>
      </w:r>
      <w:r w:rsidR="00FC53B5">
        <w:rPr>
          <w:rFonts w:ascii="Arial" w:hAnsi="Arial" w:cs="Arial"/>
          <w:sz w:val="20"/>
          <w:szCs w:val="20"/>
        </w:rPr>
        <w:t>D</w:t>
      </w:r>
      <w:r w:rsidR="004800A4">
        <w:rPr>
          <w:rFonts w:ascii="Arial" w:hAnsi="Arial" w:cs="Arial"/>
          <w:sz w:val="20"/>
          <w:szCs w:val="20"/>
        </w:rPr>
        <w:t>ie Spitzenrendite</w:t>
      </w:r>
      <w:r w:rsidR="00E47331">
        <w:rPr>
          <w:rFonts w:ascii="Arial" w:hAnsi="Arial" w:cs="Arial"/>
          <w:sz w:val="20"/>
          <w:szCs w:val="20"/>
        </w:rPr>
        <w:t xml:space="preserve"> für Geschäftshäuser</w:t>
      </w:r>
      <w:r w:rsidR="004800A4">
        <w:rPr>
          <w:rFonts w:ascii="Arial" w:hAnsi="Arial" w:cs="Arial"/>
          <w:sz w:val="20"/>
          <w:szCs w:val="20"/>
        </w:rPr>
        <w:t xml:space="preserve"> </w:t>
      </w:r>
      <w:r w:rsidR="00FC53B5">
        <w:rPr>
          <w:rFonts w:ascii="Arial" w:hAnsi="Arial" w:cs="Arial"/>
          <w:sz w:val="20"/>
          <w:szCs w:val="20"/>
        </w:rPr>
        <w:t>stieg in Düsseldorf</w:t>
      </w:r>
      <w:r w:rsidR="002C7BE0">
        <w:rPr>
          <w:rFonts w:ascii="Arial" w:hAnsi="Arial" w:cs="Arial"/>
          <w:sz w:val="20"/>
          <w:szCs w:val="20"/>
        </w:rPr>
        <w:t xml:space="preserve"> um 0,20</w:t>
      </w:r>
      <w:r w:rsidR="007D47D3">
        <w:rPr>
          <w:rFonts w:ascii="Arial" w:hAnsi="Arial" w:cs="Arial"/>
          <w:sz w:val="20"/>
          <w:szCs w:val="20"/>
        </w:rPr>
        <w:t xml:space="preserve"> und in Köln um 0,40</w:t>
      </w:r>
      <w:r w:rsidR="00C00270">
        <w:rPr>
          <w:rFonts w:ascii="Arial" w:hAnsi="Arial" w:cs="Arial"/>
          <w:sz w:val="20"/>
          <w:szCs w:val="20"/>
        </w:rPr>
        <w:t> %</w:t>
      </w:r>
      <w:r w:rsidR="00C00270">
        <w:rPr>
          <w:rFonts w:ascii="Arial" w:hAnsi="Arial" w:cs="Arial"/>
          <w:sz w:val="20"/>
          <w:szCs w:val="20"/>
        </w:rPr>
        <w:noBreakHyphen/>
        <w:t>P</w:t>
      </w:r>
      <w:r w:rsidR="002C7BE0">
        <w:rPr>
          <w:rFonts w:ascii="Arial" w:hAnsi="Arial" w:cs="Arial"/>
          <w:sz w:val="20"/>
          <w:szCs w:val="20"/>
        </w:rPr>
        <w:t>unkte</w:t>
      </w:r>
      <w:r w:rsidR="004800A4">
        <w:rPr>
          <w:rFonts w:ascii="Arial" w:hAnsi="Arial" w:cs="Arial"/>
          <w:sz w:val="20"/>
          <w:szCs w:val="20"/>
        </w:rPr>
        <w:t>. An den anderen Standorten pendelte sie sich</w:t>
      </w:r>
      <w:r w:rsidR="00E47331">
        <w:rPr>
          <w:rFonts w:ascii="Arial" w:hAnsi="Arial" w:cs="Arial"/>
          <w:sz w:val="20"/>
          <w:szCs w:val="20"/>
        </w:rPr>
        <w:t xml:space="preserve"> auf niedrigem Niveau ein.</w:t>
      </w:r>
      <w:r w:rsidR="001E68ED">
        <w:rPr>
          <w:rFonts w:ascii="Arial" w:hAnsi="Arial" w:cs="Arial"/>
          <w:sz w:val="20"/>
          <w:szCs w:val="20"/>
        </w:rPr>
        <w:t xml:space="preserve"> </w:t>
      </w:r>
    </w:p>
    <w:p w14:paraId="3DD099DD" w14:textId="77777777" w:rsidR="00BB0BF5" w:rsidRDefault="00BB0BF5" w:rsidP="00727CFC">
      <w:pPr>
        <w:widowControl w:val="0"/>
        <w:spacing w:after="0"/>
        <w:jc w:val="both"/>
        <w:rPr>
          <w:rFonts w:ascii="Arial" w:hAnsi="Arial" w:cs="Arial"/>
          <w:sz w:val="20"/>
          <w:szCs w:val="20"/>
        </w:rPr>
      </w:pPr>
    </w:p>
    <w:p w14:paraId="5BB2BD37" w14:textId="69F38AF1" w:rsidR="00D6747B" w:rsidRPr="0069588E" w:rsidRDefault="00D6747B" w:rsidP="00727CFC">
      <w:pPr>
        <w:widowControl w:val="0"/>
        <w:spacing w:after="0"/>
        <w:jc w:val="center"/>
        <w:rPr>
          <w:rFonts w:ascii="Arial" w:hAnsi="Arial" w:cs="Arial"/>
          <w:b/>
          <w:bCs/>
          <w:caps/>
          <w:sz w:val="20"/>
          <w:szCs w:val="20"/>
        </w:rPr>
      </w:pPr>
      <w:r w:rsidRPr="0069588E">
        <w:rPr>
          <w:rFonts w:ascii="Arial" w:eastAsiaTheme="minorEastAsia" w:hAnsi="Arial" w:cs="Arial"/>
          <w:b/>
          <w:bCs/>
          <w:sz w:val="20"/>
          <w:szCs w:val="20"/>
          <w:lang w:eastAsia="de-DE"/>
        </w:rPr>
        <w:t>PROGNOSE</w:t>
      </w:r>
      <w:r w:rsidR="0069588E" w:rsidRPr="0069588E">
        <w:rPr>
          <w:rFonts w:ascii="Arial" w:eastAsiaTheme="minorEastAsia" w:hAnsi="Arial" w:cs="Arial"/>
          <w:b/>
          <w:bCs/>
          <w:sz w:val="20"/>
          <w:szCs w:val="20"/>
          <w:lang w:eastAsia="de-DE"/>
        </w:rPr>
        <w:t>: WIEDERBELEBUNG IN ZWEITER JAHRESHÄLFTE</w:t>
      </w:r>
    </w:p>
    <w:p w14:paraId="0B4A2806" w14:textId="56E863A4" w:rsidR="00D6747B" w:rsidRDefault="00D6747B" w:rsidP="00727CFC">
      <w:pPr>
        <w:widowControl w:val="0"/>
        <w:spacing w:after="0"/>
        <w:jc w:val="both"/>
        <w:rPr>
          <w:rFonts w:ascii="Arial" w:eastAsiaTheme="minorEastAsia" w:hAnsi="Arial" w:cs="Arial"/>
          <w:sz w:val="20"/>
          <w:szCs w:val="20"/>
          <w:lang w:eastAsia="de-DE"/>
        </w:rPr>
      </w:pPr>
    </w:p>
    <w:p w14:paraId="2C436910" w14:textId="7FE25C8A" w:rsidR="004D20CD" w:rsidRDefault="004D20CD" w:rsidP="00727CFC">
      <w:pPr>
        <w:widowControl w:val="0"/>
        <w:spacing w:after="0"/>
        <w:jc w:val="both"/>
        <w:rPr>
          <w:rFonts w:ascii="Arial" w:eastAsiaTheme="minorEastAsia" w:hAnsi="Arial" w:cs="Arial"/>
          <w:sz w:val="20"/>
          <w:szCs w:val="20"/>
          <w:lang w:eastAsia="de-DE"/>
        </w:rPr>
      </w:pPr>
      <w:r>
        <w:rPr>
          <w:rFonts w:ascii="Arial" w:eastAsiaTheme="minorEastAsia" w:hAnsi="Arial" w:cs="Arial"/>
          <w:sz w:val="20"/>
          <w:szCs w:val="20"/>
          <w:lang w:eastAsia="de-DE"/>
        </w:rPr>
        <w:t xml:space="preserve">Der gegenwärtige Produktmangel im Bereich der gewerblichen Immobilien-Investments </w:t>
      </w:r>
      <w:r w:rsidR="004652DE">
        <w:rPr>
          <w:rFonts w:ascii="Arial" w:eastAsiaTheme="minorEastAsia" w:hAnsi="Arial" w:cs="Arial"/>
          <w:sz w:val="20"/>
          <w:szCs w:val="20"/>
          <w:lang w:eastAsia="de-DE"/>
        </w:rPr>
        <w:t>wird an den meisten Top-7-Standorten</w:t>
      </w:r>
      <w:r>
        <w:rPr>
          <w:rFonts w:ascii="Arial" w:eastAsiaTheme="minorEastAsia" w:hAnsi="Arial" w:cs="Arial"/>
          <w:sz w:val="20"/>
          <w:szCs w:val="20"/>
          <w:lang w:eastAsia="de-DE"/>
        </w:rPr>
        <w:t xml:space="preserve"> auch in den kommenden Monaten marktbestimmend sein. </w:t>
      </w:r>
      <w:r w:rsidRPr="004D20CD">
        <w:rPr>
          <w:rFonts w:ascii="Arial" w:eastAsiaTheme="minorEastAsia" w:hAnsi="Arial" w:cs="Arial"/>
          <w:i/>
          <w:sz w:val="20"/>
          <w:szCs w:val="20"/>
          <w:lang w:eastAsia="de-DE"/>
        </w:rPr>
        <w:t>„An einigen der Top-7-Standorte rechnen wir damit, dass verschobene, großvolumige Transaktionen zum Abschluss kommen. Daher dürfte</w:t>
      </w:r>
      <w:r w:rsidR="00C00270">
        <w:rPr>
          <w:rFonts w:ascii="Arial" w:eastAsiaTheme="minorEastAsia" w:hAnsi="Arial" w:cs="Arial"/>
          <w:i/>
          <w:sz w:val="20"/>
          <w:szCs w:val="20"/>
          <w:lang w:eastAsia="de-DE"/>
        </w:rPr>
        <w:t>n in den nächsten Quartalen wieder mehr Verkäufe beurkundet werden</w:t>
      </w:r>
      <w:r w:rsidRPr="004D20CD">
        <w:rPr>
          <w:rFonts w:ascii="Arial" w:eastAsiaTheme="minorEastAsia" w:hAnsi="Arial" w:cs="Arial"/>
          <w:i/>
          <w:sz w:val="20"/>
          <w:szCs w:val="20"/>
          <w:lang w:eastAsia="de-DE"/>
        </w:rPr>
        <w:t>“</w:t>
      </w:r>
      <w:r>
        <w:rPr>
          <w:rFonts w:ascii="Arial" w:eastAsiaTheme="minorEastAsia" w:hAnsi="Arial" w:cs="Arial"/>
          <w:sz w:val="20"/>
          <w:szCs w:val="20"/>
          <w:lang w:eastAsia="de-DE"/>
        </w:rPr>
        <w:t xml:space="preserve">, prognostiziert </w:t>
      </w:r>
      <w:r w:rsidRPr="004652DE">
        <w:rPr>
          <w:rFonts w:ascii="Arial" w:eastAsiaTheme="minorEastAsia" w:hAnsi="Arial" w:cs="Arial"/>
          <w:b/>
          <w:sz w:val="20"/>
          <w:szCs w:val="20"/>
          <w:lang w:eastAsia="de-DE"/>
        </w:rPr>
        <w:t>Schön</w:t>
      </w:r>
      <w:r>
        <w:rPr>
          <w:rFonts w:ascii="Arial" w:eastAsiaTheme="minorEastAsia" w:hAnsi="Arial" w:cs="Arial"/>
          <w:sz w:val="20"/>
          <w:szCs w:val="20"/>
          <w:lang w:eastAsia="de-DE"/>
        </w:rPr>
        <w:t>. German Property Partners</w:t>
      </w:r>
      <w:r w:rsidR="00A1359F">
        <w:rPr>
          <w:rFonts w:ascii="Arial" w:eastAsiaTheme="minorEastAsia" w:hAnsi="Arial" w:cs="Arial"/>
          <w:sz w:val="20"/>
          <w:szCs w:val="20"/>
          <w:lang w:eastAsia="de-DE"/>
        </w:rPr>
        <w:t xml:space="preserve"> erwartet</w:t>
      </w:r>
      <w:r>
        <w:rPr>
          <w:rFonts w:ascii="Arial" w:eastAsiaTheme="minorEastAsia" w:hAnsi="Arial" w:cs="Arial"/>
          <w:sz w:val="20"/>
          <w:szCs w:val="20"/>
          <w:lang w:eastAsia="de-DE"/>
        </w:rPr>
        <w:t xml:space="preserve"> insbesondere für die zweite Jahreshälfte eine wieder erstarkende Marktdynamik. Angesichts der hohen Nachfrage dürften die Renditen vielerorts auf dem </w:t>
      </w:r>
      <w:r w:rsidR="00C00270">
        <w:rPr>
          <w:rFonts w:ascii="Arial" w:eastAsiaTheme="minorEastAsia" w:hAnsi="Arial" w:cs="Arial"/>
          <w:sz w:val="20"/>
          <w:szCs w:val="20"/>
          <w:lang w:eastAsia="de-DE"/>
        </w:rPr>
        <w:t xml:space="preserve">aktuellen </w:t>
      </w:r>
      <w:r>
        <w:rPr>
          <w:rFonts w:ascii="Arial" w:eastAsiaTheme="minorEastAsia" w:hAnsi="Arial" w:cs="Arial"/>
          <w:sz w:val="20"/>
          <w:szCs w:val="20"/>
          <w:lang w:eastAsia="de-DE"/>
        </w:rPr>
        <w:t>niedrigen Niveau</w:t>
      </w:r>
      <w:r w:rsidR="00C00270">
        <w:rPr>
          <w:rFonts w:ascii="Arial" w:eastAsiaTheme="minorEastAsia" w:hAnsi="Arial" w:cs="Arial"/>
          <w:sz w:val="20"/>
          <w:szCs w:val="20"/>
          <w:lang w:eastAsia="de-DE"/>
        </w:rPr>
        <w:t xml:space="preserve"> bleiben</w:t>
      </w:r>
      <w:bookmarkStart w:id="4" w:name="_GoBack"/>
      <w:bookmarkEnd w:id="4"/>
      <w:r>
        <w:rPr>
          <w:rFonts w:ascii="Arial" w:eastAsiaTheme="minorEastAsia" w:hAnsi="Arial" w:cs="Arial"/>
          <w:sz w:val="20"/>
          <w:szCs w:val="20"/>
          <w:lang w:eastAsia="de-DE"/>
        </w:rPr>
        <w:t xml:space="preserve">.  </w:t>
      </w:r>
    </w:p>
    <w:p w14:paraId="327626D7" w14:textId="3110A547" w:rsidR="00FC53B5" w:rsidRDefault="00FC53B5" w:rsidP="00727CFC">
      <w:pPr>
        <w:widowControl w:val="0"/>
        <w:spacing w:after="0"/>
        <w:jc w:val="both"/>
        <w:rPr>
          <w:rFonts w:ascii="Arial" w:eastAsiaTheme="minorEastAsia" w:hAnsi="Arial" w:cs="Arial"/>
          <w:sz w:val="20"/>
          <w:szCs w:val="20"/>
          <w:lang w:eastAsia="de-DE"/>
        </w:rPr>
      </w:pPr>
    </w:p>
    <w:p w14:paraId="66A15F32" w14:textId="7C4ED05E" w:rsidR="00FC53B5" w:rsidRDefault="00FC53B5" w:rsidP="00727CFC">
      <w:pPr>
        <w:widowControl w:val="0"/>
        <w:spacing w:after="0"/>
        <w:jc w:val="both"/>
        <w:rPr>
          <w:rFonts w:ascii="Arial" w:eastAsiaTheme="minorEastAsia" w:hAnsi="Arial" w:cs="Arial"/>
          <w:sz w:val="20"/>
          <w:szCs w:val="20"/>
          <w:lang w:eastAsia="de-DE"/>
        </w:rPr>
      </w:pPr>
    </w:p>
    <w:p w14:paraId="769C9903" w14:textId="4AA915A0" w:rsidR="00FC53B5" w:rsidRDefault="00FC53B5" w:rsidP="00727CFC">
      <w:pPr>
        <w:widowControl w:val="0"/>
        <w:spacing w:after="0"/>
        <w:jc w:val="both"/>
        <w:rPr>
          <w:rFonts w:ascii="Arial" w:eastAsiaTheme="minorEastAsia" w:hAnsi="Arial" w:cs="Arial"/>
          <w:sz w:val="20"/>
          <w:szCs w:val="20"/>
          <w:lang w:eastAsia="de-DE"/>
        </w:rPr>
      </w:pPr>
    </w:p>
    <w:p w14:paraId="53AF7590" w14:textId="3811A426" w:rsidR="00FC53B5" w:rsidRDefault="00FC53B5" w:rsidP="00727CFC">
      <w:pPr>
        <w:widowControl w:val="0"/>
        <w:spacing w:after="0"/>
        <w:jc w:val="both"/>
        <w:rPr>
          <w:rFonts w:ascii="Arial" w:eastAsiaTheme="minorEastAsia" w:hAnsi="Arial" w:cs="Arial"/>
          <w:sz w:val="20"/>
          <w:szCs w:val="20"/>
          <w:lang w:eastAsia="de-DE"/>
        </w:rPr>
      </w:pPr>
    </w:p>
    <w:p w14:paraId="17D30712" w14:textId="71F3E867" w:rsidR="00FC53B5" w:rsidRDefault="00FC53B5" w:rsidP="00727CFC">
      <w:pPr>
        <w:widowControl w:val="0"/>
        <w:spacing w:after="0"/>
        <w:jc w:val="both"/>
        <w:rPr>
          <w:rFonts w:ascii="Arial" w:eastAsiaTheme="minorEastAsia" w:hAnsi="Arial" w:cs="Arial"/>
          <w:sz w:val="20"/>
          <w:szCs w:val="20"/>
          <w:lang w:eastAsia="de-DE"/>
        </w:rPr>
      </w:pPr>
    </w:p>
    <w:p w14:paraId="35279C20" w14:textId="77777777" w:rsidR="00FC53B5" w:rsidRDefault="00FC53B5" w:rsidP="00727CFC">
      <w:pPr>
        <w:widowControl w:val="0"/>
        <w:spacing w:after="0"/>
        <w:jc w:val="both"/>
        <w:rPr>
          <w:rFonts w:ascii="Arial" w:eastAsiaTheme="minorEastAsia" w:hAnsi="Arial" w:cs="Arial"/>
          <w:sz w:val="20"/>
          <w:szCs w:val="20"/>
          <w:lang w:eastAsia="de-DE"/>
        </w:rPr>
      </w:pPr>
    </w:p>
    <w:bookmarkEnd w:id="1"/>
    <w:bookmarkEnd w:id="3"/>
    <w:p w14:paraId="73C305EE" w14:textId="77777777" w:rsidR="00F21C81" w:rsidRDefault="00F21C81" w:rsidP="00727CFC">
      <w:pPr>
        <w:widowControl w:val="0"/>
        <w:spacing w:after="0"/>
        <w:jc w:val="both"/>
        <w:rPr>
          <w:rFonts w:ascii="Arial" w:hAnsi="Arial" w:cs="Arial"/>
          <w:sz w:val="20"/>
          <w:szCs w:val="20"/>
        </w:rPr>
      </w:pPr>
    </w:p>
    <w:p w14:paraId="32FF8DF1" w14:textId="535A9D72" w:rsidR="0071679E" w:rsidRDefault="0071679E" w:rsidP="00727CFC">
      <w:pPr>
        <w:widowControl w:val="0"/>
        <w:spacing w:after="0"/>
        <w:jc w:val="both"/>
        <w:rPr>
          <w:rFonts w:ascii="Arial" w:hAnsi="Arial" w:cs="Arial"/>
          <w:sz w:val="20"/>
          <w:szCs w:val="20"/>
        </w:rPr>
      </w:pPr>
    </w:p>
    <w:p w14:paraId="143EE438" w14:textId="54822907" w:rsidR="006A0566" w:rsidRDefault="006A0566" w:rsidP="006A0566">
      <w:pPr>
        <w:spacing w:after="0" w:line="240" w:lineRule="auto"/>
        <w:jc w:val="both"/>
        <w:rPr>
          <w:rFonts w:ascii="Arial" w:hAnsi="Arial" w:cs="Arial"/>
          <w:b/>
          <w:sz w:val="20"/>
          <w:szCs w:val="20"/>
        </w:rPr>
      </w:pPr>
      <w:r w:rsidRPr="00EE7FCA">
        <w:rPr>
          <w:rFonts w:ascii="Arial" w:hAnsi="Arial" w:cs="Arial"/>
          <w:b/>
          <w:sz w:val="20"/>
          <w:szCs w:val="20"/>
        </w:rPr>
        <w:lastRenderedPageBreak/>
        <w:t>Top</w:t>
      </w:r>
      <w:r>
        <w:rPr>
          <w:rFonts w:ascii="Arial" w:hAnsi="Arial" w:cs="Arial"/>
          <w:b/>
          <w:sz w:val="20"/>
          <w:szCs w:val="20"/>
        </w:rPr>
        <w:t xml:space="preserve"> 10 </w:t>
      </w:r>
      <w:r w:rsidRPr="00EE7FCA">
        <w:rPr>
          <w:rFonts w:ascii="Arial" w:hAnsi="Arial" w:cs="Arial"/>
          <w:b/>
          <w:sz w:val="20"/>
          <w:szCs w:val="20"/>
        </w:rPr>
        <w:t>bekannte Abschlüsse</w:t>
      </w:r>
      <w:r w:rsidR="00B40217">
        <w:rPr>
          <w:rFonts w:ascii="Arial" w:hAnsi="Arial" w:cs="Arial"/>
          <w:b/>
          <w:sz w:val="20"/>
          <w:szCs w:val="20"/>
        </w:rPr>
        <w:t xml:space="preserve"> | Top-7-Standorte | 1.</w:t>
      </w:r>
      <w:r>
        <w:rPr>
          <w:rFonts w:ascii="Arial" w:hAnsi="Arial" w:cs="Arial"/>
          <w:b/>
          <w:sz w:val="20"/>
          <w:szCs w:val="20"/>
        </w:rPr>
        <w:t xml:space="preserve"> Quartal 20</w:t>
      </w:r>
      <w:r w:rsidR="00B40217">
        <w:rPr>
          <w:rFonts w:ascii="Arial" w:hAnsi="Arial" w:cs="Arial"/>
          <w:b/>
          <w:sz w:val="20"/>
          <w:szCs w:val="20"/>
        </w:rPr>
        <w:t>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6A0566" w:rsidRPr="006F49D0" w14:paraId="39E8140D" w14:textId="77777777" w:rsidTr="00280AC0">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Käufer</w:t>
            </w:r>
          </w:p>
        </w:tc>
        <w:tc>
          <w:tcPr>
            <w:tcW w:w="2190"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Verkäufer</w:t>
            </w:r>
          </w:p>
        </w:tc>
        <w:tc>
          <w:tcPr>
            <w:tcW w:w="1014"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6D60E96E" w14:textId="77777777" w:rsidR="006A0566" w:rsidRPr="006F49D0" w:rsidRDefault="006A0566" w:rsidP="00CB4698">
            <w:pPr>
              <w:widowControl w:val="0"/>
              <w:jc w:val="center"/>
              <w:rPr>
                <w:rFonts w:ascii="Arial" w:hAnsi="Arial" w:cs="Arial"/>
                <w:b/>
                <w:sz w:val="16"/>
                <w:szCs w:val="16"/>
              </w:rPr>
            </w:pPr>
            <w:r w:rsidRPr="006F49D0">
              <w:rPr>
                <w:rFonts w:ascii="Arial" w:hAnsi="Arial" w:cs="Arial"/>
                <w:sz w:val="16"/>
                <w:szCs w:val="16"/>
              </w:rPr>
              <w:t>(ca. Mio. €)</w:t>
            </w:r>
          </w:p>
        </w:tc>
      </w:tr>
      <w:tr w:rsidR="00A17B9C" w:rsidRPr="006F49D0" w14:paraId="5D2561C0" w14:textId="77777777" w:rsidTr="00280AC0">
        <w:trPr>
          <w:trHeight w:val="552"/>
        </w:trPr>
        <w:tc>
          <w:tcPr>
            <w:tcW w:w="687" w:type="dxa"/>
            <w:shd w:val="clear" w:color="auto" w:fill="auto"/>
            <w:vAlign w:val="center"/>
          </w:tcPr>
          <w:p w14:paraId="04822A2A" w14:textId="347C855F" w:rsidR="00A17B9C" w:rsidRPr="002C7BE0" w:rsidRDefault="00A17B9C" w:rsidP="00CB4698">
            <w:pPr>
              <w:widowControl w:val="0"/>
              <w:jc w:val="center"/>
              <w:rPr>
                <w:rFonts w:ascii="Arial" w:hAnsi="Arial" w:cs="Arial"/>
                <w:sz w:val="16"/>
                <w:szCs w:val="16"/>
              </w:rPr>
            </w:pPr>
            <w:r w:rsidRPr="002C7BE0">
              <w:rPr>
                <w:rFonts w:ascii="Arial" w:hAnsi="Arial" w:cs="Arial"/>
                <w:sz w:val="16"/>
                <w:szCs w:val="16"/>
              </w:rPr>
              <w:t>FRA</w:t>
            </w:r>
          </w:p>
        </w:tc>
        <w:tc>
          <w:tcPr>
            <w:tcW w:w="2682" w:type="dxa"/>
            <w:shd w:val="clear" w:color="auto" w:fill="auto"/>
            <w:vAlign w:val="center"/>
          </w:tcPr>
          <w:p w14:paraId="109831D3" w14:textId="7863D1AC" w:rsidR="00A17B9C" w:rsidRPr="002C7BE0" w:rsidRDefault="00A17B9C" w:rsidP="00CB4698">
            <w:pPr>
              <w:widowControl w:val="0"/>
              <w:jc w:val="center"/>
              <w:rPr>
                <w:rFonts w:ascii="Arial" w:hAnsi="Arial" w:cs="Arial"/>
                <w:sz w:val="16"/>
                <w:szCs w:val="16"/>
              </w:rPr>
            </w:pPr>
            <w:r w:rsidRPr="002C7BE0">
              <w:rPr>
                <w:rFonts w:ascii="Arial" w:hAnsi="Arial" w:cs="Arial"/>
                <w:sz w:val="16"/>
                <w:szCs w:val="16"/>
              </w:rPr>
              <w:t>Ludwig-Erhard-Straße 7, Eschborn</w:t>
            </w:r>
          </w:p>
        </w:tc>
        <w:tc>
          <w:tcPr>
            <w:tcW w:w="2658" w:type="dxa"/>
            <w:shd w:val="clear" w:color="auto" w:fill="auto"/>
            <w:vAlign w:val="center"/>
          </w:tcPr>
          <w:p w14:paraId="39BC37B5" w14:textId="6CA78FFD" w:rsidR="00A17B9C" w:rsidRPr="002C7BE0" w:rsidRDefault="00A17B9C" w:rsidP="00CB4698">
            <w:pPr>
              <w:widowControl w:val="0"/>
              <w:jc w:val="center"/>
              <w:rPr>
                <w:rFonts w:ascii="Arial" w:hAnsi="Arial" w:cs="Arial"/>
                <w:sz w:val="16"/>
                <w:szCs w:val="16"/>
              </w:rPr>
            </w:pPr>
            <w:r w:rsidRPr="002C7BE0">
              <w:rPr>
                <w:rFonts w:ascii="Arial" w:hAnsi="Arial" w:cs="Arial"/>
                <w:sz w:val="16"/>
                <w:szCs w:val="16"/>
              </w:rPr>
              <w:t>Deutsche Gesellschaft für Internationale Zusammenarbeit</w:t>
            </w:r>
          </w:p>
        </w:tc>
        <w:tc>
          <w:tcPr>
            <w:tcW w:w="2190" w:type="dxa"/>
            <w:shd w:val="clear" w:color="auto" w:fill="auto"/>
            <w:vAlign w:val="center"/>
          </w:tcPr>
          <w:p w14:paraId="04B1DC3F" w14:textId="378816C4" w:rsidR="00A17B9C" w:rsidRPr="002C7BE0" w:rsidRDefault="00A17B9C" w:rsidP="00CB4698">
            <w:pPr>
              <w:widowControl w:val="0"/>
              <w:jc w:val="center"/>
              <w:rPr>
                <w:rFonts w:ascii="Arial" w:hAnsi="Arial" w:cs="Arial"/>
                <w:sz w:val="16"/>
                <w:szCs w:val="16"/>
              </w:rPr>
            </w:pPr>
            <w:r w:rsidRPr="002C7BE0">
              <w:rPr>
                <w:rFonts w:ascii="Arial" w:hAnsi="Arial" w:cs="Arial"/>
                <w:sz w:val="16"/>
                <w:szCs w:val="16"/>
              </w:rPr>
              <w:t>PHOENIX Real Estate Development</w:t>
            </w:r>
          </w:p>
        </w:tc>
        <w:tc>
          <w:tcPr>
            <w:tcW w:w="1014" w:type="dxa"/>
            <w:shd w:val="clear" w:color="auto" w:fill="auto"/>
            <w:vAlign w:val="center"/>
          </w:tcPr>
          <w:p w14:paraId="365B06EC" w14:textId="597457D9" w:rsidR="00A17B9C" w:rsidRPr="002C7BE0" w:rsidRDefault="00A17B9C" w:rsidP="00CB4698">
            <w:pPr>
              <w:widowControl w:val="0"/>
              <w:jc w:val="center"/>
              <w:rPr>
                <w:rFonts w:ascii="Arial" w:hAnsi="Arial" w:cs="Arial"/>
                <w:sz w:val="16"/>
                <w:szCs w:val="16"/>
              </w:rPr>
            </w:pPr>
            <w:r w:rsidRPr="002C7BE0">
              <w:rPr>
                <w:rFonts w:ascii="Arial" w:hAnsi="Arial" w:cs="Arial"/>
                <w:sz w:val="16"/>
                <w:szCs w:val="16"/>
              </w:rPr>
              <w:t>220</w:t>
            </w:r>
          </w:p>
        </w:tc>
      </w:tr>
      <w:tr w:rsidR="00B10F94" w:rsidRPr="006F49D0" w14:paraId="48D362A3" w14:textId="77777777" w:rsidTr="00FC53B5">
        <w:trPr>
          <w:trHeight w:val="552"/>
        </w:trPr>
        <w:tc>
          <w:tcPr>
            <w:tcW w:w="687" w:type="dxa"/>
            <w:shd w:val="clear" w:color="auto" w:fill="auto"/>
            <w:vAlign w:val="center"/>
          </w:tcPr>
          <w:p w14:paraId="13FB7EAB" w14:textId="0708BF92" w:rsidR="00B10F94" w:rsidRPr="00FC53B5" w:rsidRDefault="00A14898" w:rsidP="00CB4698">
            <w:pPr>
              <w:widowControl w:val="0"/>
              <w:jc w:val="center"/>
              <w:rPr>
                <w:rFonts w:ascii="Arial" w:hAnsi="Arial" w:cs="Arial"/>
                <w:sz w:val="16"/>
                <w:szCs w:val="16"/>
              </w:rPr>
            </w:pPr>
            <w:r w:rsidRPr="00FC53B5">
              <w:rPr>
                <w:rFonts w:ascii="Arial" w:hAnsi="Arial" w:cs="Arial"/>
                <w:sz w:val="16"/>
                <w:szCs w:val="16"/>
              </w:rPr>
              <w:t>HAM</w:t>
            </w:r>
          </w:p>
        </w:tc>
        <w:tc>
          <w:tcPr>
            <w:tcW w:w="2682" w:type="dxa"/>
            <w:shd w:val="clear" w:color="auto" w:fill="auto"/>
            <w:vAlign w:val="center"/>
          </w:tcPr>
          <w:p w14:paraId="3237242A" w14:textId="749CC38C" w:rsidR="00B10F94" w:rsidRPr="00FC53B5" w:rsidRDefault="00B10F94" w:rsidP="00A14898">
            <w:pPr>
              <w:widowControl w:val="0"/>
              <w:jc w:val="center"/>
              <w:rPr>
                <w:rFonts w:ascii="Arial" w:hAnsi="Arial" w:cs="Arial"/>
                <w:sz w:val="16"/>
                <w:szCs w:val="16"/>
              </w:rPr>
            </w:pPr>
            <w:r w:rsidRPr="00FC53B5">
              <w:rPr>
                <w:rFonts w:ascii="Arial" w:hAnsi="Arial" w:cs="Arial"/>
                <w:sz w:val="16"/>
                <w:szCs w:val="16"/>
              </w:rPr>
              <w:t>„</w:t>
            </w:r>
            <w:r w:rsidR="00A14898" w:rsidRPr="00FC53B5">
              <w:rPr>
                <w:rFonts w:ascii="Arial" w:hAnsi="Arial" w:cs="Arial"/>
                <w:sz w:val="16"/>
                <w:szCs w:val="16"/>
              </w:rPr>
              <w:t>Hamburg Süd-Haus</w:t>
            </w:r>
            <w:r w:rsidRPr="00FC53B5">
              <w:rPr>
                <w:rFonts w:ascii="Arial" w:hAnsi="Arial" w:cs="Arial"/>
                <w:sz w:val="16"/>
                <w:szCs w:val="16"/>
              </w:rPr>
              <w:t xml:space="preserve">“, </w:t>
            </w:r>
            <w:r w:rsidR="00A14898" w:rsidRPr="00FC53B5">
              <w:rPr>
                <w:rFonts w:ascii="Arial" w:hAnsi="Arial" w:cs="Arial"/>
                <w:sz w:val="16"/>
                <w:szCs w:val="16"/>
              </w:rPr>
              <w:t>Willy-Brand-Straße 59-63</w:t>
            </w:r>
          </w:p>
        </w:tc>
        <w:tc>
          <w:tcPr>
            <w:tcW w:w="2658" w:type="dxa"/>
            <w:shd w:val="clear" w:color="auto" w:fill="auto"/>
            <w:vAlign w:val="center"/>
          </w:tcPr>
          <w:p w14:paraId="08732206" w14:textId="58A381BE" w:rsidR="00B10F94" w:rsidRPr="00FC53B5" w:rsidRDefault="00A14898" w:rsidP="00CB4698">
            <w:pPr>
              <w:widowControl w:val="0"/>
              <w:jc w:val="center"/>
              <w:rPr>
                <w:rFonts w:ascii="Arial" w:hAnsi="Arial" w:cs="Arial"/>
                <w:sz w:val="16"/>
                <w:szCs w:val="16"/>
              </w:rPr>
            </w:pPr>
            <w:r w:rsidRPr="00FC53B5">
              <w:rPr>
                <w:rFonts w:ascii="Arial" w:hAnsi="Arial" w:cs="Arial"/>
                <w:sz w:val="16"/>
                <w:szCs w:val="16"/>
              </w:rPr>
              <w:t>Union Investment</w:t>
            </w:r>
          </w:p>
        </w:tc>
        <w:tc>
          <w:tcPr>
            <w:tcW w:w="2190" w:type="dxa"/>
            <w:shd w:val="clear" w:color="auto" w:fill="auto"/>
            <w:vAlign w:val="center"/>
          </w:tcPr>
          <w:p w14:paraId="43ECED96" w14:textId="6A427861" w:rsidR="00B10F94" w:rsidRPr="00FC53B5" w:rsidRDefault="00A14898" w:rsidP="00CB4698">
            <w:pPr>
              <w:widowControl w:val="0"/>
              <w:jc w:val="center"/>
              <w:rPr>
                <w:rFonts w:ascii="Arial" w:hAnsi="Arial" w:cs="Arial"/>
                <w:sz w:val="16"/>
                <w:szCs w:val="16"/>
              </w:rPr>
            </w:pPr>
            <w:r w:rsidRPr="00FC53B5">
              <w:rPr>
                <w:rFonts w:ascii="Arial" w:hAnsi="Arial" w:cs="Arial"/>
                <w:sz w:val="16"/>
                <w:szCs w:val="16"/>
              </w:rPr>
              <w:t>Dr. August Oetker Nahrungsmittel</w:t>
            </w:r>
          </w:p>
        </w:tc>
        <w:tc>
          <w:tcPr>
            <w:tcW w:w="1014" w:type="dxa"/>
            <w:shd w:val="clear" w:color="auto" w:fill="auto"/>
            <w:vAlign w:val="center"/>
          </w:tcPr>
          <w:p w14:paraId="7363702D" w14:textId="00F509E2" w:rsidR="00B10F94" w:rsidRPr="00FC53B5" w:rsidRDefault="00A14898" w:rsidP="00CB4698">
            <w:pPr>
              <w:widowControl w:val="0"/>
              <w:jc w:val="center"/>
              <w:rPr>
                <w:rFonts w:ascii="Arial" w:hAnsi="Arial" w:cs="Arial"/>
                <w:sz w:val="16"/>
                <w:szCs w:val="16"/>
              </w:rPr>
            </w:pPr>
            <w:r w:rsidRPr="00FC53B5">
              <w:rPr>
                <w:rFonts w:ascii="Arial" w:hAnsi="Arial" w:cs="Arial"/>
                <w:sz w:val="16"/>
                <w:szCs w:val="16"/>
              </w:rPr>
              <w:t>&gt;150</w:t>
            </w:r>
          </w:p>
        </w:tc>
      </w:tr>
      <w:tr w:rsidR="00B10F94" w:rsidRPr="006F49D0" w14:paraId="365E5A9A" w14:textId="77777777" w:rsidTr="00FC53B5">
        <w:trPr>
          <w:trHeight w:val="552"/>
        </w:trPr>
        <w:tc>
          <w:tcPr>
            <w:tcW w:w="687" w:type="dxa"/>
            <w:shd w:val="clear" w:color="auto" w:fill="auto"/>
            <w:vAlign w:val="center"/>
          </w:tcPr>
          <w:p w14:paraId="3CD3C2E3" w14:textId="2DC996AC" w:rsidR="00B10F94" w:rsidRPr="00FC53B5" w:rsidRDefault="00A14898" w:rsidP="00CB4698">
            <w:pPr>
              <w:widowControl w:val="0"/>
              <w:jc w:val="center"/>
              <w:rPr>
                <w:rFonts w:ascii="Arial" w:hAnsi="Arial" w:cs="Arial"/>
                <w:sz w:val="16"/>
                <w:szCs w:val="16"/>
              </w:rPr>
            </w:pPr>
            <w:r w:rsidRPr="00FC53B5">
              <w:rPr>
                <w:rFonts w:ascii="Arial" w:hAnsi="Arial" w:cs="Arial"/>
                <w:sz w:val="16"/>
                <w:szCs w:val="16"/>
              </w:rPr>
              <w:t>FRA</w:t>
            </w:r>
          </w:p>
        </w:tc>
        <w:tc>
          <w:tcPr>
            <w:tcW w:w="2682" w:type="dxa"/>
            <w:shd w:val="clear" w:color="auto" w:fill="auto"/>
            <w:vAlign w:val="center"/>
          </w:tcPr>
          <w:p w14:paraId="22E85443" w14:textId="5CD34125" w:rsidR="00B10F94" w:rsidRPr="00FC53B5" w:rsidRDefault="00B10F94" w:rsidP="004834D2">
            <w:pPr>
              <w:widowControl w:val="0"/>
              <w:jc w:val="center"/>
              <w:rPr>
                <w:rFonts w:ascii="Arial" w:hAnsi="Arial" w:cs="Arial"/>
                <w:sz w:val="16"/>
                <w:szCs w:val="16"/>
              </w:rPr>
            </w:pPr>
            <w:r w:rsidRPr="00FC53B5">
              <w:rPr>
                <w:rFonts w:ascii="Arial" w:hAnsi="Arial" w:cs="Arial"/>
                <w:sz w:val="16"/>
                <w:szCs w:val="16"/>
              </w:rPr>
              <w:t>„</w:t>
            </w:r>
            <w:proofErr w:type="spellStart"/>
            <w:r w:rsidR="004834D2" w:rsidRPr="00FC53B5">
              <w:rPr>
                <w:rFonts w:ascii="Arial" w:hAnsi="Arial" w:cs="Arial"/>
                <w:sz w:val="16"/>
                <w:szCs w:val="16"/>
              </w:rPr>
              <w:t>Cielo</w:t>
            </w:r>
            <w:proofErr w:type="spellEnd"/>
            <w:r w:rsidRPr="00FC53B5">
              <w:rPr>
                <w:rFonts w:ascii="Arial" w:hAnsi="Arial" w:cs="Arial"/>
                <w:sz w:val="16"/>
                <w:szCs w:val="16"/>
              </w:rPr>
              <w:t>“</w:t>
            </w:r>
            <w:r w:rsidR="004834D2" w:rsidRPr="00FC53B5">
              <w:rPr>
                <w:rFonts w:ascii="Arial" w:hAnsi="Arial" w:cs="Arial"/>
                <w:sz w:val="16"/>
                <w:szCs w:val="16"/>
              </w:rPr>
              <w:t xml:space="preserve"> (50 %-Anteil)</w:t>
            </w:r>
            <w:r w:rsidRPr="00FC53B5">
              <w:rPr>
                <w:rFonts w:ascii="Arial" w:hAnsi="Arial" w:cs="Arial"/>
                <w:sz w:val="16"/>
                <w:szCs w:val="16"/>
              </w:rPr>
              <w:t>,</w:t>
            </w:r>
            <w:r w:rsidR="004834D2" w:rsidRPr="00FC53B5">
              <w:rPr>
                <w:rFonts w:ascii="Arial" w:hAnsi="Arial" w:cs="Arial"/>
                <w:sz w:val="16"/>
                <w:szCs w:val="16"/>
              </w:rPr>
              <w:t xml:space="preserve"> Theodor-Heuss-Allee 100-104</w:t>
            </w:r>
            <w:r w:rsidRPr="00FC53B5">
              <w:rPr>
                <w:rFonts w:ascii="Arial" w:hAnsi="Arial" w:cs="Arial"/>
                <w:sz w:val="16"/>
                <w:szCs w:val="16"/>
              </w:rPr>
              <w:t xml:space="preserve"> </w:t>
            </w:r>
          </w:p>
        </w:tc>
        <w:tc>
          <w:tcPr>
            <w:tcW w:w="2658" w:type="dxa"/>
            <w:shd w:val="clear" w:color="auto" w:fill="auto"/>
            <w:vAlign w:val="center"/>
          </w:tcPr>
          <w:p w14:paraId="45F540FE" w14:textId="7CEC3900" w:rsidR="00B10F94" w:rsidRPr="00FC53B5" w:rsidRDefault="004834D2" w:rsidP="00CB4698">
            <w:pPr>
              <w:widowControl w:val="0"/>
              <w:jc w:val="center"/>
              <w:rPr>
                <w:rFonts w:ascii="Arial" w:hAnsi="Arial" w:cs="Arial"/>
                <w:sz w:val="16"/>
                <w:szCs w:val="16"/>
              </w:rPr>
            </w:pPr>
            <w:r w:rsidRPr="00FC53B5">
              <w:rPr>
                <w:rFonts w:ascii="Arial" w:hAnsi="Arial" w:cs="Arial"/>
                <w:sz w:val="16"/>
                <w:szCs w:val="16"/>
              </w:rPr>
              <w:t>DEMIRE Deutsche Mittelstand Real Estate</w:t>
            </w:r>
          </w:p>
        </w:tc>
        <w:tc>
          <w:tcPr>
            <w:tcW w:w="2190" w:type="dxa"/>
            <w:shd w:val="clear" w:color="auto" w:fill="auto"/>
            <w:vAlign w:val="center"/>
          </w:tcPr>
          <w:p w14:paraId="6CCB2205" w14:textId="02A034BE" w:rsidR="00B10F94" w:rsidRPr="00FC53B5" w:rsidRDefault="004834D2" w:rsidP="00CB4698">
            <w:pPr>
              <w:widowControl w:val="0"/>
              <w:jc w:val="center"/>
              <w:rPr>
                <w:rFonts w:ascii="Arial" w:hAnsi="Arial" w:cs="Arial"/>
                <w:sz w:val="16"/>
                <w:szCs w:val="16"/>
              </w:rPr>
            </w:pPr>
            <w:r w:rsidRPr="00FC53B5">
              <w:rPr>
                <w:rFonts w:ascii="Arial" w:hAnsi="Arial" w:cs="Arial"/>
                <w:sz w:val="16"/>
                <w:szCs w:val="16"/>
              </w:rPr>
              <w:t>RFR Gruppe</w:t>
            </w:r>
          </w:p>
        </w:tc>
        <w:tc>
          <w:tcPr>
            <w:tcW w:w="1014" w:type="dxa"/>
            <w:shd w:val="clear" w:color="auto" w:fill="auto"/>
            <w:vAlign w:val="center"/>
          </w:tcPr>
          <w:p w14:paraId="47E4FA2D" w14:textId="7194ED09" w:rsidR="00B10F94" w:rsidRPr="00FC53B5" w:rsidRDefault="004834D2" w:rsidP="00CB4698">
            <w:pPr>
              <w:widowControl w:val="0"/>
              <w:jc w:val="center"/>
              <w:rPr>
                <w:rFonts w:ascii="Arial" w:hAnsi="Arial" w:cs="Arial"/>
                <w:sz w:val="16"/>
                <w:szCs w:val="16"/>
              </w:rPr>
            </w:pPr>
            <w:r w:rsidRPr="00FC53B5">
              <w:rPr>
                <w:rFonts w:ascii="Arial" w:hAnsi="Arial" w:cs="Arial"/>
                <w:sz w:val="16"/>
                <w:szCs w:val="16"/>
              </w:rPr>
              <w:t>138</w:t>
            </w:r>
          </w:p>
        </w:tc>
      </w:tr>
      <w:tr w:rsidR="006A0566" w:rsidRPr="00C90B69" w14:paraId="7E130A63" w14:textId="77777777" w:rsidTr="00FC53B5">
        <w:trPr>
          <w:trHeight w:val="552"/>
        </w:trPr>
        <w:tc>
          <w:tcPr>
            <w:tcW w:w="687" w:type="dxa"/>
            <w:shd w:val="clear" w:color="auto" w:fill="auto"/>
            <w:vAlign w:val="center"/>
          </w:tcPr>
          <w:p w14:paraId="17561091" w14:textId="3A11A7CA" w:rsidR="006A0566" w:rsidRPr="00FC53B5" w:rsidRDefault="004834D2" w:rsidP="00CB4698">
            <w:pPr>
              <w:widowControl w:val="0"/>
              <w:jc w:val="center"/>
              <w:rPr>
                <w:rFonts w:ascii="Arial" w:hAnsi="Arial" w:cs="Arial"/>
                <w:bCs/>
                <w:sz w:val="16"/>
                <w:szCs w:val="16"/>
              </w:rPr>
            </w:pPr>
            <w:r w:rsidRPr="00FC53B5">
              <w:rPr>
                <w:rFonts w:ascii="Arial" w:hAnsi="Arial" w:cs="Arial"/>
                <w:bCs/>
                <w:sz w:val="16"/>
                <w:szCs w:val="16"/>
              </w:rPr>
              <w:t>FRA</w:t>
            </w:r>
          </w:p>
        </w:tc>
        <w:tc>
          <w:tcPr>
            <w:tcW w:w="2682" w:type="dxa"/>
            <w:shd w:val="clear" w:color="auto" w:fill="auto"/>
            <w:vAlign w:val="center"/>
          </w:tcPr>
          <w:p w14:paraId="5BC635FC" w14:textId="49B8470D" w:rsidR="006A0566" w:rsidRPr="00FC53B5" w:rsidRDefault="004834D2" w:rsidP="004834D2">
            <w:pPr>
              <w:widowControl w:val="0"/>
              <w:jc w:val="center"/>
              <w:rPr>
                <w:rFonts w:ascii="Arial" w:hAnsi="Arial" w:cs="Arial"/>
                <w:bCs/>
                <w:sz w:val="16"/>
                <w:szCs w:val="16"/>
              </w:rPr>
            </w:pPr>
            <w:r w:rsidRPr="00FC53B5">
              <w:rPr>
                <w:rFonts w:ascii="Arial" w:hAnsi="Arial" w:cs="Arial"/>
                <w:bCs/>
                <w:sz w:val="16"/>
                <w:szCs w:val="16"/>
              </w:rPr>
              <w:t>„Rocco Forte/Villa Kennedy</w:t>
            </w:r>
            <w:r w:rsidR="006A0566" w:rsidRPr="00FC53B5">
              <w:rPr>
                <w:rFonts w:ascii="Arial" w:hAnsi="Arial" w:cs="Arial"/>
                <w:bCs/>
                <w:sz w:val="16"/>
                <w:szCs w:val="16"/>
              </w:rPr>
              <w:t xml:space="preserve">“, </w:t>
            </w:r>
            <w:r w:rsidRPr="00FC53B5">
              <w:rPr>
                <w:rFonts w:ascii="Arial" w:hAnsi="Arial" w:cs="Arial"/>
                <w:bCs/>
                <w:sz w:val="16"/>
                <w:szCs w:val="16"/>
              </w:rPr>
              <w:t>Kennedyallee 70</w:t>
            </w:r>
          </w:p>
        </w:tc>
        <w:tc>
          <w:tcPr>
            <w:tcW w:w="2658" w:type="dxa"/>
            <w:shd w:val="clear" w:color="auto" w:fill="auto"/>
            <w:vAlign w:val="center"/>
          </w:tcPr>
          <w:p w14:paraId="5E11DDEF" w14:textId="0C220505" w:rsidR="006A0566" w:rsidRPr="00FC53B5" w:rsidRDefault="004834D2" w:rsidP="00CB4698">
            <w:pPr>
              <w:widowControl w:val="0"/>
              <w:jc w:val="center"/>
              <w:rPr>
                <w:rFonts w:ascii="Arial" w:hAnsi="Arial" w:cs="Arial"/>
                <w:bCs/>
                <w:sz w:val="16"/>
                <w:szCs w:val="16"/>
                <w:lang w:val="en-GB"/>
              </w:rPr>
            </w:pPr>
            <w:proofErr w:type="spellStart"/>
            <w:r w:rsidRPr="00FC53B5">
              <w:rPr>
                <w:rFonts w:ascii="Arial" w:hAnsi="Arial" w:cs="Arial"/>
                <w:bCs/>
                <w:sz w:val="16"/>
                <w:szCs w:val="16"/>
                <w:lang w:val="en-GB"/>
              </w:rPr>
              <w:t>Conren</w:t>
            </w:r>
            <w:proofErr w:type="spellEnd"/>
            <w:r w:rsidRPr="00FC53B5">
              <w:rPr>
                <w:rFonts w:ascii="Arial" w:hAnsi="Arial" w:cs="Arial"/>
                <w:bCs/>
                <w:sz w:val="16"/>
                <w:szCs w:val="16"/>
                <w:lang w:val="en-GB"/>
              </w:rPr>
              <w:t xml:space="preserve"> Land Management</w:t>
            </w:r>
          </w:p>
        </w:tc>
        <w:tc>
          <w:tcPr>
            <w:tcW w:w="2190" w:type="dxa"/>
            <w:shd w:val="clear" w:color="auto" w:fill="auto"/>
            <w:vAlign w:val="center"/>
          </w:tcPr>
          <w:p w14:paraId="6E7C0E69" w14:textId="6466C7AF" w:rsidR="006A0566" w:rsidRPr="00FC53B5" w:rsidRDefault="004834D2" w:rsidP="00CB4698">
            <w:pPr>
              <w:widowControl w:val="0"/>
              <w:jc w:val="center"/>
              <w:rPr>
                <w:rFonts w:ascii="Arial" w:hAnsi="Arial" w:cs="Arial"/>
                <w:bCs/>
                <w:sz w:val="16"/>
                <w:szCs w:val="16"/>
              </w:rPr>
            </w:pPr>
            <w:r w:rsidRPr="00FC53B5">
              <w:rPr>
                <w:rFonts w:ascii="Arial" w:hAnsi="Arial" w:cs="Arial"/>
                <w:bCs/>
                <w:sz w:val="16"/>
                <w:szCs w:val="16"/>
              </w:rPr>
              <w:t>GEG German Estate Group</w:t>
            </w:r>
          </w:p>
        </w:tc>
        <w:tc>
          <w:tcPr>
            <w:tcW w:w="1014" w:type="dxa"/>
            <w:shd w:val="clear" w:color="auto" w:fill="auto"/>
            <w:vAlign w:val="center"/>
          </w:tcPr>
          <w:p w14:paraId="2841C443" w14:textId="06C3C9AA" w:rsidR="006A0566" w:rsidRPr="00FC53B5" w:rsidRDefault="004834D2" w:rsidP="00CB4698">
            <w:pPr>
              <w:widowControl w:val="0"/>
              <w:jc w:val="center"/>
              <w:rPr>
                <w:rFonts w:ascii="Arial" w:hAnsi="Arial" w:cs="Arial"/>
                <w:bCs/>
                <w:sz w:val="16"/>
                <w:szCs w:val="16"/>
              </w:rPr>
            </w:pPr>
            <w:r w:rsidRPr="00FC53B5">
              <w:rPr>
                <w:rFonts w:ascii="Arial" w:hAnsi="Arial" w:cs="Arial"/>
                <w:bCs/>
                <w:sz w:val="16"/>
                <w:szCs w:val="16"/>
              </w:rPr>
              <w:t>95</w:t>
            </w:r>
          </w:p>
        </w:tc>
      </w:tr>
      <w:tr w:rsidR="009C1812" w:rsidRPr="00C90B69" w14:paraId="6847279F" w14:textId="77777777" w:rsidTr="00FC53B5">
        <w:trPr>
          <w:trHeight w:val="552"/>
        </w:trPr>
        <w:tc>
          <w:tcPr>
            <w:tcW w:w="687" w:type="dxa"/>
            <w:shd w:val="clear" w:color="auto" w:fill="auto"/>
            <w:vAlign w:val="center"/>
          </w:tcPr>
          <w:p w14:paraId="0E52DE7F" w14:textId="5602DE65" w:rsidR="009C1812" w:rsidRPr="00FC53B5" w:rsidRDefault="00D65F25" w:rsidP="00CB4698">
            <w:pPr>
              <w:widowControl w:val="0"/>
              <w:jc w:val="center"/>
              <w:rPr>
                <w:rFonts w:ascii="Arial" w:hAnsi="Arial" w:cs="Arial"/>
                <w:bCs/>
                <w:sz w:val="16"/>
                <w:szCs w:val="16"/>
              </w:rPr>
            </w:pPr>
            <w:r w:rsidRPr="00FC53B5">
              <w:rPr>
                <w:rFonts w:ascii="Arial" w:hAnsi="Arial" w:cs="Arial"/>
                <w:bCs/>
                <w:sz w:val="16"/>
                <w:szCs w:val="16"/>
              </w:rPr>
              <w:t>HAM</w:t>
            </w:r>
          </w:p>
        </w:tc>
        <w:tc>
          <w:tcPr>
            <w:tcW w:w="2682" w:type="dxa"/>
            <w:shd w:val="clear" w:color="auto" w:fill="auto"/>
            <w:vAlign w:val="center"/>
          </w:tcPr>
          <w:p w14:paraId="28DE483C" w14:textId="7D4A1C5A" w:rsidR="009C1812" w:rsidRPr="00FC53B5" w:rsidRDefault="009C1812" w:rsidP="009C1812">
            <w:pPr>
              <w:widowControl w:val="0"/>
              <w:jc w:val="center"/>
              <w:rPr>
                <w:rFonts w:ascii="Arial" w:hAnsi="Arial" w:cs="Arial"/>
                <w:bCs/>
                <w:sz w:val="16"/>
                <w:szCs w:val="16"/>
              </w:rPr>
            </w:pPr>
            <w:r w:rsidRPr="00FC53B5">
              <w:rPr>
                <w:rFonts w:ascii="Arial" w:hAnsi="Arial" w:cs="Arial"/>
                <w:bCs/>
                <w:sz w:val="16"/>
                <w:szCs w:val="16"/>
              </w:rPr>
              <w:t>„</w:t>
            </w:r>
            <w:r w:rsidR="004834D2" w:rsidRPr="00FC53B5">
              <w:rPr>
                <w:rFonts w:ascii="Arial" w:hAnsi="Arial" w:cs="Arial"/>
                <w:bCs/>
                <w:sz w:val="16"/>
                <w:szCs w:val="16"/>
              </w:rPr>
              <w:t>Campus Stapelwerk</w:t>
            </w:r>
            <w:r w:rsidRPr="00FC53B5">
              <w:rPr>
                <w:rFonts w:ascii="Arial" w:hAnsi="Arial" w:cs="Arial"/>
                <w:bCs/>
                <w:sz w:val="16"/>
                <w:szCs w:val="16"/>
              </w:rPr>
              <w:t>“,</w:t>
            </w:r>
          </w:p>
          <w:p w14:paraId="1C2E7133" w14:textId="2FB56220" w:rsidR="009C1812" w:rsidRPr="00FC53B5" w:rsidRDefault="004834D2" w:rsidP="009C1812">
            <w:pPr>
              <w:widowControl w:val="0"/>
              <w:jc w:val="center"/>
              <w:rPr>
                <w:rFonts w:ascii="Arial" w:hAnsi="Arial" w:cs="Arial"/>
                <w:bCs/>
                <w:sz w:val="16"/>
                <w:szCs w:val="16"/>
              </w:rPr>
            </w:pPr>
            <w:proofErr w:type="spellStart"/>
            <w:r w:rsidRPr="00FC53B5">
              <w:rPr>
                <w:rFonts w:ascii="Arial" w:hAnsi="Arial" w:cs="Arial"/>
                <w:bCs/>
                <w:sz w:val="16"/>
                <w:szCs w:val="16"/>
              </w:rPr>
              <w:t>Meiendorfer</w:t>
            </w:r>
            <w:proofErr w:type="spellEnd"/>
            <w:r w:rsidRPr="00FC53B5">
              <w:rPr>
                <w:rFonts w:ascii="Arial" w:hAnsi="Arial" w:cs="Arial"/>
                <w:bCs/>
                <w:sz w:val="16"/>
                <w:szCs w:val="16"/>
              </w:rPr>
              <w:t xml:space="preserve"> Straße 205</w:t>
            </w:r>
          </w:p>
        </w:tc>
        <w:tc>
          <w:tcPr>
            <w:tcW w:w="2658" w:type="dxa"/>
            <w:shd w:val="clear" w:color="auto" w:fill="auto"/>
            <w:vAlign w:val="center"/>
          </w:tcPr>
          <w:p w14:paraId="3CB97ACF" w14:textId="6BA261EE" w:rsidR="009C1812" w:rsidRPr="00FC53B5" w:rsidRDefault="004834D2" w:rsidP="00CB4698">
            <w:pPr>
              <w:widowControl w:val="0"/>
              <w:jc w:val="center"/>
              <w:rPr>
                <w:rFonts w:ascii="Arial" w:hAnsi="Arial" w:cs="Arial"/>
                <w:bCs/>
                <w:sz w:val="16"/>
                <w:szCs w:val="16"/>
              </w:rPr>
            </w:pPr>
            <w:r w:rsidRPr="00FC53B5">
              <w:rPr>
                <w:rFonts w:ascii="Arial" w:hAnsi="Arial" w:cs="Arial"/>
                <w:bCs/>
                <w:sz w:val="16"/>
                <w:szCs w:val="16"/>
              </w:rPr>
              <w:t xml:space="preserve">Warburg-HIH </w:t>
            </w:r>
            <w:proofErr w:type="spellStart"/>
            <w:r w:rsidRPr="00FC53B5">
              <w:rPr>
                <w:rFonts w:ascii="Arial" w:hAnsi="Arial" w:cs="Arial"/>
                <w:bCs/>
                <w:sz w:val="16"/>
                <w:szCs w:val="16"/>
              </w:rPr>
              <w:t>Invest</w:t>
            </w:r>
            <w:proofErr w:type="spellEnd"/>
          </w:p>
        </w:tc>
        <w:tc>
          <w:tcPr>
            <w:tcW w:w="2190" w:type="dxa"/>
            <w:shd w:val="clear" w:color="auto" w:fill="auto"/>
            <w:vAlign w:val="center"/>
          </w:tcPr>
          <w:p w14:paraId="32A92367" w14:textId="79C0A82A" w:rsidR="009C1812" w:rsidRPr="00FC53B5" w:rsidRDefault="004834D2" w:rsidP="00CB4698">
            <w:pPr>
              <w:widowControl w:val="0"/>
              <w:jc w:val="center"/>
              <w:rPr>
                <w:rFonts w:ascii="Arial" w:hAnsi="Arial" w:cs="Arial"/>
                <w:bCs/>
                <w:sz w:val="16"/>
                <w:szCs w:val="16"/>
              </w:rPr>
            </w:pPr>
            <w:r w:rsidRPr="00FC53B5">
              <w:rPr>
                <w:rFonts w:ascii="Arial" w:hAnsi="Arial" w:cs="Arial"/>
                <w:bCs/>
                <w:sz w:val="16"/>
                <w:szCs w:val="16"/>
              </w:rPr>
              <w:t xml:space="preserve">AURELIUS Equity </w:t>
            </w:r>
            <w:proofErr w:type="spellStart"/>
            <w:r w:rsidRPr="00FC53B5">
              <w:rPr>
                <w:rFonts w:ascii="Arial" w:hAnsi="Arial" w:cs="Arial"/>
                <w:bCs/>
                <w:sz w:val="16"/>
                <w:szCs w:val="16"/>
              </w:rPr>
              <w:t>Opportunities</w:t>
            </w:r>
            <w:proofErr w:type="spellEnd"/>
          </w:p>
        </w:tc>
        <w:tc>
          <w:tcPr>
            <w:tcW w:w="1014" w:type="dxa"/>
            <w:shd w:val="clear" w:color="auto" w:fill="auto"/>
            <w:vAlign w:val="center"/>
          </w:tcPr>
          <w:p w14:paraId="1DBFF5D8" w14:textId="5429BAA4" w:rsidR="009C1812" w:rsidRPr="00FC53B5" w:rsidRDefault="004834D2" w:rsidP="00CB4698">
            <w:pPr>
              <w:widowControl w:val="0"/>
              <w:jc w:val="center"/>
              <w:rPr>
                <w:rFonts w:ascii="Arial" w:hAnsi="Arial" w:cs="Arial"/>
                <w:bCs/>
                <w:sz w:val="16"/>
                <w:szCs w:val="16"/>
              </w:rPr>
            </w:pPr>
            <w:r w:rsidRPr="00FC53B5">
              <w:rPr>
                <w:rFonts w:ascii="Arial" w:hAnsi="Arial" w:cs="Arial"/>
                <w:bCs/>
                <w:sz w:val="16"/>
                <w:szCs w:val="16"/>
              </w:rPr>
              <w:t>76</w:t>
            </w:r>
          </w:p>
        </w:tc>
      </w:tr>
      <w:tr w:rsidR="00766B7C" w:rsidRPr="00C90B69" w14:paraId="514EB9BF" w14:textId="77777777" w:rsidTr="00FC53B5">
        <w:trPr>
          <w:trHeight w:val="552"/>
        </w:trPr>
        <w:tc>
          <w:tcPr>
            <w:tcW w:w="687" w:type="dxa"/>
            <w:shd w:val="clear" w:color="auto" w:fill="auto"/>
            <w:vAlign w:val="center"/>
          </w:tcPr>
          <w:p w14:paraId="07286BA8" w14:textId="234FE7D4" w:rsidR="00766B7C" w:rsidRPr="00FC53B5" w:rsidRDefault="00C77743" w:rsidP="00CB4698">
            <w:pPr>
              <w:widowControl w:val="0"/>
              <w:jc w:val="center"/>
              <w:rPr>
                <w:rFonts w:ascii="Arial" w:hAnsi="Arial" w:cs="Arial"/>
                <w:bCs/>
                <w:sz w:val="16"/>
                <w:szCs w:val="16"/>
              </w:rPr>
            </w:pPr>
            <w:r w:rsidRPr="00FC53B5">
              <w:rPr>
                <w:rFonts w:ascii="Arial" w:hAnsi="Arial" w:cs="Arial"/>
                <w:bCs/>
                <w:sz w:val="16"/>
                <w:szCs w:val="16"/>
              </w:rPr>
              <w:t>STG</w:t>
            </w:r>
          </w:p>
        </w:tc>
        <w:tc>
          <w:tcPr>
            <w:tcW w:w="2682" w:type="dxa"/>
            <w:shd w:val="clear" w:color="auto" w:fill="auto"/>
            <w:vAlign w:val="center"/>
          </w:tcPr>
          <w:p w14:paraId="34B6D024" w14:textId="6C4CD9F3" w:rsidR="00766B7C"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w:t>
            </w:r>
            <w:proofErr w:type="spellStart"/>
            <w:r w:rsidRPr="00FC53B5">
              <w:rPr>
                <w:rFonts w:ascii="Arial" w:hAnsi="Arial" w:cs="Arial"/>
                <w:bCs/>
                <w:sz w:val="16"/>
                <w:szCs w:val="16"/>
              </w:rPr>
              <w:t>Zuckerle</w:t>
            </w:r>
            <w:proofErr w:type="spellEnd"/>
            <w:r w:rsidRPr="00FC53B5">
              <w:rPr>
                <w:rFonts w:ascii="Arial" w:hAnsi="Arial" w:cs="Arial"/>
                <w:bCs/>
                <w:sz w:val="16"/>
                <w:szCs w:val="16"/>
              </w:rPr>
              <w:t xml:space="preserve"> Areal“</w:t>
            </w:r>
            <w:r w:rsidR="00766B7C" w:rsidRPr="00FC53B5">
              <w:rPr>
                <w:rFonts w:ascii="Arial" w:hAnsi="Arial" w:cs="Arial"/>
                <w:bCs/>
                <w:sz w:val="16"/>
                <w:szCs w:val="16"/>
              </w:rPr>
              <w:t xml:space="preserve">, </w:t>
            </w:r>
            <w:proofErr w:type="spellStart"/>
            <w:r w:rsidRPr="00FC53B5">
              <w:rPr>
                <w:rFonts w:ascii="Arial" w:hAnsi="Arial" w:cs="Arial"/>
                <w:bCs/>
                <w:sz w:val="16"/>
                <w:szCs w:val="16"/>
              </w:rPr>
              <w:t>Hofener</w:t>
            </w:r>
            <w:proofErr w:type="spellEnd"/>
            <w:r w:rsidRPr="00FC53B5">
              <w:rPr>
                <w:rFonts w:ascii="Arial" w:hAnsi="Arial" w:cs="Arial"/>
                <w:bCs/>
                <w:sz w:val="16"/>
                <w:szCs w:val="16"/>
              </w:rPr>
              <w:t xml:space="preserve"> Straße</w:t>
            </w:r>
          </w:p>
        </w:tc>
        <w:tc>
          <w:tcPr>
            <w:tcW w:w="2658" w:type="dxa"/>
            <w:shd w:val="clear" w:color="auto" w:fill="auto"/>
            <w:vAlign w:val="center"/>
          </w:tcPr>
          <w:p w14:paraId="645BD330" w14:textId="04411000" w:rsidR="00766B7C" w:rsidRPr="00FC53B5" w:rsidRDefault="00C77743" w:rsidP="00D93985">
            <w:pPr>
              <w:widowControl w:val="0"/>
              <w:jc w:val="center"/>
              <w:rPr>
                <w:rFonts w:ascii="Arial" w:hAnsi="Arial" w:cs="Arial"/>
                <w:bCs/>
                <w:sz w:val="16"/>
                <w:szCs w:val="16"/>
              </w:rPr>
            </w:pPr>
            <w:r w:rsidRPr="00FC53B5">
              <w:rPr>
                <w:rFonts w:ascii="Arial" w:hAnsi="Arial" w:cs="Arial"/>
                <w:bCs/>
                <w:sz w:val="16"/>
                <w:szCs w:val="16"/>
              </w:rPr>
              <w:t>Quarterback Immobilien</w:t>
            </w:r>
          </w:p>
        </w:tc>
        <w:tc>
          <w:tcPr>
            <w:tcW w:w="2190" w:type="dxa"/>
            <w:shd w:val="clear" w:color="auto" w:fill="auto"/>
            <w:vAlign w:val="center"/>
          </w:tcPr>
          <w:p w14:paraId="31C1B7AC" w14:textId="08B6370C" w:rsidR="00766B7C" w:rsidRPr="00FC53B5" w:rsidRDefault="00C77743" w:rsidP="00D93985">
            <w:pPr>
              <w:widowControl w:val="0"/>
              <w:jc w:val="center"/>
              <w:rPr>
                <w:rFonts w:ascii="Arial" w:hAnsi="Arial" w:cs="Arial"/>
                <w:bCs/>
                <w:sz w:val="16"/>
                <w:szCs w:val="16"/>
              </w:rPr>
            </w:pPr>
            <w:proofErr w:type="spellStart"/>
            <w:r w:rsidRPr="00FC53B5">
              <w:rPr>
                <w:rFonts w:ascii="Arial" w:hAnsi="Arial" w:cs="Arial"/>
                <w:bCs/>
                <w:sz w:val="16"/>
                <w:szCs w:val="16"/>
              </w:rPr>
              <w:t>Whitecrow</w:t>
            </w:r>
            <w:proofErr w:type="spellEnd"/>
            <w:r w:rsidRPr="00FC53B5">
              <w:rPr>
                <w:rFonts w:ascii="Arial" w:hAnsi="Arial" w:cs="Arial"/>
                <w:bCs/>
                <w:sz w:val="16"/>
                <w:szCs w:val="16"/>
              </w:rPr>
              <w:t xml:space="preserve"> Holding</w:t>
            </w:r>
          </w:p>
        </w:tc>
        <w:tc>
          <w:tcPr>
            <w:tcW w:w="1014" w:type="dxa"/>
            <w:shd w:val="clear" w:color="auto" w:fill="auto"/>
            <w:vAlign w:val="center"/>
          </w:tcPr>
          <w:p w14:paraId="6FB01627" w14:textId="7751684A" w:rsidR="00766B7C" w:rsidRPr="00FC53B5" w:rsidRDefault="00C77743" w:rsidP="00D93985">
            <w:pPr>
              <w:widowControl w:val="0"/>
              <w:jc w:val="center"/>
              <w:rPr>
                <w:rFonts w:ascii="Arial" w:hAnsi="Arial" w:cs="Arial"/>
                <w:bCs/>
                <w:sz w:val="16"/>
                <w:szCs w:val="16"/>
              </w:rPr>
            </w:pPr>
            <w:r w:rsidRPr="00FC53B5">
              <w:rPr>
                <w:rFonts w:ascii="Arial" w:hAnsi="Arial" w:cs="Arial"/>
                <w:bCs/>
                <w:sz w:val="16"/>
                <w:szCs w:val="16"/>
              </w:rPr>
              <w:t>75</w:t>
            </w:r>
          </w:p>
        </w:tc>
      </w:tr>
      <w:tr w:rsidR="00C77743" w:rsidRPr="00C90B69" w14:paraId="4D9636ED" w14:textId="77777777" w:rsidTr="00FC53B5">
        <w:trPr>
          <w:trHeight w:val="552"/>
        </w:trPr>
        <w:tc>
          <w:tcPr>
            <w:tcW w:w="687" w:type="dxa"/>
            <w:shd w:val="clear" w:color="auto" w:fill="auto"/>
            <w:vAlign w:val="center"/>
          </w:tcPr>
          <w:p w14:paraId="3B82862E" w14:textId="01B4DCCA" w:rsidR="00C77743"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HAM</w:t>
            </w:r>
          </w:p>
        </w:tc>
        <w:tc>
          <w:tcPr>
            <w:tcW w:w="2682" w:type="dxa"/>
            <w:shd w:val="clear" w:color="auto" w:fill="auto"/>
            <w:vAlign w:val="center"/>
          </w:tcPr>
          <w:p w14:paraId="19626343" w14:textId="045DC071" w:rsidR="00C77743"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w:t>
            </w:r>
            <w:proofErr w:type="spellStart"/>
            <w:r w:rsidRPr="00FC53B5">
              <w:rPr>
                <w:rFonts w:ascii="Arial" w:hAnsi="Arial" w:cs="Arial"/>
                <w:bCs/>
                <w:sz w:val="16"/>
                <w:szCs w:val="16"/>
              </w:rPr>
              <w:t>Krohnstieg</w:t>
            </w:r>
            <w:proofErr w:type="spellEnd"/>
            <w:r w:rsidRPr="00FC53B5">
              <w:rPr>
                <w:rFonts w:ascii="Arial" w:hAnsi="Arial" w:cs="Arial"/>
                <w:bCs/>
                <w:sz w:val="16"/>
                <w:szCs w:val="16"/>
              </w:rPr>
              <w:t xml:space="preserve"> Center“, </w:t>
            </w:r>
            <w:proofErr w:type="spellStart"/>
            <w:r w:rsidRPr="00FC53B5">
              <w:rPr>
                <w:rFonts w:ascii="Arial" w:hAnsi="Arial" w:cs="Arial"/>
                <w:bCs/>
                <w:sz w:val="16"/>
                <w:szCs w:val="16"/>
              </w:rPr>
              <w:t>Krohnstieg</w:t>
            </w:r>
            <w:proofErr w:type="spellEnd"/>
            <w:r w:rsidRPr="00FC53B5">
              <w:rPr>
                <w:rFonts w:ascii="Arial" w:hAnsi="Arial" w:cs="Arial"/>
                <w:bCs/>
                <w:sz w:val="16"/>
                <w:szCs w:val="16"/>
              </w:rPr>
              <w:t xml:space="preserve"> 41-43</w:t>
            </w:r>
          </w:p>
        </w:tc>
        <w:tc>
          <w:tcPr>
            <w:tcW w:w="2658" w:type="dxa"/>
            <w:shd w:val="clear" w:color="auto" w:fill="auto"/>
            <w:vAlign w:val="center"/>
          </w:tcPr>
          <w:p w14:paraId="6E86BEEE" w14:textId="6D794126" w:rsidR="00C77743"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Hahn Immobilien Beteiligung</w:t>
            </w:r>
          </w:p>
        </w:tc>
        <w:tc>
          <w:tcPr>
            <w:tcW w:w="2190" w:type="dxa"/>
            <w:shd w:val="clear" w:color="auto" w:fill="auto"/>
            <w:vAlign w:val="center"/>
          </w:tcPr>
          <w:p w14:paraId="42579624" w14:textId="3497D620" w:rsidR="00C77743"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HBB Hanseatische Betreuungs- und Beteiligungsgesellschaft</w:t>
            </w:r>
          </w:p>
        </w:tc>
        <w:tc>
          <w:tcPr>
            <w:tcW w:w="1014" w:type="dxa"/>
            <w:shd w:val="clear" w:color="auto" w:fill="auto"/>
            <w:vAlign w:val="center"/>
          </w:tcPr>
          <w:p w14:paraId="3527A949" w14:textId="6671091B" w:rsidR="00C77743"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65</w:t>
            </w:r>
          </w:p>
        </w:tc>
      </w:tr>
      <w:tr w:rsidR="00C77743" w:rsidRPr="00C90B69" w14:paraId="1FD20D42" w14:textId="77777777" w:rsidTr="00FC53B5">
        <w:trPr>
          <w:trHeight w:val="552"/>
        </w:trPr>
        <w:tc>
          <w:tcPr>
            <w:tcW w:w="687" w:type="dxa"/>
            <w:shd w:val="clear" w:color="auto" w:fill="auto"/>
            <w:vAlign w:val="center"/>
          </w:tcPr>
          <w:p w14:paraId="4CA3EA8C" w14:textId="301703A9" w:rsidR="00C77743" w:rsidRPr="00FC53B5" w:rsidRDefault="00C77743" w:rsidP="00C77743">
            <w:pPr>
              <w:widowControl w:val="0"/>
              <w:jc w:val="center"/>
              <w:rPr>
                <w:rFonts w:ascii="Arial" w:hAnsi="Arial" w:cs="Arial"/>
                <w:bCs/>
                <w:sz w:val="16"/>
                <w:szCs w:val="16"/>
              </w:rPr>
            </w:pPr>
            <w:r w:rsidRPr="00FC53B5">
              <w:rPr>
                <w:rFonts w:ascii="Arial" w:hAnsi="Arial" w:cs="Arial"/>
                <w:bCs/>
                <w:sz w:val="16"/>
                <w:szCs w:val="16"/>
              </w:rPr>
              <w:t>HAM</w:t>
            </w:r>
          </w:p>
        </w:tc>
        <w:tc>
          <w:tcPr>
            <w:tcW w:w="2682" w:type="dxa"/>
            <w:shd w:val="clear" w:color="auto" w:fill="auto"/>
            <w:vAlign w:val="center"/>
          </w:tcPr>
          <w:p w14:paraId="4769CFE1" w14:textId="249E249B" w:rsidR="00C77743" w:rsidRPr="00FC53B5" w:rsidRDefault="00C77743" w:rsidP="00F21C81">
            <w:pPr>
              <w:widowControl w:val="0"/>
              <w:jc w:val="center"/>
              <w:rPr>
                <w:rFonts w:ascii="Arial" w:hAnsi="Arial" w:cs="Arial"/>
                <w:bCs/>
                <w:sz w:val="16"/>
                <w:szCs w:val="16"/>
              </w:rPr>
            </w:pPr>
            <w:r w:rsidRPr="00FC53B5">
              <w:rPr>
                <w:rFonts w:ascii="Arial" w:hAnsi="Arial" w:cs="Arial"/>
                <w:bCs/>
                <w:sz w:val="16"/>
                <w:szCs w:val="16"/>
              </w:rPr>
              <w:t>„</w:t>
            </w:r>
            <w:r w:rsidR="00F21C81" w:rsidRPr="00FC53B5">
              <w:rPr>
                <w:rFonts w:ascii="Arial" w:hAnsi="Arial" w:cs="Arial"/>
                <w:bCs/>
                <w:sz w:val="16"/>
                <w:szCs w:val="16"/>
              </w:rPr>
              <w:t>D10 Domkontor</w:t>
            </w:r>
            <w:r w:rsidRPr="00FC53B5">
              <w:rPr>
                <w:rFonts w:ascii="Arial" w:hAnsi="Arial" w:cs="Arial"/>
                <w:bCs/>
                <w:sz w:val="16"/>
                <w:szCs w:val="16"/>
              </w:rPr>
              <w:t xml:space="preserve">“, </w:t>
            </w:r>
            <w:r w:rsidR="00F21C81" w:rsidRPr="00FC53B5">
              <w:rPr>
                <w:rFonts w:ascii="Arial" w:hAnsi="Arial" w:cs="Arial"/>
                <w:bCs/>
                <w:sz w:val="16"/>
                <w:szCs w:val="16"/>
              </w:rPr>
              <w:t>Domstraße 10</w:t>
            </w:r>
          </w:p>
        </w:tc>
        <w:tc>
          <w:tcPr>
            <w:tcW w:w="2658" w:type="dxa"/>
            <w:shd w:val="clear" w:color="auto" w:fill="auto"/>
            <w:vAlign w:val="center"/>
          </w:tcPr>
          <w:p w14:paraId="4158CE78" w14:textId="233031CA" w:rsidR="00C77743" w:rsidRPr="00FC53B5" w:rsidRDefault="00F21C81" w:rsidP="00C77743">
            <w:pPr>
              <w:widowControl w:val="0"/>
              <w:jc w:val="center"/>
              <w:rPr>
                <w:rFonts w:ascii="Arial" w:hAnsi="Arial" w:cs="Arial"/>
                <w:bCs/>
                <w:sz w:val="16"/>
                <w:szCs w:val="16"/>
              </w:rPr>
            </w:pPr>
            <w:proofErr w:type="spellStart"/>
            <w:r w:rsidRPr="00FC53B5">
              <w:rPr>
                <w:rFonts w:ascii="Arial" w:hAnsi="Arial" w:cs="Arial"/>
                <w:bCs/>
                <w:sz w:val="16"/>
                <w:szCs w:val="16"/>
              </w:rPr>
              <w:t>Caleus</w:t>
            </w:r>
            <w:proofErr w:type="spellEnd"/>
            <w:r w:rsidRPr="00FC53B5">
              <w:rPr>
                <w:rFonts w:ascii="Arial" w:hAnsi="Arial" w:cs="Arial"/>
                <w:bCs/>
                <w:sz w:val="16"/>
                <w:szCs w:val="16"/>
              </w:rPr>
              <w:t xml:space="preserve"> Capital Investors</w:t>
            </w:r>
          </w:p>
        </w:tc>
        <w:tc>
          <w:tcPr>
            <w:tcW w:w="2190" w:type="dxa"/>
            <w:shd w:val="clear" w:color="auto" w:fill="auto"/>
            <w:vAlign w:val="center"/>
          </w:tcPr>
          <w:p w14:paraId="06F5A25F" w14:textId="3382FF8C" w:rsidR="00C77743" w:rsidRPr="00FC53B5" w:rsidRDefault="00F21C81" w:rsidP="00C77743">
            <w:pPr>
              <w:widowControl w:val="0"/>
              <w:jc w:val="center"/>
              <w:rPr>
                <w:rFonts w:ascii="Arial" w:hAnsi="Arial" w:cs="Arial"/>
                <w:bCs/>
                <w:sz w:val="16"/>
                <w:szCs w:val="16"/>
              </w:rPr>
            </w:pPr>
            <w:proofErr w:type="spellStart"/>
            <w:r w:rsidRPr="00FC53B5">
              <w:rPr>
                <w:rFonts w:ascii="Arial" w:hAnsi="Arial" w:cs="Arial"/>
                <w:bCs/>
                <w:sz w:val="16"/>
                <w:szCs w:val="16"/>
              </w:rPr>
              <w:t>Savills</w:t>
            </w:r>
            <w:proofErr w:type="spellEnd"/>
            <w:r w:rsidRPr="00FC53B5">
              <w:rPr>
                <w:rFonts w:ascii="Arial" w:hAnsi="Arial" w:cs="Arial"/>
                <w:bCs/>
                <w:sz w:val="16"/>
                <w:szCs w:val="16"/>
              </w:rPr>
              <w:t xml:space="preserve"> Investment Management</w:t>
            </w:r>
          </w:p>
        </w:tc>
        <w:tc>
          <w:tcPr>
            <w:tcW w:w="1014" w:type="dxa"/>
            <w:shd w:val="clear" w:color="auto" w:fill="auto"/>
            <w:vAlign w:val="center"/>
          </w:tcPr>
          <w:p w14:paraId="1862C2A6" w14:textId="0E5A169C" w:rsidR="00C77743" w:rsidRPr="00FC53B5" w:rsidRDefault="00F21C81" w:rsidP="00C77743">
            <w:pPr>
              <w:widowControl w:val="0"/>
              <w:jc w:val="center"/>
              <w:rPr>
                <w:rFonts w:ascii="Arial" w:hAnsi="Arial" w:cs="Arial"/>
                <w:bCs/>
                <w:sz w:val="16"/>
                <w:szCs w:val="16"/>
              </w:rPr>
            </w:pPr>
            <w:r w:rsidRPr="00FC53B5">
              <w:rPr>
                <w:rFonts w:ascii="Arial" w:hAnsi="Arial" w:cs="Arial"/>
                <w:bCs/>
                <w:sz w:val="16"/>
                <w:szCs w:val="16"/>
              </w:rPr>
              <w:t>64</w:t>
            </w:r>
          </w:p>
        </w:tc>
      </w:tr>
      <w:tr w:rsidR="00F21C81" w:rsidRPr="00C90B69" w14:paraId="343A0C66" w14:textId="77777777" w:rsidTr="00FC53B5">
        <w:trPr>
          <w:trHeight w:val="552"/>
        </w:trPr>
        <w:tc>
          <w:tcPr>
            <w:tcW w:w="687" w:type="dxa"/>
            <w:shd w:val="clear" w:color="auto" w:fill="auto"/>
            <w:vAlign w:val="center"/>
          </w:tcPr>
          <w:p w14:paraId="5DBDF40B" w14:textId="77B36C77" w:rsidR="00F21C81" w:rsidRPr="00FC53B5" w:rsidRDefault="00F21C81" w:rsidP="00C77743">
            <w:pPr>
              <w:widowControl w:val="0"/>
              <w:jc w:val="center"/>
              <w:rPr>
                <w:rFonts w:ascii="Arial" w:hAnsi="Arial" w:cs="Arial"/>
                <w:bCs/>
                <w:sz w:val="16"/>
                <w:szCs w:val="16"/>
              </w:rPr>
            </w:pPr>
            <w:r w:rsidRPr="00FC53B5">
              <w:rPr>
                <w:rFonts w:ascii="Arial" w:hAnsi="Arial" w:cs="Arial"/>
                <w:bCs/>
                <w:sz w:val="16"/>
                <w:szCs w:val="16"/>
              </w:rPr>
              <w:t>MUC</w:t>
            </w:r>
          </w:p>
        </w:tc>
        <w:tc>
          <w:tcPr>
            <w:tcW w:w="2682" w:type="dxa"/>
            <w:shd w:val="clear" w:color="auto" w:fill="auto"/>
            <w:vAlign w:val="center"/>
          </w:tcPr>
          <w:p w14:paraId="0F0BE5FB" w14:textId="77777777" w:rsidR="00584FB6" w:rsidRDefault="00F21C81" w:rsidP="00F21C81">
            <w:pPr>
              <w:widowControl w:val="0"/>
              <w:jc w:val="center"/>
              <w:rPr>
                <w:rFonts w:ascii="Arial" w:hAnsi="Arial" w:cs="Arial"/>
                <w:bCs/>
                <w:sz w:val="16"/>
                <w:szCs w:val="16"/>
              </w:rPr>
            </w:pPr>
            <w:r w:rsidRPr="00FC53B5">
              <w:rPr>
                <w:rFonts w:ascii="Arial" w:hAnsi="Arial" w:cs="Arial"/>
                <w:bCs/>
                <w:sz w:val="16"/>
                <w:szCs w:val="16"/>
              </w:rPr>
              <w:t xml:space="preserve">„Bogner Zentrale“, </w:t>
            </w:r>
          </w:p>
          <w:p w14:paraId="5B48257B" w14:textId="4D74A5DD" w:rsidR="00F21C81" w:rsidRPr="00FC53B5" w:rsidRDefault="00F21C81" w:rsidP="00F21C81">
            <w:pPr>
              <w:widowControl w:val="0"/>
              <w:jc w:val="center"/>
              <w:rPr>
                <w:rFonts w:ascii="Arial" w:hAnsi="Arial" w:cs="Arial"/>
                <w:bCs/>
                <w:sz w:val="16"/>
                <w:szCs w:val="16"/>
              </w:rPr>
            </w:pPr>
            <w:r w:rsidRPr="00FC53B5">
              <w:rPr>
                <w:rFonts w:ascii="Arial" w:hAnsi="Arial" w:cs="Arial"/>
                <w:bCs/>
                <w:sz w:val="16"/>
                <w:szCs w:val="16"/>
              </w:rPr>
              <w:t>St.-Veit-Straße 4</w:t>
            </w:r>
          </w:p>
        </w:tc>
        <w:tc>
          <w:tcPr>
            <w:tcW w:w="2658" w:type="dxa"/>
            <w:shd w:val="clear" w:color="auto" w:fill="auto"/>
            <w:vAlign w:val="center"/>
          </w:tcPr>
          <w:p w14:paraId="79D2D791" w14:textId="5EC6DEBE" w:rsidR="00F21C81" w:rsidRPr="00FC53B5" w:rsidRDefault="00F21C81" w:rsidP="00C77743">
            <w:pPr>
              <w:widowControl w:val="0"/>
              <w:jc w:val="center"/>
              <w:rPr>
                <w:rFonts w:ascii="Arial" w:hAnsi="Arial" w:cs="Arial"/>
                <w:bCs/>
                <w:sz w:val="16"/>
                <w:szCs w:val="16"/>
              </w:rPr>
            </w:pPr>
            <w:r w:rsidRPr="00FC53B5">
              <w:rPr>
                <w:rFonts w:ascii="Arial" w:hAnsi="Arial" w:cs="Arial"/>
                <w:bCs/>
                <w:sz w:val="16"/>
                <w:szCs w:val="16"/>
              </w:rPr>
              <w:t>UBM</w:t>
            </w:r>
          </w:p>
        </w:tc>
        <w:tc>
          <w:tcPr>
            <w:tcW w:w="2190" w:type="dxa"/>
            <w:shd w:val="clear" w:color="auto" w:fill="auto"/>
            <w:vAlign w:val="center"/>
          </w:tcPr>
          <w:p w14:paraId="28A4C77E" w14:textId="0D5CA8F0" w:rsidR="00F21C81" w:rsidRPr="00FC53B5" w:rsidRDefault="00F21C81" w:rsidP="00C77743">
            <w:pPr>
              <w:widowControl w:val="0"/>
              <w:jc w:val="center"/>
              <w:rPr>
                <w:rFonts w:ascii="Arial" w:hAnsi="Arial" w:cs="Arial"/>
                <w:bCs/>
                <w:sz w:val="16"/>
                <w:szCs w:val="16"/>
              </w:rPr>
            </w:pPr>
            <w:r w:rsidRPr="00FC53B5">
              <w:rPr>
                <w:rFonts w:ascii="Arial" w:hAnsi="Arial" w:cs="Arial"/>
                <w:bCs/>
                <w:sz w:val="16"/>
                <w:szCs w:val="16"/>
              </w:rPr>
              <w:t>Bogner</w:t>
            </w:r>
          </w:p>
        </w:tc>
        <w:tc>
          <w:tcPr>
            <w:tcW w:w="1014" w:type="dxa"/>
            <w:shd w:val="clear" w:color="auto" w:fill="auto"/>
            <w:vAlign w:val="center"/>
          </w:tcPr>
          <w:p w14:paraId="54860351" w14:textId="62BCDC6B" w:rsidR="00F21C81" w:rsidRPr="00FC53B5" w:rsidRDefault="00FC53B5" w:rsidP="00C77743">
            <w:pPr>
              <w:widowControl w:val="0"/>
              <w:jc w:val="center"/>
              <w:rPr>
                <w:rFonts w:ascii="Arial" w:hAnsi="Arial" w:cs="Arial"/>
                <w:bCs/>
                <w:sz w:val="16"/>
                <w:szCs w:val="16"/>
              </w:rPr>
            </w:pPr>
            <w:r w:rsidRPr="00FC53B5">
              <w:rPr>
                <w:rFonts w:ascii="Arial" w:hAnsi="Arial" w:cs="Arial"/>
                <w:bCs/>
                <w:sz w:val="16"/>
                <w:szCs w:val="16"/>
              </w:rPr>
              <w:t>55</w:t>
            </w:r>
          </w:p>
        </w:tc>
      </w:tr>
      <w:tr w:rsidR="00C77743" w:rsidRPr="00C90B69" w14:paraId="585CD898" w14:textId="77777777" w:rsidTr="00280AC0">
        <w:trPr>
          <w:trHeight w:val="70"/>
        </w:trPr>
        <w:tc>
          <w:tcPr>
            <w:tcW w:w="687" w:type="dxa"/>
            <w:shd w:val="clear" w:color="auto" w:fill="7F7F7F" w:themeFill="text1" w:themeFillTint="80"/>
            <w:vAlign w:val="center"/>
          </w:tcPr>
          <w:p w14:paraId="237F7A44" w14:textId="476195D6" w:rsidR="00C77743" w:rsidRPr="00FC53B5" w:rsidRDefault="00C77743" w:rsidP="00C77743">
            <w:pPr>
              <w:widowControl w:val="0"/>
              <w:jc w:val="center"/>
              <w:rPr>
                <w:rFonts w:ascii="Arial" w:hAnsi="Arial" w:cs="Arial"/>
                <w:bCs/>
                <w:color w:val="FF0000"/>
                <w:sz w:val="16"/>
                <w:szCs w:val="16"/>
              </w:rPr>
            </w:pPr>
          </w:p>
        </w:tc>
        <w:tc>
          <w:tcPr>
            <w:tcW w:w="2682" w:type="dxa"/>
            <w:shd w:val="clear" w:color="auto" w:fill="7F7F7F" w:themeFill="text1" w:themeFillTint="80"/>
            <w:vAlign w:val="center"/>
          </w:tcPr>
          <w:p w14:paraId="6C8247EF" w14:textId="396DE11B" w:rsidR="00C77743" w:rsidRPr="00FC53B5" w:rsidRDefault="00C77743" w:rsidP="00C77743">
            <w:pPr>
              <w:widowControl w:val="0"/>
              <w:jc w:val="center"/>
              <w:rPr>
                <w:rFonts w:ascii="Arial" w:hAnsi="Arial" w:cs="Arial"/>
                <w:bCs/>
                <w:color w:val="FF0000"/>
                <w:sz w:val="16"/>
                <w:szCs w:val="16"/>
              </w:rPr>
            </w:pPr>
          </w:p>
        </w:tc>
        <w:tc>
          <w:tcPr>
            <w:tcW w:w="2658" w:type="dxa"/>
            <w:shd w:val="clear" w:color="auto" w:fill="7F7F7F" w:themeFill="text1" w:themeFillTint="80"/>
            <w:vAlign w:val="center"/>
          </w:tcPr>
          <w:p w14:paraId="5D0E95BB" w14:textId="40BD4E33" w:rsidR="00C77743" w:rsidRPr="00FC53B5" w:rsidRDefault="00C77743" w:rsidP="00C77743">
            <w:pPr>
              <w:widowControl w:val="0"/>
              <w:jc w:val="center"/>
              <w:rPr>
                <w:rFonts w:ascii="Arial" w:hAnsi="Arial" w:cs="Arial"/>
                <w:bCs/>
                <w:color w:val="FF0000"/>
                <w:sz w:val="16"/>
                <w:szCs w:val="16"/>
              </w:rPr>
            </w:pPr>
          </w:p>
        </w:tc>
        <w:tc>
          <w:tcPr>
            <w:tcW w:w="2190" w:type="dxa"/>
            <w:shd w:val="clear" w:color="auto" w:fill="7F7F7F" w:themeFill="text1" w:themeFillTint="80"/>
            <w:vAlign w:val="center"/>
          </w:tcPr>
          <w:p w14:paraId="13931528" w14:textId="51E45C7F" w:rsidR="00C77743" w:rsidRPr="00FC53B5" w:rsidRDefault="00C77743" w:rsidP="00C77743">
            <w:pPr>
              <w:widowControl w:val="0"/>
              <w:jc w:val="center"/>
              <w:rPr>
                <w:rFonts w:ascii="Arial" w:hAnsi="Arial" w:cs="Arial"/>
                <w:bCs/>
                <w:color w:val="FF0000"/>
                <w:sz w:val="16"/>
                <w:szCs w:val="16"/>
              </w:rPr>
            </w:pPr>
          </w:p>
        </w:tc>
        <w:tc>
          <w:tcPr>
            <w:tcW w:w="1014" w:type="dxa"/>
            <w:shd w:val="clear" w:color="auto" w:fill="7F7F7F" w:themeFill="text1" w:themeFillTint="80"/>
            <w:vAlign w:val="center"/>
          </w:tcPr>
          <w:p w14:paraId="0C9F5A6E" w14:textId="49A173CD" w:rsidR="00C77743" w:rsidRPr="00FC53B5" w:rsidRDefault="00C77743" w:rsidP="00C77743">
            <w:pPr>
              <w:widowControl w:val="0"/>
              <w:jc w:val="center"/>
              <w:rPr>
                <w:rFonts w:ascii="Arial" w:hAnsi="Arial" w:cs="Arial"/>
                <w:bCs/>
                <w:color w:val="FF0000"/>
                <w:sz w:val="16"/>
                <w:szCs w:val="16"/>
              </w:rPr>
            </w:pPr>
          </w:p>
        </w:tc>
      </w:tr>
      <w:tr w:rsidR="00C77743" w:rsidRPr="00C90B69" w14:paraId="6AFBCA3C" w14:textId="77777777" w:rsidTr="00FC53B5">
        <w:trPr>
          <w:trHeight w:val="552"/>
        </w:trPr>
        <w:tc>
          <w:tcPr>
            <w:tcW w:w="687" w:type="dxa"/>
            <w:shd w:val="clear" w:color="auto" w:fill="auto"/>
            <w:vAlign w:val="center"/>
          </w:tcPr>
          <w:p w14:paraId="7CEE269E" w14:textId="75DD3D2C" w:rsidR="00C77743" w:rsidRPr="00FC53B5" w:rsidRDefault="00C77743" w:rsidP="00C77743">
            <w:pPr>
              <w:widowControl w:val="0"/>
              <w:jc w:val="center"/>
              <w:rPr>
                <w:rFonts w:ascii="Arial" w:hAnsi="Arial" w:cs="Arial"/>
                <w:bCs/>
                <w:color w:val="FF0000"/>
                <w:sz w:val="16"/>
                <w:szCs w:val="16"/>
              </w:rPr>
            </w:pPr>
            <w:r w:rsidRPr="00FC53B5">
              <w:rPr>
                <w:rFonts w:ascii="Arial" w:hAnsi="Arial" w:cs="Arial"/>
                <w:sz w:val="16"/>
                <w:szCs w:val="16"/>
              </w:rPr>
              <w:t>BER</w:t>
            </w:r>
          </w:p>
        </w:tc>
        <w:tc>
          <w:tcPr>
            <w:tcW w:w="2682" w:type="dxa"/>
            <w:shd w:val="clear" w:color="auto" w:fill="auto"/>
            <w:vAlign w:val="center"/>
          </w:tcPr>
          <w:p w14:paraId="574C6EB6" w14:textId="3DCDBCC5" w:rsidR="00C77743" w:rsidRPr="00FC53B5" w:rsidRDefault="00C77743" w:rsidP="00C77743">
            <w:pPr>
              <w:widowControl w:val="0"/>
              <w:jc w:val="center"/>
              <w:rPr>
                <w:rFonts w:ascii="Arial" w:hAnsi="Arial" w:cs="Arial"/>
                <w:bCs/>
                <w:color w:val="FF0000"/>
                <w:sz w:val="16"/>
                <w:szCs w:val="16"/>
              </w:rPr>
            </w:pPr>
            <w:r w:rsidRPr="00FC53B5">
              <w:rPr>
                <w:rFonts w:ascii="Arial" w:hAnsi="Arial" w:cs="Arial"/>
                <w:sz w:val="16"/>
                <w:szCs w:val="16"/>
              </w:rPr>
              <w:t>„Alte Post“, Karl-Marx-Straße 97-99</w:t>
            </w:r>
          </w:p>
        </w:tc>
        <w:tc>
          <w:tcPr>
            <w:tcW w:w="2658" w:type="dxa"/>
            <w:shd w:val="clear" w:color="auto" w:fill="auto"/>
            <w:vAlign w:val="center"/>
          </w:tcPr>
          <w:p w14:paraId="2A402AF0" w14:textId="6EC7CACB" w:rsidR="00C77743" w:rsidRPr="00FC53B5" w:rsidRDefault="00C77743" w:rsidP="00C77743">
            <w:pPr>
              <w:widowControl w:val="0"/>
              <w:jc w:val="center"/>
              <w:rPr>
                <w:rFonts w:ascii="Arial" w:hAnsi="Arial" w:cs="Arial"/>
                <w:bCs/>
                <w:color w:val="FF0000"/>
                <w:sz w:val="16"/>
                <w:szCs w:val="16"/>
              </w:rPr>
            </w:pPr>
            <w:proofErr w:type="spellStart"/>
            <w:r w:rsidRPr="00FC53B5">
              <w:rPr>
                <w:rFonts w:ascii="Arial" w:hAnsi="Arial" w:cs="Arial"/>
                <w:sz w:val="16"/>
                <w:szCs w:val="16"/>
              </w:rPr>
              <w:t>Ivanhoé</w:t>
            </w:r>
            <w:proofErr w:type="spellEnd"/>
            <w:r w:rsidRPr="00FC53B5">
              <w:rPr>
                <w:rFonts w:ascii="Arial" w:hAnsi="Arial" w:cs="Arial"/>
                <w:sz w:val="16"/>
                <w:szCs w:val="16"/>
              </w:rPr>
              <w:t xml:space="preserve"> Cambridge</w:t>
            </w:r>
          </w:p>
        </w:tc>
        <w:tc>
          <w:tcPr>
            <w:tcW w:w="2190" w:type="dxa"/>
            <w:shd w:val="clear" w:color="auto" w:fill="auto"/>
            <w:vAlign w:val="center"/>
          </w:tcPr>
          <w:p w14:paraId="7ABC0576" w14:textId="1818CBA8" w:rsidR="00C77743" w:rsidRPr="00FC53B5" w:rsidRDefault="00C77743" w:rsidP="00C77743">
            <w:pPr>
              <w:widowControl w:val="0"/>
              <w:jc w:val="center"/>
              <w:rPr>
                <w:rFonts w:ascii="Arial" w:hAnsi="Arial" w:cs="Arial"/>
                <w:bCs/>
                <w:color w:val="FF0000"/>
                <w:sz w:val="16"/>
                <w:szCs w:val="16"/>
              </w:rPr>
            </w:pPr>
            <w:r w:rsidRPr="00FC53B5">
              <w:rPr>
                <w:rFonts w:ascii="Arial" w:hAnsi="Arial" w:cs="Arial"/>
                <w:sz w:val="16"/>
                <w:szCs w:val="16"/>
              </w:rPr>
              <w:t>Commodus Real Estate</w:t>
            </w:r>
          </w:p>
        </w:tc>
        <w:tc>
          <w:tcPr>
            <w:tcW w:w="1014" w:type="dxa"/>
            <w:shd w:val="clear" w:color="auto" w:fill="auto"/>
            <w:vAlign w:val="center"/>
          </w:tcPr>
          <w:p w14:paraId="1A2A7CA0" w14:textId="45EEDAD7" w:rsidR="00C77743" w:rsidRPr="00FC53B5" w:rsidRDefault="00C77743" w:rsidP="00C77743">
            <w:pPr>
              <w:widowControl w:val="0"/>
              <w:jc w:val="center"/>
              <w:rPr>
                <w:rFonts w:ascii="Arial" w:hAnsi="Arial" w:cs="Arial"/>
                <w:bCs/>
                <w:color w:val="FF0000"/>
                <w:sz w:val="16"/>
                <w:szCs w:val="16"/>
              </w:rPr>
            </w:pPr>
            <w:r w:rsidRPr="00FC53B5">
              <w:rPr>
                <w:rFonts w:ascii="Arial" w:hAnsi="Arial" w:cs="Arial"/>
                <w:sz w:val="16"/>
                <w:szCs w:val="16"/>
              </w:rPr>
              <w:t>Vertraulich</w:t>
            </w:r>
          </w:p>
        </w:tc>
      </w:tr>
    </w:tbl>
    <w:p w14:paraId="522DDABE" w14:textId="6D57BC37" w:rsidR="006A0566" w:rsidRPr="00124162" w:rsidRDefault="006A0566" w:rsidP="006A0566">
      <w:pPr>
        <w:widowControl w:val="0"/>
        <w:spacing w:after="0"/>
        <w:rPr>
          <w:rFonts w:ascii="Arial" w:hAnsi="Arial" w:cs="Arial"/>
          <w:sz w:val="16"/>
          <w:szCs w:val="16"/>
          <w:lang w:val="en-GB"/>
        </w:rPr>
      </w:pPr>
      <w:proofErr w:type="spellStart"/>
      <w:r w:rsidRPr="00124162">
        <w:rPr>
          <w:rFonts w:ascii="Arial" w:hAnsi="Arial" w:cs="Arial"/>
          <w:sz w:val="16"/>
          <w:szCs w:val="16"/>
          <w:lang w:val="en-GB"/>
        </w:rPr>
        <w:t>Quelle</w:t>
      </w:r>
      <w:proofErr w:type="spellEnd"/>
      <w:r w:rsidRPr="00124162">
        <w:rPr>
          <w:rFonts w:ascii="Arial" w:hAnsi="Arial" w:cs="Arial"/>
          <w:sz w:val="16"/>
          <w:szCs w:val="16"/>
          <w:lang w:val="en-GB"/>
        </w:rPr>
        <w:t>: German Property Partners (GPP)</w:t>
      </w:r>
    </w:p>
    <w:p w14:paraId="66A10177" w14:textId="3F8FBC0A" w:rsidR="00A4078F" w:rsidRDefault="00A4078F" w:rsidP="00DD4941">
      <w:pPr>
        <w:widowControl w:val="0"/>
        <w:spacing w:after="0"/>
        <w:rPr>
          <w:rFonts w:ascii="Arial" w:hAnsi="Arial" w:cs="Arial"/>
          <w:sz w:val="16"/>
          <w:szCs w:val="16"/>
          <w:lang w:val="en-GB"/>
        </w:rPr>
      </w:pPr>
    </w:p>
    <w:p w14:paraId="082D94B1" w14:textId="77777777" w:rsidR="00A30AB0" w:rsidRPr="00124162" w:rsidRDefault="00A30AB0" w:rsidP="00DD4941">
      <w:pPr>
        <w:widowControl w:val="0"/>
        <w:spacing w:after="0"/>
        <w:rPr>
          <w:rFonts w:ascii="Arial" w:hAnsi="Arial" w:cs="Arial"/>
          <w:sz w:val="16"/>
          <w:szCs w:val="16"/>
          <w:lang w:val="en-GB"/>
        </w:rPr>
      </w:pPr>
    </w:p>
    <w:p w14:paraId="26EA443F" w14:textId="7FEBDE8A" w:rsidR="006A0566" w:rsidRDefault="006A0566" w:rsidP="006A0566">
      <w:pPr>
        <w:widowControl w:val="0"/>
        <w:spacing w:after="0"/>
        <w:jc w:val="both"/>
        <w:rPr>
          <w:rFonts w:ascii="Arial" w:hAnsi="Arial" w:cs="Arial"/>
          <w:b/>
          <w:sz w:val="20"/>
          <w:szCs w:val="20"/>
        </w:rPr>
      </w:pPr>
      <w:r w:rsidRPr="00124162">
        <w:rPr>
          <w:rFonts w:ascii="Arial" w:hAnsi="Arial" w:cs="Arial"/>
          <w:b/>
          <w:sz w:val="20"/>
          <w:szCs w:val="20"/>
          <w:lang w:val="en-GB"/>
        </w:rPr>
        <w:t xml:space="preserve">Top-7-Standorte | </w:t>
      </w:r>
      <w:r w:rsidR="00B40217">
        <w:rPr>
          <w:rFonts w:ascii="Arial" w:hAnsi="Arial" w:cs="Arial"/>
          <w:b/>
          <w:sz w:val="20"/>
          <w:szCs w:val="20"/>
          <w:lang w:val="en-GB"/>
        </w:rPr>
        <w:t>1</w:t>
      </w:r>
      <w:r w:rsidRPr="00124162">
        <w:rPr>
          <w:rFonts w:ascii="Arial" w:hAnsi="Arial" w:cs="Arial"/>
          <w:b/>
          <w:sz w:val="20"/>
          <w:szCs w:val="20"/>
          <w:lang w:val="en-GB"/>
        </w:rPr>
        <w:t xml:space="preserve">. </w:t>
      </w:r>
      <w:r w:rsidRPr="00487ECE">
        <w:rPr>
          <w:rFonts w:ascii="Arial" w:hAnsi="Arial" w:cs="Arial"/>
          <w:b/>
          <w:sz w:val="20"/>
          <w:szCs w:val="20"/>
        </w:rPr>
        <w:t>Quartal 20</w:t>
      </w:r>
      <w:r w:rsidR="00B40217">
        <w:rPr>
          <w:rFonts w:ascii="Arial" w:hAnsi="Arial" w:cs="Arial"/>
          <w:b/>
          <w:sz w:val="20"/>
          <w:szCs w:val="20"/>
        </w:rPr>
        <w:t>21</w:t>
      </w:r>
    </w:p>
    <w:tbl>
      <w:tblPr>
        <w:tblStyle w:val="TableGrid2"/>
        <w:tblW w:w="0" w:type="auto"/>
        <w:tblLook w:val="04A0" w:firstRow="1" w:lastRow="0" w:firstColumn="1" w:lastColumn="0" w:noHBand="0" w:noVBand="1"/>
      </w:tblPr>
      <w:tblGrid>
        <w:gridCol w:w="1901"/>
        <w:gridCol w:w="801"/>
        <w:gridCol w:w="798"/>
        <w:gridCol w:w="908"/>
        <w:gridCol w:w="1133"/>
        <w:gridCol w:w="911"/>
        <w:gridCol w:w="907"/>
        <w:gridCol w:w="915"/>
        <w:gridCol w:w="788"/>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TAV</w:t>
            </w:r>
          </w:p>
          <w:p w14:paraId="6009DF5B"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75CA8E5B" w14:textId="0D53D551" w:rsidR="006A0566" w:rsidRPr="00424A11" w:rsidRDefault="004815B7" w:rsidP="00AA7124">
            <w:pPr>
              <w:widowControl w:val="0"/>
              <w:jc w:val="center"/>
              <w:rPr>
                <w:rFonts w:ascii="Arial" w:hAnsi="Arial" w:cs="Arial"/>
                <w:sz w:val="16"/>
                <w:szCs w:val="16"/>
              </w:rPr>
            </w:pPr>
            <w:r w:rsidRPr="00424A11">
              <w:rPr>
                <w:rFonts w:ascii="Arial" w:hAnsi="Arial" w:cs="Arial"/>
                <w:sz w:val="16"/>
                <w:szCs w:val="16"/>
              </w:rPr>
              <w:t>700</w:t>
            </w:r>
          </w:p>
        </w:tc>
        <w:tc>
          <w:tcPr>
            <w:tcW w:w="816" w:type="dxa"/>
            <w:vAlign w:val="center"/>
          </w:tcPr>
          <w:p w14:paraId="76C43343" w14:textId="40AD6327" w:rsidR="006A0566" w:rsidRPr="003A29FA" w:rsidRDefault="004815B7" w:rsidP="00CB4698">
            <w:pPr>
              <w:widowControl w:val="0"/>
              <w:jc w:val="center"/>
              <w:rPr>
                <w:rFonts w:ascii="Arial" w:hAnsi="Arial" w:cs="Arial"/>
                <w:sz w:val="16"/>
                <w:szCs w:val="16"/>
                <w:highlight w:val="yellow"/>
                <w:u w:val="single"/>
              </w:rPr>
            </w:pPr>
            <w:r w:rsidRPr="003A29FA">
              <w:rPr>
                <w:rFonts w:ascii="Arial" w:hAnsi="Arial" w:cs="Arial"/>
                <w:sz w:val="16"/>
                <w:szCs w:val="16"/>
                <w:u w:val="single"/>
              </w:rPr>
              <w:t>850</w:t>
            </w:r>
          </w:p>
        </w:tc>
        <w:tc>
          <w:tcPr>
            <w:tcW w:w="933" w:type="dxa"/>
            <w:vAlign w:val="center"/>
          </w:tcPr>
          <w:p w14:paraId="5FEF9B6E" w14:textId="0E187D86" w:rsidR="006A0566" w:rsidRPr="00424A11" w:rsidRDefault="004815B7" w:rsidP="00CB4698">
            <w:pPr>
              <w:widowControl w:val="0"/>
              <w:jc w:val="center"/>
              <w:rPr>
                <w:rFonts w:ascii="Arial" w:hAnsi="Arial" w:cs="Arial"/>
                <w:sz w:val="16"/>
                <w:szCs w:val="16"/>
                <w:highlight w:val="yellow"/>
              </w:rPr>
            </w:pPr>
            <w:r w:rsidRPr="00424A11">
              <w:rPr>
                <w:rFonts w:ascii="Arial" w:hAnsi="Arial" w:cs="Arial"/>
                <w:sz w:val="16"/>
                <w:szCs w:val="16"/>
              </w:rPr>
              <w:t>200</w:t>
            </w:r>
          </w:p>
        </w:tc>
        <w:tc>
          <w:tcPr>
            <w:tcW w:w="937" w:type="dxa"/>
            <w:vAlign w:val="center"/>
          </w:tcPr>
          <w:p w14:paraId="062AC22D" w14:textId="7F57700F" w:rsidR="006A0566" w:rsidRPr="00424A11" w:rsidRDefault="004815B7" w:rsidP="00CB4698">
            <w:pPr>
              <w:widowControl w:val="0"/>
              <w:jc w:val="center"/>
              <w:rPr>
                <w:rFonts w:ascii="Arial" w:hAnsi="Arial" w:cs="Arial"/>
                <w:sz w:val="16"/>
                <w:szCs w:val="16"/>
              </w:rPr>
            </w:pPr>
            <w:r w:rsidRPr="00424A11">
              <w:rPr>
                <w:rFonts w:ascii="Arial" w:hAnsi="Arial" w:cs="Arial"/>
                <w:sz w:val="16"/>
                <w:szCs w:val="16"/>
              </w:rPr>
              <w:t>200</w:t>
            </w:r>
          </w:p>
        </w:tc>
        <w:tc>
          <w:tcPr>
            <w:tcW w:w="937" w:type="dxa"/>
            <w:vAlign w:val="center"/>
          </w:tcPr>
          <w:p w14:paraId="3167EB73" w14:textId="3185652A" w:rsidR="006A0566" w:rsidRPr="002C7BE0" w:rsidRDefault="00506B59" w:rsidP="00CB4698">
            <w:pPr>
              <w:widowControl w:val="0"/>
              <w:jc w:val="center"/>
              <w:rPr>
                <w:rFonts w:ascii="Arial" w:hAnsi="Arial" w:cs="Arial"/>
                <w:sz w:val="16"/>
                <w:szCs w:val="16"/>
              </w:rPr>
            </w:pPr>
            <w:r w:rsidRPr="002C7BE0">
              <w:rPr>
                <w:rFonts w:ascii="Arial" w:hAnsi="Arial" w:cs="Arial"/>
                <w:sz w:val="16"/>
                <w:szCs w:val="16"/>
              </w:rPr>
              <w:t>852</w:t>
            </w:r>
          </w:p>
        </w:tc>
        <w:tc>
          <w:tcPr>
            <w:tcW w:w="932" w:type="dxa"/>
            <w:vAlign w:val="center"/>
          </w:tcPr>
          <w:p w14:paraId="7AC06FF8" w14:textId="29BBBF3F" w:rsidR="006A0566" w:rsidRPr="002C7BE0" w:rsidRDefault="004815B7" w:rsidP="00CB4698">
            <w:pPr>
              <w:widowControl w:val="0"/>
              <w:jc w:val="center"/>
              <w:rPr>
                <w:rFonts w:ascii="Arial" w:hAnsi="Arial" w:cs="Arial"/>
                <w:sz w:val="16"/>
                <w:szCs w:val="16"/>
              </w:rPr>
            </w:pPr>
            <w:r w:rsidRPr="002C7BE0">
              <w:rPr>
                <w:rFonts w:ascii="Arial" w:hAnsi="Arial" w:cs="Arial"/>
                <w:sz w:val="16"/>
                <w:szCs w:val="16"/>
              </w:rPr>
              <w:t>245</w:t>
            </w:r>
          </w:p>
        </w:tc>
        <w:tc>
          <w:tcPr>
            <w:tcW w:w="936" w:type="dxa"/>
            <w:shd w:val="clear" w:color="auto" w:fill="auto"/>
            <w:vAlign w:val="center"/>
          </w:tcPr>
          <w:p w14:paraId="43946B17" w14:textId="07F2B390" w:rsidR="006A0566" w:rsidRPr="002C7BE0" w:rsidRDefault="004815B7" w:rsidP="00CB4698">
            <w:pPr>
              <w:widowControl w:val="0"/>
              <w:jc w:val="center"/>
              <w:rPr>
                <w:rFonts w:ascii="Arial" w:hAnsi="Arial" w:cs="Arial"/>
                <w:sz w:val="16"/>
                <w:szCs w:val="16"/>
              </w:rPr>
            </w:pPr>
            <w:r w:rsidRPr="002C7BE0">
              <w:rPr>
                <w:rFonts w:ascii="Arial" w:hAnsi="Arial" w:cs="Arial"/>
                <w:sz w:val="16"/>
                <w:szCs w:val="16"/>
              </w:rPr>
              <w:t>397</w:t>
            </w:r>
          </w:p>
        </w:tc>
        <w:tc>
          <w:tcPr>
            <w:tcW w:w="800" w:type="dxa"/>
            <w:vAlign w:val="center"/>
          </w:tcPr>
          <w:p w14:paraId="2FDD1DB5" w14:textId="0E79811E" w:rsidR="006A0566" w:rsidRPr="002C7BE0" w:rsidRDefault="000F2F0E" w:rsidP="00F374EE">
            <w:pPr>
              <w:widowControl w:val="0"/>
              <w:jc w:val="center"/>
              <w:rPr>
                <w:rFonts w:ascii="Arial" w:hAnsi="Arial" w:cs="Arial"/>
                <w:b/>
                <w:sz w:val="16"/>
                <w:szCs w:val="16"/>
              </w:rPr>
            </w:pPr>
            <w:r w:rsidRPr="002C7BE0">
              <w:rPr>
                <w:rFonts w:ascii="Arial" w:hAnsi="Arial" w:cs="Arial"/>
                <w:b/>
                <w:sz w:val="16"/>
                <w:szCs w:val="16"/>
              </w:rPr>
              <w:t>3.444</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Veränderung</w:t>
            </w:r>
          </w:p>
          <w:p w14:paraId="2FCBBF14" w14:textId="77777777" w:rsidR="006A0566" w:rsidRPr="006F49D0" w:rsidRDefault="006A0566" w:rsidP="00CB4698">
            <w:pPr>
              <w:widowControl w:val="0"/>
              <w:jc w:val="both"/>
              <w:rPr>
                <w:rFonts w:ascii="Arial" w:hAnsi="Arial" w:cs="Arial"/>
                <w:b/>
                <w:sz w:val="16"/>
                <w:szCs w:val="16"/>
              </w:rPr>
            </w:pPr>
            <w:proofErr w:type="spellStart"/>
            <w:r w:rsidRPr="00184A11">
              <w:rPr>
                <w:rFonts w:ascii="Arial" w:hAnsi="Arial" w:cs="Arial"/>
                <w:sz w:val="16"/>
                <w:szCs w:val="16"/>
              </w:rPr>
              <w:t>ggü</w:t>
            </w:r>
            <w:proofErr w:type="spellEnd"/>
            <w:r w:rsidRPr="00184A11">
              <w:rPr>
                <w:rFonts w:ascii="Arial" w:hAnsi="Arial" w:cs="Arial"/>
                <w:sz w:val="16"/>
                <w:szCs w:val="16"/>
              </w:rPr>
              <w:t>. Vorjahr</w:t>
            </w:r>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366E421A" w14:textId="50AF934C" w:rsidR="006A0566" w:rsidRPr="00424A11" w:rsidRDefault="004815B7" w:rsidP="00CB4698">
            <w:pPr>
              <w:widowControl w:val="0"/>
              <w:jc w:val="center"/>
              <w:rPr>
                <w:rFonts w:ascii="Arial" w:hAnsi="Arial" w:cs="Arial"/>
                <w:sz w:val="16"/>
                <w:szCs w:val="16"/>
              </w:rPr>
            </w:pPr>
            <w:r w:rsidRPr="00424A11">
              <w:rPr>
                <w:rFonts w:ascii="Arial" w:hAnsi="Arial" w:cs="Arial"/>
                <w:sz w:val="16"/>
                <w:szCs w:val="16"/>
              </w:rPr>
              <w:t>-28</w:t>
            </w:r>
          </w:p>
        </w:tc>
        <w:tc>
          <w:tcPr>
            <w:tcW w:w="816" w:type="dxa"/>
            <w:vAlign w:val="center"/>
          </w:tcPr>
          <w:p w14:paraId="3EEA9F22" w14:textId="6A04DA93" w:rsidR="006A0566" w:rsidRPr="00424A11" w:rsidRDefault="004815B7" w:rsidP="00CB4698">
            <w:pPr>
              <w:widowControl w:val="0"/>
              <w:jc w:val="center"/>
              <w:rPr>
                <w:rFonts w:ascii="Arial" w:hAnsi="Arial" w:cs="Arial"/>
                <w:sz w:val="16"/>
                <w:szCs w:val="16"/>
                <w:highlight w:val="yellow"/>
              </w:rPr>
            </w:pPr>
            <w:r w:rsidRPr="00424A11">
              <w:rPr>
                <w:rFonts w:ascii="Arial" w:hAnsi="Arial" w:cs="Arial"/>
                <w:sz w:val="16"/>
                <w:szCs w:val="16"/>
              </w:rPr>
              <w:t>-67</w:t>
            </w:r>
          </w:p>
        </w:tc>
        <w:tc>
          <w:tcPr>
            <w:tcW w:w="933" w:type="dxa"/>
            <w:vAlign w:val="center"/>
          </w:tcPr>
          <w:p w14:paraId="49E7C453" w14:textId="74589FA7" w:rsidR="006A0566" w:rsidRPr="003A29FA" w:rsidRDefault="004815B7" w:rsidP="00CB4698">
            <w:pPr>
              <w:widowControl w:val="0"/>
              <w:jc w:val="center"/>
              <w:rPr>
                <w:rFonts w:ascii="Arial" w:hAnsi="Arial" w:cs="Arial"/>
                <w:sz w:val="16"/>
                <w:szCs w:val="16"/>
                <w:highlight w:val="yellow"/>
                <w:u w:val="single"/>
              </w:rPr>
            </w:pPr>
            <w:r w:rsidRPr="003A29FA">
              <w:rPr>
                <w:rFonts w:ascii="Arial" w:hAnsi="Arial" w:cs="Arial"/>
                <w:sz w:val="16"/>
                <w:szCs w:val="16"/>
                <w:u w:val="single"/>
              </w:rPr>
              <w:t>-76</w:t>
            </w:r>
          </w:p>
        </w:tc>
        <w:tc>
          <w:tcPr>
            <w:tcW w:w="937" w:type="dxa"/>
            <w:vAlign w:val="center"/>
          </w:tcPr>
          <w:p w14:paraId="5B639059" w14:textId="6EBDDC35" w:rsidR="006A0566" w:rsidRPr="00424A11" w:rsidRDefault="004815B7" w:rsidP="00CB4698">
            <w:pPr>
              <w:widowControl w:val="0"/>
              <w:jc w:val="center"/>
              <w:rPr>
                <w:rFonts w:ascii="Arial" w:hAnsi="Arial" w:cs="Arial"/>
                <w:sz w:val="16"/>
                <w:szCs w:val="16"/>
              </w:rPr>
            </w:pPr>
            <w:r w:rsidRPr="00424A11">
              <w:rPr>
                <w:rFonts w:ascii="Arial" w:hAnsi="Arial" w:cs="Arial"/>
                <w:sz w:val="16"/>
                <w:szCs w:val="16"/>
              </w:rPr>
              <w:t>+33</w:t>
            </w:r>
          </w:p>
        </w:tc>
        <w:tc>
          <w:tcPr>
            <w:tcW w:w="937" w:type="dxa"/>
            <w:vAlign w:val="center"/>
          </w:tcPr>
          <w:p w14:paraId="15A58B43" w14:textId="2963F145" w:rsidR="006A0566" w:rsidRPr="002C7BE0" w:rsidRDefault="00506B59" w:rsidP="00CB4698">
            <w:pPr>
              <w:widowControl w:val="0"/>
              <w:jc w:val="center"/>
              <w:rPr>
                <w:rFonts w:ascii="Arial" w:hAnsi="Arial" w:cs="Arial"/>
                <w:sz w:val="16"/>
                <w:szCs w:val="16"/>
              </w:rPr>
            </w:pPr>
            <w:r w:rsidRPr="002C7BE0">
              <w:rPr>
                <w:rFonts w:ascii="Arial" w:hAnsi="Arial" w:cs="Arial"/>
                <w:sz w:val="16"/>
                <w:szCs w:val="16"/>
              </w:rPr>
              <w:t>-55</w:t>
            </w:r>
          </w:p>
        </w:tc>
        <w:tc>
          <w:tcPr>
            <w:tcW w:w="932" w:type="dxa"/>
            <w:vAlign w:val="center"/>
          </w:tcPr>
          <w:p w14:paraId="0ADC5685" w14:textId="3968E79F" w:rsidR="006A0566" w:rsidRPr="002C7BE0" w:rsidRDefault="004815B7" w:rsidP="00CB4698">
            <w:pPr>
              <w:widowControl w:val="0"/>
              <w:jc w:val="center"/>
              <w:rPr>
                <w:rFonts w:ascii="Arial" w:hAnsi="Arial" w:cs="Arial"/>
                <w:sz w:val="16"/>
                <w:szCs w:val="16"/>
              </w:rPr>
            </w:pPr>
            <w:r w:rsidRPr="002C7BE0">
              <w:rPr>
                <w:rFonts w:ascii="Arial" w:hAnsi="Arial" w:cs="Arial"/>
                <w:sz w:val="16"/>
                <w:szCs w:val="16"/>
              </w:rPr>
              <w:t>-47</w:t>
            </w:r>
          </w:p>
        </w:tc>
        <w:tc>
          <w:tcPr>
            <w:tcW w:w="936" w:type="dxa"/>
            <w:shd w:val="clear" w:color="auto" w:fill="auto"/>
            <w:vAlign w:val="center"/>
          </w:tcPr>
          <w:p w14:paraId="41EFE33D" w14:textId="7A29B37C" w:rsidR="006A0566" w:rsidRPr="002C7BE0" w:rsidRDefault="004815B7" w:rsidP="00CB4698">
            <w:pPr>
              <w:widowControl w:val="0"/>
              <w:jc w:val="center"/>
              <w:rPr>
                <w:rFonts w:ascii="Arial" w:hAnsi="Arial" w:cs="Arial"/>
                <w:sz w:val="16"/>
                <w:szCs w:val="16"/>
              </w:rPr>
            </w:pPr>
            <w:r w:rsidRPr="002C7BE0">
              <w:rPr>
                <w:rFonts w:ascii="Arial" w:hAnsi="Arial" w:cs="Arial"/>
                <w:sz w:val="16"/>
                <w:szCs w:val="16"/>
              </w:rPr>
              <w:t>-37</w:t>
            </w:r>
          </w:p>
        </w:tc>
        <w:tc>
          <w:tcPr>
            <w:tcW w:w="800" w:type="dxa"/>
            <w:vAlign w:val="center"/>
          </w:tcPr>
          <w:p w14:paraId="2AED7A78" w14:textId="77824CDA" w:rsidR="006A0566" w:rsidRPr="002C7BE0" w:rsidRDefault="000F2F0E" w:rsidP="000A0966">
            <w:pPr>
              <w:widowControl w:val="0"/>
              <w:jc w:val="center"/>
              <w:rPr>
                <w:rFonts w:ascii="Arial" w:hAnsi="Arial" w:cs="Arial"/>
                <w:b/>
                <w:sz w:val="16"/>
                <w:szCs w:val="16"/>
              </w:rPr>
            </w:pPr>
            <w:r w:rsidRPr="002C7BE0">
              <w:rPr>
                <w:rFonts w:ascii="Arial" w:hAnsi="Arial" w:cs="Arial"/>
                <w:b/>
                <w:sz w:val="16"/>
                <w:szCs w:val="16"/>
              </w:rPr>
              <w:t>-54</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sidRPr="006F49D0">
              <w:rPr>
                <w:rFonts w:ascii="Arial" w:hAnsi="Arial" w:cs="Arial"/>
                <w:b/>
                <w:sz w:val="16"/>
                <w:szCs w:val="16"/>
              </w:rPr>
              <w:t>Spitzenrendite* Büro</w:t>
            </w:r>
          </w:p>
          <w:p w14:paraId="0FFB638E"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3A26FD60" w14:textId="7CD6EFEB" w:rsidR="006A0566" w:rsidRPr="003A29FA" w:rsidRDefault="004815B7" w:rsidP="00CB4698">
            <w:pPr>
              <w:widowControl w:val="0"/>
              <w:jc w:val="center"/>
              <w:rPr>
                <w:rFonts w:ascii="Arial" w:hAnsi="Arial" w:cs="Arial"/>
                <w:sz w:val="16"/>
                <w:szCs w:val="16"/>
                <w:u w:val="single"/>
              </w:rPr>
            </w:pPr>
            <w:r w:rsidRPr="003A29FA">
              <w:rPr>
                <w:rFonts w:ascii="Arial" w:hAnsi="Arial" w:cs="Arial"/>
                <w:sz w:val="16"/>
                <w:szCs w:val="16"/>
                <w:u w:val="single"/>
              </w:rPr>
              <w:t>2,7</w:t>
            </w:r>
            <w:r w:rsidR="006A0566" w:rsidRPr="003A29FA">
              <w:rPr>
                <w:rFonts w:ascii="Arial" w:hAnsi="Arial" w:cs="Arial"/>
                <w:sz w:val="16"/>
                <w:szCs w:val="16"/>
                <w:u w:val="single"/>
              </w:rPr>
              <w:t>0</w:t>
            </w:r>
          </w:p>
        </w:tc>
        <w:tc>
          <w:tcPr>
            <w:tcW w:w="816" w:type="dxa"/>
            <w:vAlign w:val="center"/>
          </w:tcPr>
          <w:p w14:paraId="04D32DF6" w14:textId="77777777" w:rsidR="006A0566" w:rsidRPr="003A29FA" w:rsidRDefault="006A0566" w:rsidP="00CB4698">
            <w:pPr>
              <w:widowControl w:val="0"/>
              <w:jc w:val="center"/>
              <w:rPr>
                <w:rFonts w:ascii="Arial" w:hAnsi="Arial" w:cs="Arial"/>
                <w:sz w:val="16"/>
                <w:szCs w:val="16"/>
                <w:u w:val="single"/>
              </w:rPr>
            </w:pPr>
            <w:r w:rsidRPr="003A29FA">
              <w:rPr>
                <w:rFonts w:ascii="Arial" w:hAnsi="Arial" w:cs="Arial"/>
                <w:sz w:val="16"/>
                <w:szCs w:val="16"/>
                <w:u w:val="single"/>
              </w:rPr>
              <w:t>2,70</w:t>
            </w:r>
          </w:p>
        </w:tc>
        <w:tc>
          <w:tcPr>
            <w:tcW w:w="933" w:type="dxa"/>
            <w:vAlign w:val="center"/>
          </w:tcPr>
          <w:p w14:paraId="3496E0ED" w14:textId="63342228"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2,90</w:t>
            </w:r>
          </w:p>
        </w:tc>
        <w:tc>
          <w:tcPr>
            <w:tcW w:w="937" w:type="dxa"/>
            <w:vAlign w:val="center"/>
          </w:tcPr>
          <w:p w14:paraId="1B3FC488"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3,00</w:t>
            </w:r>
          </w:p>
        </w:tc>
        <w:tc>
          <w:tcPr>
            <w:tcW w:w="937" w:type="dxa"/>
            <w:vAlign w:val="center"/>
          </w:tcPr>
          <w:p w14:paraId="7863667A" w14:textId="28EB0B18" w:rsidR="006A0566" w:rsidRPr="00424A11" w:rsidRDefault="00367F82" w:rsidP="00CB4698">
            <w:pPr>
              <w:widowControl w:val="0"/>
              <w:jc w:val="center"/>
              <w:rPr>
                <w:rFonts w:ascii="Arial" w:hAnsi="Arial" w:cs="Arial"/>
                <w:sz w:val="16"/>
                <w:szCs w:val="16"/>
              </w:rPr>
            </w:pPr>
            <w:r w:rsidRPr="00424A11">
              <w:rPr>
                <w:rFonts w:ascii="Arial" w:hAnsi="Arial" w:cs="Arial"/>
                <w:sz w:val="16"/>
                <w:szCs w:val="16"/>
              </w:rPr>
              <w:t>2,90</w:t>
            </w:r>
          </w:p>
        </w:tc>
        <w:tc>
          <w:tcPr>
            <w:tcW w:w="932" w:type="dxa"/>
            <w:vAlign w:val="center"/>
          </w:tcPr>
          <w:p w14:paraId="185F44B1" w14:textId="304AFD88" w:rsidR="006A0566" w:rsidRPr="00424A11" w:rsidRDefault="00367F82" w:rsidP="00CB4698">
            <w:pPr>
              <w:widowControl w:val="0"/>
              <w:jc w:val="center"/>
              <w:rPr>
                <w:rFonts w:ascii="Arial" w:hAnsi="Arial" w:cs="Arial"/>
                <w:sz w:val="16"/>
                <w:szCs w:val="16"/>
              </w:rPr>
            </w:pPr>
            <w:r w:rsidRPr="00424A11">
              <w:rPr>
                <w:rFonts w:ascii="Arial" w:hAnsi="Arial" w:cs="Arial"/>
                <w:sz w:val="16"/>
                <w:szCs w:val="16"/>
              </w:rPr>
              <w:t>2,9</w:t>
            </w:r>
            <w:r w:rsidR="004815B7" w:rsidRPr="00424A11">
              <w:rPr>
                <w:rFonts w:ascii="Arial" w:hAnsi="Arial" w:cs="Arial"/>
                <w:sz w:val="16"/>
                <w:szCs w:val="16"/>
              </w:rPr>
              <w:t>5</w:t>
            </w:r>
          </w:p>
        </w:tc>
        <w:tc>
          <w:tcPr>
            <w:tcW w:w="936" w:type="dxa"/>
            <w:shd w:val="clear" w:color="auto" w:fill="auto"/>
            <w:vAlign w:val="center"/>
          </w:tcPr>
          <w:p w14:paraId="19DB0335" w14:textId="4EF8A75F" w:rsidR="006A0566" w:rsidRPr="00424A11" w:rsidRDefault="004815B7" w:rsidP="00CB4698">
            <w:pPr>
              <w:widowControl w:val="0"/>
              <w:jc w:val="center"/>
              <w:rPr>
                <w:rFonts w:ascii="Arial" w:hAnsi="Arial" w:cs="Arial"/>
                <w:sz w:val="16"/>
                <w:szCs w:val="16"/>
              </w:rPr>
            </w:pPr>
            <w:r w:rsidRPr="00424A11">
              <w:rPr>
                <w:rFonts w:ascii="Arial" w:hAnsi="Arial" w:cs="Arial"/>
                <w:sz w:val="16"/>
                <w:szCs w:val="16"/>
              </w:rPr>
              <w:t>2,75</w:t>
            </w:r>
          </w:p>
        </w:tc>
        <w:tc>
          <w:tcPr>
            <w:tcW w:w="800" w:type="dxa"/>
            <w:vAlign w:val="center"/>
          </w:tcPr>
          <w:p w14:paraId="0216D7FB" w14:textId="0F50852A" w:rsidR="006A0566" w:rsidRPr="00424A11" w:rsidRDefault="004815B7" w:rsidP="00F374EE">
            <w:pPr>
              <w:widowControl w:val="0"/>
              <w:jc w:val="center"/>
              <w:rPr>
                <w:rFonts w:ascii="Arial" w:hAnsi="Arial" w:cs="Arial"/>
                <w:b/>
                <w:sz w:val="16"/>
                <w:szCs w:val="16"/>
              </w:rPr>
            </w:pPr>
            <w:r w:rsidRPr="00424A11">
              <w:rPr>
                <w:rFonts w:ascii="Arial" w:hAnsi="Arial" w:cs="Arial"/>
                <w:b/>
                <w:sz w:val="16"/>
                <w:szCs w:val="16"/>
              </w:rPr>
              <w:t>2,84</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7DCC31B2" w14:textId="1A58FC41" w:rsidR="006A0566" w:rsidRPr="00424A11" w:rsidRDefault="002C7BE0" w:rsidP="00CB4698">
            <w:pPr>
              <w:widowControl w:val="0"/>
              <w:jc w:val="center"/>
              <w:rPr>
                <w:rFonts w:ascii="Arial" w:hAnsi="Arial" w:cs="Arial"/>
                <w:sz w:val="16"/>
                <w:szCs w:val="16"/>
              </w:rPr>
            </w:pPr>
            <w:r>
              <w:rPr>
                <w:rFonts w:ascii="Arial" w:hAnsi="Arial" w:cs="Arial"/>
                <w:sz w:val="16"/>
                <w:szCs w:val="16"/>
              </w:rPr>
              <w:t>-</w:t>
            </w:r>
            <w:r w:rsidR="004815B7" w:rsidRPr="00424A11">
              <w:rPr>
                <w:rFonts w:ascii="Arial" w:hAnsi="Arial" w:cs="Arial"/>
                <w:sz w:val="16"/>
                <w:szCs w:val="16"/>
              </w:rPr>
              <w:t>0,1</w:t>
            </w:r>
            <w:r w:rsidR="006A0566" w:rsidRPr="00424A11">
              <w:rPr>
                <w:rFonts w:ascii="Arial" w:hAnsi="Arial" w:cs="Arial"/>
                <w:sz w:val="16"/>
                <w:szCs w:val="16"/>
              </w:rPr>
              <w:t>0</w:t>
            </w:r>
          </w:p>
        </w:tc>
        <w:tc>
          <w:tcPr>
            <w:tcW w:w="816" w:type="dxa"/>
            <w:vAlign w:val="center"/>
          </w:tcPr>
          <w:p w14:paraId="1D9B71C7" w14:textId="514B6CF5" w:rsidR="006A0566" w:rsidRPr="00424A11" w:rsidRDefault="00FF5B2E" w:rsidP="00CB4698">
            <w:pPr>
              <w:widowControl w:val="0"/>
              <w:jc w:val="center"/>
              <w:rPr>
                <w:rFonts w:ascii="Arial" w:hAnsi="Arial" w:cs="Arial"/>
                <w:sz w:val="16"/>
                <w:szCs w:val="16"/>
              </w:rPr>
            </w:pPr>
            <w:r w:rsidRPr="00424A11">
              <w:rPr>
                <w:rFonts w:ascii="Arial" w:hAnsi="Arial" w:cs="Arial"/>
                <w:sz w:val="16"/>
                <w:szCs w:val="16"/>
              </w:rPr>
              <w:t>0,0</w:t>
            </w:r>
            <w:r w:rsidR="006A0566" w:rsidRPr="00424A11">
              <w:rPr>
                <w:rFonts w:ascii="Arial" w:hAnsi="Arial" w:cs="Arial"/>
                <w:sz w:val="16"/>
                <w:szCs w:val="16"/>
              </w:rPr>
              <w:t>0</w:t>
            </w:r>
          </w:p>
        </w:tc>
        <w:tc>
          <w:tcPr>
            <w:tcW w:w="933" w:type="dxa"/>
            <w:vAlign w:val="center"/>
          </w:tcPr>
          <w:p w14:paraId="6F68995C" w14:textId="5719132F"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-0,10</w:t>
            </w:r>
          </w:p>
        </w:tc>
        <w:tc>
          <w:tcPr>
            <w:tcW w:w="937" w:type="dxa"/>
            <w:vAlign w:val="center"/>
          </w:tcPr>
          <w:p w14:paraId="1AD055DC" w14:textId="68EDF5BA" w:rsidR="006A0566" w:rsidRPr="00424A11" w:rsidRDefault="004815B7" w:rsidP="00CB4698">
            <w:pPr>
              <w:widowControl w:val="0"/>
              <w:jc w:val="center"/>
              <w:rPr>
                <w:rFonts w:ascii="Arial" w:hAnsi="Arial" w:cs="Arial"/>
                <w:sz w:val="16"/>
                <w:szCs w:val="16"/>
              </w:rPr>
            </w:pPr>
            <w:r w:rsidRPr="00424A11">
              <w:rPr>
                <w:rFonts w:ascii="Arial" w:hAnsi="Arial" w:cs="Arial"/>
                <w:sz w:val="16"/>
                <w:szCs w:val="16"/>
              </w:rPr>
              <w:t>0,0</w:t>
            </w:r>
            <w:r w:rsidR="006A0566" w:rsidRPr="00424A11">
              <w:rPr>
                <w:rFonts w:ascii="Arial" w:hAnsi="Arial" w:cs="Arial"/>
                <w:sz w:val="16"/>
                <w:szCs w:val="16"/>
              </w:rPr>
              <w:t>0</w:t>
            </w:r>
          </w:p>
        </w:tc>
        <w:tc>
          <w:tcPr>
            <w:tcW w:w="937" w:type="dxa"/>
            <w:vAlign w:val="center"/>
          </w:tcPr>
          <w:p w14:paraId="457AA114" w14:textId="0585A466" w:rsidR="006A0566" w:rsidRPr="00424A11" w:rsidRDefault="00367F82" w:rsidP="00CB4698">
            <w:pPr>
              <w:widowControl w:val="0"/>
              <w:jc w:val="center"/>
              <w:rPr>
                <w:rFonts w:ascii="Arial" w:hAnsi="Arial" w:cs="Arial"/>
                <w:sz w:val="16"/>
                <w:szCs w:val="16"/>
              </w:rPr>
            </w:pPr>
            <w:r w:rsidRPr="00424A11">
              <w:rPr>
                <w:rFonts w:ascii="Arial" w:hAnsi="Arial" w:cs="Arial"/>
                <w:sz w:val="16"/>
                <w:szCs w:val="16"/>
              </w:rPr>
              <w:t>-0,05</w:t>
            </w:r>
          </w:p>
        </w:tc>
        <w:tc>
          <w:tcPr>
            <w:tcW w:w="932" w:type="dxa"/>
            <w:vAlign w:val="center"/>
          </w:tcPr>
          <w:p w14:paraId="0C825309" w14:textId="5CA1BC34" w:rsidR="006A0566" w:rsidRPr="00403699" w:rsidRDefault="00742E3B" w:rsidP="00F374EE">
            <w:pPr>
              <w:widowControl w:val="0"/>
              <w:jc w:val="center"/>
              <w:rPr>
                <w:rFonts w:ascii="Arial" w:hAnsi="Arial" w:cs="Arial"/>
                <w:sz w:val="16"/>
                <w:szCs w:val="16"/>
                <w:u w:val="single"/>
              </w:rPr>
            </w:pPr>
            <w:r w:rsidRPr="00403699">
              <w:rPr>
                <w:rFonts w:ascii="Arial" w:hAnsi="Arial" w:cs="Arial"/>
                <w:sz w:val="16"/>
                <w:szCs w:val="16"/>
                <w:u w:val="single"/>
              </w:rPr>
              <w:t>-</w:t>
            </w:r>
            <w:r w:rsidR="006A0566" w:rsidRPr="00403699">
              <w:rPr>
                <w:rFonts w:ascii="Arial" w:hAnsi="Arial" w:cs="Arial"/>
                <w:sz w:val="16"/>
                <w:szCs w:val="16"/>
                <w:u w:val="single"/>
              </w:rPr>
              <w:t>0,</w:t>
            </w:r>
            <w:r w:rsidR="00367F82" w:rsidRPr="00403699">
              <w:rPr>
                <w:rFonts w:ascii="Arial" w:hAnsi="Arial" w:cs="Arial"/>
                <w:sz w:val="16"/>
                <w:szCs w:val="16"/>
                <w:u w:val="single"/>
              </w:rPr>
              <w:t>1</w:t>
            </w:r>
            <w:r w:rsidR="004815B7" w:rsidRPr="00403699">
              <w:rPr>
                <w:rFonts w:ascii="Arial" w:hAnsi="Arial" w:cs="Arial"/>
                <w:sz w:val="16"/>
                <w:szCs w:val="16"/>
                <w:u w:val="single"/>
              </w:rPr>
              <w:t>5</w:t>
            </w:r>
          </w:p>
        </w:tc>
        <w:tc>
          <w:tcPr>
            <w:tcW w:w="936" w:type="dxa"/>
            <w:shd w:val="clear" w:color="auto" w:fill="auto"/>
            <w:vAlign w:val="center"/>
          </w:tcPr>
          <w:p w14:paraId="7EB840C7" w14:textId="1A45F432" w:rsidR="006A0566" w:rsidRPr="00403699" w:rsidRDefault="002C7BE0" w:rsidP="00CB4698">
            <w:pPr>
              <w:widowControl w:val="0"/>
              <w:jc w:val="center"/>
              <w:rPr>
                <w:rFonts w:ascii="Arial" w:hAnsi="Arial" w:cs="Arial"/>
                <w:sz w:val="16"/>
                <w:szCs w:val="16"/>
                <w:u w:val="single"/>
              </w:rPr>
            </w:pPr>
            <w:r>
              <w:rPr>
                <w:rFonts w:ascii="Arial" w:hAnsi="Arial" w:cs="Arial"/>
                <w:sz w:val="16"/>
                <w:szCs w:val="16"/>
                <w:u w:val="single"/>
              </w:rPr>
              <w:t>+</w:t>
            </w:r>
            <w:r w:rsidR="004815B7" w:rsidRPr="00403699">
              <w:rPr>
                <w:rFonts w:ascii="Arial" w:hAnsi="Arial" w:cs="Arial"/>
                <w:sz w:val="16"/>
                <w:szCs w:val="16"/>
                <w:u w:val="single"/>
              </w:rPr>
              <w:t>0,15</w:t>
            </w:r>
          </w:p>
        </w:tc>
        <w:tc>
          <w:tcPr>
            <w:tcW w:w="800" w:type="dxa"/>
            <w:vAlign w:val="center"/>
          </w:tcPr>
          <w:p w14:paraId="7D9A218D" w14:textId="76FE2404" w:rsidR="006A0566" w:rsidRPr="00424A11" w:rsidRDefault="006A0566" w:rsidP="00CB4698">
            <w:pPr>
              <w:widowControl w:val="0"/>
              <w:jc w:val="center"/>
              <w:rPr>
                <w:rFonts w:ascii="Arial" w:hAnsi="Arial" w:cs="Arial"/>
                <w:b/>
                <w:sz w:val="16"/>
                <w:szCs w:val="16"/>
              </w:rPr>
            </w:pPr>
            <w:r w:rsidRPr="00424A11">
              <w:rPr>
                <w:rFonts w:ascii="Arial" w:hAnsi="Arial" w:cs="Arial"/>
                <w:b/>
                <w:sz w:val="16"/>
                <w:szCs w:val="16"/>
              </w:rPr>
              <w:t>-0,</w:t>
            </w:r>
            <w:r w:rsidR="004815B7" w:rsidRPr="00424A11">
              <w:rPr>
                <w:rFonts w:ascii="Arial" w:hAnsi="Arial" w:cs="Arial"/>
                <w:b/>
                <w:sz w:val="16"/>
                <w:szCs w:val="16"/>
              </w:rPr>
              <w:t>04</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23DA8B4" w14:textId="19B61856"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3,9</w:t>
            </w:r>
            <w:r w:rsidR="006A0566" w:rsidRPr="00424A11">
              <w:rPr>
                <w:rFonts w:ascii="Arial" w:hAnsi="Arial" w:cs="Arial"/>
                <w:sz w:val="16"/>
                <w:szCs w:val="16"/>
              </w:rPr>
              <w:t>0</w:t>
            </w:r>
          </w:p>
        </w:tc>
        <w:tc>
          <w:tcPr>
            <w:tcW w:w="816" w:type="dxa"/>
            <w:vAlign w:val="center"/>
          </w:tcPr>
          <w:p w14:paraId="427E0471" w14:textId="44616825" w:rsidR="006A0566" w:rsidRPr="00424A11" w:rsidRDefault="00FF5B2E" w:rsidP="00CB4698">
            <w:pPr>
              <w:widowControl w:val="0"/>
              <w:jc w:val="center"/>
              <w:rPr>
                <w:rFonts w:ascii="Arial" w:hAnsi="Arial" w:cs="Arial"/>
                <w:sz w:val="16"/>
                <w:szCs w:val="16"/>
              </w:rPr>
            </w:pPr>
            <w:r w:rsidRPr="00424A11">
              <w:rPr>
                <w:rFonts w:ascii="Arial" w:hAnsi="Arial" w:cs="Arial"/>
                <w:sz w:val="16"/>
                <w:szCs w:val="16"/>
              </w:rPr>
              <w:t>3,7</w:t>
            </w:r>
            <w:r w:rsidR="0031302C" w:rsidRPr="00424A11">
              <w:rPr>
                <w:rFonts w:ascii="Arial" w:hAnsi="Arial" w:cs="Arial"/>
                <w:sz w:val="16"/>
                <w:szCs w:val="16"/>
              </w:rPr>
              <w:t>5</w:t>
            </w:r>
          </w:p>
        </w:tc>
        <w:tc>
          <w:tcPr>
            <w:tcW w:w="933" w:type="dxa"/>
            <w:vAlign w:val="center"/>
          </w:tcPr>
          <w:p w14:paraId="777D310C" w14:textId="58927657"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3,75</w:t>
            </w:r>
          </w:p>
        </w:tc>
        <w:tc>
          <w:tcPr>
            <w:tcW w:w="937" w:type="dxa"/>
            <w:vAlign w:val="center"/>
          </w:tcPr>
          <w:p w14:paraId="18CF9CF0" w14:textId="496ABA2A" w:rsidR="006A0566" w:rsidRPr="00424A11" w:rsidRDefault="00AD0891" w:rsidP="00AD0891">
            <w:pPr>
              <w:widowControl w:val="0"/>
              <w:jc w:val="center"/>
              <w:rPr>
                <w:rFonts w:ascii="Arial" w:hAnsi="Arial" w:cs="Arial"/>
                <w:sz w:val="16"/>
                <w:szCs w:val="16"/>
              </w:rPr>
            </w:pPr>
            <w:r w:rsidRPr="00424A11">
              <w:rPr>
                <w:rFonts w:ascii="Arial" w:hAnsi="Arial" w:cs="Arial"/>
                <w:sz w:val="16"/>
                <w:szCs w:val="16"/>
              </w:rPr>
              <w:t>3</w:t>
            </w:r>
            <w:r w:rsidR="006A0566" w:rsidRPr="00424A11">
              <w:rPr>
                <w:rFonts w:ascii="Arial" w:hAnsi="Arial" w:cs="Arial"/>
                <w:sz w:val="16"/>
                <w:szCs w:val="16"/>
              </w:rPr>
              <w:t>,</w:t>
            </w:r>
            <w:r w:rsidR="0031302C" w:rsidRPr="00424A11">
              <w:rPr>
                <w:rFonts w:ascii="Arial" w:hAnsi="Arial" w:cs="Arial"/>
                <w:sz w:val="16"/>
                <w:szCs w:val="16"/>
              </w:rPr>
              <w:t>6</w:t>
            </w:r>
            <w:r w:rsidR="006A0566" w:rsidRPr="00424A11">
              <w:rPr>
                <w:rFonts w:ascii="Arial" w:hAnsi="Arial" w:cs="Arial"/>
                <w:sz w:val="16"/>
                <w:szCs w:val="16"/>
              </w:rPr>
              <w:t>0</w:t>
            </w:r>
          </w:p>
        </w:tc>
        <w:tc>
          <w:tcPr>
            <w:tcW w:w="937" w:type="dxa"/>
            <w:vAlign w:val="center"/>
          </w:tcPr>
          <w:p w14:paraId="6FC45529" w14:textId="026B9133" w:rsidR="006A0566" w:rsidRPr="00424A11" w:rsidRDefault="006A0566" w:rsidP="006C17CE">
            <w:pPr>
              <w:widowControl w:val="0"/>
              <w:jc w:val="center"/>
              <w:rPr>
                <w:rFonts w:ascii="Arial" w:hAnsi="Arial" w:cs="Arial"/>
                <w:sz w:val="16"/>
                <w:szCs w:val="16"/>
              </w:rPr>
            </w:pPr>
            <w:r w:rsidRPr="00424A11">
              <w:rPr>
                <w:rFonts w:ascii="Arial" w:hAnsi="Arial" w:cs="Arial"/>
                <w:sz w:val="16"/>
                <w:szCs w:val="16"/>
              </w:rPr>
              <w:t>3,</w:t>
            </w:r>
            <w:r w:rsidR="00273274" w:rsidRPr="00424A11">
              <w:rPr>
                <w:rFonts w:ascii="Arial" w:hAnsi="Arial" w:cs="Arial"/>
                <w:sz w:val="16"/>
                <w:szCs w:val="16"/>
              </w:rPr>
              <w:t>8</w:t>
            </w:r>
            <w:r w:rsidRPr="00424A11">
              <w:rPr>
                <w:rFonts w:ascii="Arial" w:hAnsi="Arial" w:cs="Arial"/>
                <w:sz w:val="16"/>
                <w:szCs w:val="16"/>
              </w:rPr>
              <w:t>0</w:t>
            </w:r>
          </w:p>
        </w:tc>
        <w:tc>
          <w:tcPr>
            <w:tcW w:w="932" w:type="dxa"/>
            <w:vAlign w:val="center"/>
          </w:tcPr>
          <w:p w14:paraId="5A040C04" w14:textId="49E30CD8" w:rsidR="006A0566" w:rsidRPr="00424A11" w:rsidRDefault="006A0566" w:rsidP="00DE33B5">
            <w:pPr>
              <w:widowControl w:val="0"/>
              <w:jc w:val="center"/>
              <w:rPr>
                <w:rFonts w:ascii="Arial" w:hAnsi="Arial" w:cs="Arial"/>
                <w:sz w:val="16"/>
                <w:szCs w:val="16"/>
              </w:rPr>
            </w:pPr>
            <w:r w:rsidRPr="00424A11">
              <w:rPr>
                <w:rFonts w:ascii="Arial" w:hAnsi="Arial" w:cs="Arial"/>
                <w:sz w:val="16"/>
                <w:szCs w:val="16"/>
              </w:rPr>
              <w:t>4,</w:t>
            </w:r>
            <w:r w:rsidR="00DE33B5" w:rsidRPr="00424A11">
              <w:rPr>
                <w:rFonts w:ascii="Arial" w:hAnsi="Arial" w:cs="Arial"/>
                <w:sz w:val="16"/>
                <w:szCs w:val="16"/>
              </w:rPr>
              <w:t>2</w:t>
            </w:r>
            <w:r w:rsidRPr="00424A11">
              <w:rPr>
                <w:rFonts w:ascii="Arial" w:hAnsi="Arial" w:cs="Arial"/>
                <w:sz w:val="16"/>
                <w:szCs w:val="16"/>
              </w:rPr>
              <w:t>0</w:t>
            </w:r>
          </w:p>
        </w:tc>
        <w:tc>
          <w:tcPr>
            <w:tcW w:w="936" w:type="dxa"/>
            <w:shd w:val="clear" w:color="auto" w:fill="auto"/>
            <w:vAlign w:val="center"/>
          </w:tcPr>
          <w:p w14:paraId="684DD4AF" w14:textId="31C10073" w:rsidR="006A0566" w:rsidRPr="003A29FA" w:rsidRDefault="0031302C" w:rsidP="00CB4698">
            <w:pPr>
              <w:widowControl w:val="0"/>
              <w:jc w:val="center"/>
              <w:rPr>
                <w:rFonts w:ascii="Arial" w:hAnsi="Arial" w:cs="Arial"/>
                <w:sz w:val="16"/>
                <w:szCs w:val="16"/>
                <w:u w:val="single"/>
              </w:rPr>
            </w:pPr>
            <w:r w:rsidRPr="003A29FA">
              <w:rPr>
                <w:rFonts w:ascii="Arial" w:hAnsi="Arial" w:cs="Arial"/>
                <w:sz w:val="16"/>
                <w:szCs w:val="16"/>
                <w:u w:val="single"/>
              </w:rPr>
              <w:t>3,4</w:t>
            </w:r>
            <w:r w:rsidR="006A0566" w:rsidRPr="003A29FA">
              <w:rPr>
                <w:rFonts w:ascii="Arial" w:hAnsi="Arial" w:cs="Arial"/>
                <w:sz w:val="16"/>
                <w:szCs w:val="16"/>
                <w:u w:val="single"/>
              </w:rPr>
              <w:t>0</w:t>
            </w:r>
          </w:p>
        </w:tc>
        <w:tc>
          <w:tcPr>
            <w:tcW w:w="800" w:type="dxa"/>
            <w:vAlign w:val="center"/>
          </w:tcPr>
          <w:p w14:paraId="0CE5389C" w14:textId="6494767F" w:rsidR="006A0566" w:rsidRPr="00424A11" w:rsidRDefault="0031302C" w:rsidP="00CB4698">
            <w:pPr>
              <w:widowControl w:val="0"/>
              <w:jc w:val="center"/>
              <w:rPr>
                <w:rFonts w:ascii="Arial" w:hAnsi="Arial" w:cs="Arial"/>
                <w:b/>
                <w:sz w:val="16"/>
                <w:szCs w:val="16"/>
              </w:rPr>
            </w:pPr>
            <w:r w:rsidRPr="00424A11">
              <w:rPr>
                <w:rFonts w:ascii="Arial" w:hAnsi="Arial" w:cs="Arial"/>
                <w:b/>
                <w:sz w:val="16"/>
                <w:szCs w:val="16"/>
              </w:rPr>
              <w:t>3,77</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0A5E4A80" w14:textId="6DCF3AED"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-0,30</w:t>
            </w:r>
          </w:p>
        </w:tc>
        <w:tc>
          <w:tcPr>
            <w:tcW w:w="816" w:type="dxa"/>
            <w:vAlign w:val="center"/>
          </w:tcPr>
          <w:p w14:paraId="5E5CC2C6" w14:textId="3F7F81E8"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-0,05</w:t>
            </w:r>
          </w:p>
        </w:tc>
        <w:tc>
          <w:tcPr>
            <w:tcW w:w="933" w:type="dxa"/>
            <w:vAlign w:val="center"/>
          </w:tcPr>
          <w:p w14:paraId="27A92190" w14:textId="1AF51264"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-0,2</w:t>
            </w:r>
            <w:r w:rsidR="006A0566" w:rsidRPr="00424A11">
              <w:rPr>
                <w:rFonts w:ascii="Arial" w:hAnsi="Arial" w:cs="Arial"/>
                <w:sz w:val="16"/>
                <w:szCs w:val="16"/>
              </w:rPr>
              <w:t>5</w:t>
            </w:r>
          </w:p>
        </w:tc>
        <w:tc>
          <w:tcPr>
            <w:tcW w:w="937" w:type="dxa"/>
            <w:vAlign w:val="center"/>
          </w:tcPr>
          <w:p w14:paraId="1E795FEA" w14:textId="6F188F74" w:rsidR="006A0566" w:rsidRPr="003A29FA" w:rsidRDefault="006A0566" w:rsidP="00AD0891">
            <w:pPr>
              <w:widowControl w:val="0"/>
              <w:jc w:val="center"/>
              <w:rPr>
                <w:rFonts w:ascii="Arial" w:hAnsi="Arial" w:cs="Arial"/>
                <w:sz w:val="16"/>
                <w:szCs w:val="16"/>
                <w:u w:val="single"/>
              </w:rPr>
            </w:pPr>
            <w:r w:rsidRPr="003A29FA">
              <w:rPr>
                <w:rFonts w:ascii="Arial" w:hAnsi="Arial" w:cs="Arial"/>
                <w:sz w:val="16"/>
                <w:szCs w:val="16"/>
                <w:u w:val="single"/>
              </w:rPr>
              <w:t>-0,</w:t>
            </w:r>
            <w:r w:rsidR="0031302C" w:rsidRPr="003A29FA">
              <w:rPr>
                <w:rFonts w:ascii="Arial" w:hAnsi="Arial" w:cs="Arial"/>
                <w:sz w:val="16"/>
                <w:szCs w:val="16"/>
                <w:u w:val="single"/>
              </w:rPr>
              <w:t>5</w:t>
            </w:r>
            <w:r w:rsidR="00AD0891" w:rsidRPr="003A29FA">
              <w:rPr>
                <w:rFonts w:ascii="Arial" w:hAnsi="Arial" w:cs="Arial"/>
                <w:sz w:val="16"/>
                <w:szCs w:val="16"/>
                <w:u w:val="single"/>
              </w:rPr>
              <w:t>0</w:t>
            </w:r>
          </w:p>
        </w:tc>
        <w:tc>
          <w:tcPr>
            <w:tcW w:w="937" w:type="dxa"/>
            <w:vAlign w:val="center"/>
          </w:tcPr>
          <w:p w14:paraId="31615C3D" w14:textId="31C1226E" w:rsidR="006A0566" w:rsidRPr="00424A11" w:rsidRDefault="006A0566" w:rsidP="006C17CE">
            <w:pPr>
              <w:widowControl w:val="0"/>
              <w:jc w:val="center"/>
              <w:rPr>
                <w:rFonts w:ascii="Arial" w:hAnsi="Arial" w:cs="Arial"/>
                <w:sz w:val="16"/>
                <w:szCs w:val="16"/>
              </w:rPr>
            </w:pPr>
            <w:r w:rsidRPr="00424A11">
              <w:rPr>
                <w:rFonts w:ascii="Arial" w:hAnsi="Arial" w:cs="Arial"/>
                <w:sz w:val="16"/>
                <w:szCs w:val="16"/>
              </w:rPr>
              <w:t>-0,</w:t>
            </w:r>
            <w:r w:rsidR="0009529F" w:rsidRPr="00424A11">
              <w:rPr>
                <w:rFonts w:ascii="Arial" w:hAnsi="Arial" w:cs="Arial"/>
                <w:sz w:val="16"/>
                <w:szCs w:val="16"/>
              </w:rPr>
              <w:t>1</w:t>
            </w:r>
            <w:r w:rsidRPr="00424A11">
              <w:rPr>
                <w:rFonts w:ascii="Arial" w:hAnsi="Arial" w:cs="Arial"/>
                <w:sz w:val="16"/>
                <w:szCs w:val="16"/>
              </w:rPr>
              <w:t>0</w:t>
            </w:r>
          </w:p>
        </w:tc>
        <w:tc>
          <w:tcPr>
            <w:tcW w:w="932" w:type="dxa"/>
            <w:vAlign w:val="center"/>
          </w:tcPr>
          <w:p w14:paraId="7F1C6DE4" w14:textId="0361DB87" w:rsidR="006A0566" w:rsidRPr="00424A11" w:rsidRDefault="00A30AB0" w:rsidP="00DE33B5">
            <w:pPr>
              <w:widowControl w:val="0"/>
              <w:jc w:val="center"/>
              <w:rPr>
                <w:rFonts w:ascii="Arial" w:hAnsi="Arial" w:cs="Arial"/>
                <w:sz w:val="16"/>
                <w:szCs w:val="16"/>
              </w:rPr>
            </w:pPr>
            <w:r>
              <w:rPr>
                <w:rFonts w:ascii="Arial" w:hAnsi="Arial" w:cs="Arial"/>
                <w:sz w:val="16"/>
                <w:szCs w:val="16"/>
              </w:rPr>
              <w:t>-</w:t>
            </w:r>
            <w:r w:rsidR="006A0566" w:rsidRPr="00424A11">
              <w:rPr>
                <w:rFonts w:ascii="Arial" w:hAnsi="Arial" w:cs="Arial"/>
                <w:sz w:val="16"/>
                <w:szCs w:val="16"/>
              </w:rPr>
              <w:t>0,</w:t>
            </w:r>
            <w:r w:rsidR="0031302C" w:rsidRPr="00424A11">
              <w:rPr>
                <w:rFonts w:ascii="Arial" w:hAnsi="Arial" w:cs="Arial"/>
                <w:sz w:val="16"/>
                <w:szCs w:val="16"/>
              </w:rPr>
              <w:t>3</w:t>
            </w:r>
            <w:r w:rsidR="006A0566" w:rsidRPr="00424A11">
              <w:rPr>
                <w:rFonts w:ascii="Arial" w:hAnsi="Arial" w:cs="Arial"/>
                <w:sz w:val="16"/>
                <w:szCs w:val="16"/>
              </w:rPr>
              <w:t>0</w:t>
            </w:r>
          </w:p>
        </w:tc>
        <w:tc>
          <w:tcPr>
            <w:tcW w:w="936" w:type="dxa"/>
            <w:shd w:val="clear" w:color="auto" w:fill="auto"/>
            <w:vAlign w:val="center"/>
          </w:tcPr>
          <w:p w14:paraId="00B0CCF3" w14:textId="3A4432E5"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-0,2</w:t>
            </w:r>
            <w:r w:rsidR="006A0566" w:rsidRPr="00424A11">
              <w:rPr>
                <w:rFonts w:ascii="Arial" w:hAnsi="Arial" w:cs="Arial"/>
                <w:sz w:val="16"/>
                <w:szCs w:val="16"/>
              </w:rPr>
              <w:t>0</w:t>
            </w:r>
          </w:p>
        </w:tc>
        <w:tc>
          <w:tcPr>
            <w:tcW w:w="800" w:type="dxa"/>
            <w:vAlign w:val="center"/>
          </w:tcPr>
          <w:p w14:paraId="19B34957" w14:textId="51764506" w:rsidR="006A0566" w:rsidRPr="00424A11" w:rsidRDefault="0031302C" w:rsidP="00CB4698">
            <w:pPr>
              <w:widowControl w:val="0"/>
              <w:jc w:val="center"/>
              <w:rPr>
                <w:rFonts w:ascii="Arial" w:hAnsi="Arial" w:cs="Arial"/>
                <w:b/>
                <w:sz w:val="16"/>
                <w:szCs w:val="16"/>
              </w:rPr>
            </w:pPr>
            <w:r w:rsidRPr="00424A11">
              <w:rPr>
                <w:rFonts w:ascii="Arial" w:hAnsi="Arial" w:cs="Arial"/>
                <w:b/>
                <w:sz w:val="16"/>
                <w:szCs w:val="16"/>
              </w:rPr>
              <w:t>-0,24</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31998AB2" w14:textId="77777777" w:rsidR="006A0566" w:rsidRPr="006F49D0" w:rsidRDefault="006A0566" w:rsidP="00CB4698">
            <w:pPr>
              <w:widowControl w:val="0"/>
              <w:jc w:val="both"/>
              <w:rPr>
                <w:rFonts w:ascii="Arial" w:hAnsi="Arial" w:cs="Arial"/>
                <w:b/>
                <w:sz w:val="16"/>
                <w:szCs w:val="16"/>
              </w:rPr>
            </w:pPr>
            <w:proofErr w:type="spellStart"/>
            <w:r w:rsidRPr="006F49D0">
              <w:rPr>
                <w:rFonts w:ascii="Arial" w:hAnsi="Arial" w:cs="Arial"/>
                <w:b/>
                <w:sz w:val="16"/>
                <w:szCs w:val="16"/>
              </w:rPr>
              <w:t>Assetklasse</w:t>
            </w:r>
            <w:proofErr w:type="spellEnd"/>
          </w:p>
        </w:tc>
        <w:tc>
          <w:tcPr>
            <w:tcW w:w="817" w:type="dxa"/>
            <w:vAlign w:val="center"/>
          </w:tcPr>
          <w:p w14:paraId="6A6A9731"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816" w:type="dxa"/>
            <w:vAlign w:val="center"/>
          </w:tcPr>
          <w:p w14:paraId="16372C6A"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3" w:type="dxa"/>
            <w:vAlign w:val="center"/>
          </w:tcPr>
          <w:p w14:paraId="5DAF8A6A"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7" w:type="dxa"/>
            <w:vAlign w:val="center"/>
          </w:tcPr>
          <w:p w14:paraId="325DEF48" w14:textId="38C60421"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Einzelhandel</w:t>
            </w:r>
          </w:p>
        </w:tc>
        <w:tc>
          <w:tcPr>
            <w:tcW w:w="937" w:type="dxa"/>
            <w:vAlign w:val="center"/>
          </w:tcPr>
          <w:p w14:paraId="58B170C6"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2" w:type="dxa"/>
            <w:vAlign w:val="center"/>
          </w:tcPr>
          <w:p w14:paraId="2A40510B"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6" w:type="dxa"/>
            <w:shd w:val="clear" w:color="auto" w:fill="auto"/>
            <w:vAlign w:val="center"/>
          </w:tcPr>
          <w:p w14:paraId="0071E92B"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800" w:type="dxa"/>
            <w:vAlign w:val="center"/>
          </w:tcPr>
          <w:p w14:paraId="2D0AC5C1" w14:textId="77777777" w:rsidR="006A0566" w:rsidRPr="00424A11" w:rsidRDefault="006A0566" w:rsidP="00CB4698">
            <w:pPr>
              <w:widowControl w:val="0"/>
              <w:jc w:val="center"/>
              <w:rPr>
                <w:rFonts w:ascii="Arial" w:hAnsi="Arial" w:cs="Arial"/>
                <w:b/>
                <w:sz w:val="16"/>
                <w:szCs w:val="16"/>
              </w:rPr>
            </w:pPr>
            <w:r w:rsidRPr="00424A11">
              <w:rPr>
                <w:rFonts w:ascii="Arial" w:hAnsi="Arial" w:cs="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2650C67A" w14:textId="77777777" w:rsidR="006A0566" w:rsidRPr="006F49D0" w:rsidRDefault="006A0566" w:rsidP="00CB4698">
            <w:pPr>
              <w:widowControl w:val="0"/>
              <w:jc w:val="both"/>
              <w:rPr>
                <w:rFonts w:ascii="Arial" w:hAnsi="Arial" w:cs="Arial"/>
                <w:b/>
                <w:sz w:val="16"/>
                <w:szCs w:val="16"/>
              </w:rPr>
            </w:pPr>
            <w:proofErr w:type="spellStart"/>
            <w:r w:rsidRPr="006F49D0">
              <w:rPr>
                <w:rFonts w:ascii="Arial" w:hAnsi="Arial" w:cs="Arial"/>
                <w:b/>
                <w:sz w:val="16"/>
                <w:szCs w:val="16"/>
              </w:rPr>
              <w:t>Assetklasse</w:t>
            </w:r>
            <w:proofErr w:type="spellEnd"/>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03DB0EF7" w14:textId="66367521"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60</w:t>
            </w:r>
          </w:p>
        </w:tc>
        <w:tc>
          <w:tcPr>
            <w:tcW w:w="816" w:type="dxa"/>
            <w:vAlign w:val="center"/>
          </w:tcPr>
          <w:p w14:paraId="05D9C8A4" w14:textId="76783F0B"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45</w:t>
            </w:r>
          </w:p>
        </w:tc>
        <w:tc>
          <w:tcPr>
            <w:tcW w:w="933" w:type="dxa"/>
            <w:vAlign w:val="center"/>
          </w:tcPr>
          <w:p w14:paraId="0EF2E3D1" w14:textId="2225C7B1"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43</w:t>
            </w:r>
          </w:p>
        </w:tc>
        <w:tc>
          <w:tcPr>
            <w:tcW w:w="937" w:type="dxa"/>
            <w:vAlign w:val="center"/>
          </w:tcPr>
          <w:p w14:paraId="171A9129" w14:textId="7C52B299"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45</w:t>
            </w:r>
          </w:p>
        </w:tc>
        <w:tc>
          <w:tcPr>
            <w:tcW w:w="937" w:type="dxa"/>
            <w:vAlign w:val="center"/>
          </w:tcPr>
          <w:p w14:paraId="713F8944" w14:textId="4E9F5956" w:rsidR="006A0566" w:rsidRPr="003A29FA" w:rsidRDefault="00506B59" w:rsidP="00CB4698">
            <w:pPr>
              <w:widowControl w:val="0"/>
              <w:jc w:val="center"/>
              <w:rPr>
                <w:rFonts w:ascii="Arial" w:hAnsi="Arial" w:cs="Arial"/>
                <w:sz w:val="16"/>
                <w:szCs w:val="16"/>
                <w:u w:val="single"/>
              </w:rPr>
            </w:pPr>
            <w:r w:rsidRPr="002C7BE0">
              <w:rPr>
                <w:rFonts w:ascii="Arial" w:hAnsi="Arial" w:cs="Arial"/>
                <w:sz w:val="16"/>
                <w:szCs w:val="16"/>
                <w:u w:val="single"/>
              </w:rPr>
              <w:t>74</w:t>
            </w:r>
          </w:p>
        </w:tc>
        <w:tc>
          <w:tcPr>
            <w:tcW w:w="932" w:type="dxa"/>
            <w:vAlign w:val="center"/>
          </w:tcPr>
          <w:p w14:paraId="2D81D876" w14:textId="4284E393"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51</w:t>
            </w:r>
          </w:p>
        </w:tc>
        <w:tc>
          <w:tcPr>
            <w:tcW w:w="936" w:type="dxa"/>
            <w:shd w:val="clear" w:color="auto" w:fill="auto"/>
            <w:vAlign w:val="center"/>
          </w:tcPr>
          <w:p w14:paraId="6959E9ED" w14:textId="4EE1E045" w:rsidR="006A0566" w:rsidRPr="00424A11" w:rsidRDefault="0031302C" w:rsidP="00CB4698">
            <w:pPr>
              <w:widowControl w:val="0"/>
              <w:jc w:val="center"/>
              <w:rPr>
                <w:rFonts w:ascii="Arial" w:hAnsi="Arial" w:cs="Arial"/>
                <w:sz w:val="16"/>
                <w:szCs w:val="16"/>
              </w:rPr>
            </w:pPr>
            <w:r w:rsidRPr="00424A11">
              <w:rPr>
                <w:rFonts w:ascii="Arial" w:hAnsi="Arial" w:cs="Arial"/>
                <w:sz w:val="16"/>
                <w:szCs w:val="16"/>
              </w:rPr>
              <w:t>43</w:t>
            </w:r>
          </w:p>
        </w:tc>
        <w:tc>
          <w:tcPr>
            <w:tcW w:w="800" w:type="dxa"/>
            <w:vAlign w:val="center"/>
          </w:tcPr>
          <w:p w14:paraId="397018BE" w14:textId="77777777" w:rsidR="006A0566" w:rsidRPr="00424A11" w:rsidRDefault="006A0566" w:rsidP="00CB4698">
            <w:pPr>
              <w:widowControl w:val="0"/>
              <w:jc w:val="center"/>
              <w:rPr>
                <w:rFonts w:ascii="Arial" w:hAnsi="Arial" w:cs="Arial"/>
                <w:b/>
                <w:sz w:val="16"/>
                <w:szCs w:val="16"/>
              </w:rPr>
            </w:pPr>
            <w:r w:rsidRPr="00424A11">
              <w:rPr>
                <w:rFonts w:ascii="Arial" w:hAnsi="Arial" w:cs="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bookmarkEnd w:id="2"/>
    <w:p w14:paraId="0C6DDF68" w14:textId="4019C1D6" w:rsidR="00A30AB0" w:rsidRDefault="00A30AB0">
      <w:pPr>
        <w:rPr>
          <w:rFonts w:ascii="Arial" w:eastAsia="Arial" w:hAnsi="Arial" w:cs="Arial"/>
          <w:b/>
          <w:iCs/>
          <w:caps/>
          <w:sz w:val="16"/>
          <w:szCs w:val="16"/>
          <w:lang w:val="de"/>
        </w:rPr>
      </w:pPr>
      <w:r>
        <w:rPr>
          <w:rFonts w:ascii="Arial" w:eastAsia="Arial" w:hAnsi="Arial" w:cs="Arial"/>
          <w:b/>
          <w:iCs/>
          <w:caps/>
          <w:sz w:val="16"/>
          <w:szCs w:val="16"/>
          <w:lang w:val="de"/>
        </w:rPr>
        <w:br w:type="page"/>
      </w:r>
    </w:p>
    <w:p w14:paraId="4AAB2CD2" w14:textId="7480CE0E" w:rsidR="32E3C701" w:rsidRPr="00487ECE" w:rsidRDefault="32E3C701" w:rsidP="0071679E">
      <w:pPr>
        <w:spacing w:after="0"/>
        <w:rPr>
          <w:b/>
          <w:iCs/>
          <w:sz w:val="16"/>
          <w:szCs w:val="16"/>
        </w:rPr>
      </w:pPr>
      <w:r w:rsidRPr="00487ECE">
        <w:rPr>
          <w:rFonts w:ascii="Arial" w:eastAsia="Arial" w:hAnsi="Arial" w:cs="Arial"/>
          <w:b/>
          <w:iCs/>
          <w:caps/>
          <w:sz w:val="16"/>
          <w:szCs w:val="16"/>
          <w:lang w:val="de"/>
        </w:rPr>
        <w:lastRenderedPageBreak/>
        <w:t>ÜBER GERMAN PROPERTY PARTNERS</w:t>
      </w:r>
      <w:r w:rsidR="0071679E">
        <w:rPr>
          <w:rFonts w:ascii="Arial" w:eastAsia="Arial" w:hAnsi="Arial" w:cs="Arial"/>
          <w:b/>
          <w:iCs/>
          <w:caps/>
          <w:sz w:val="16"/>
          <w:szCs w:val="16"/>
          <w:lang w:val="de"/>
        </w:rPr>
        <w:t xml:space="preserve"> (GPP)</w:t>
      </w:r>
    </w:p>
    <w:p w14:paraId="24D83185" w14:textId="1A476C50" w:rsidR="32E3C701" w:rsidRPr="00934090" w:rsidRDefault="00C00270" w:rsidP="00816FEE">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00B40217" w:rsidRPr="001A0E5E">
        <w:rPr>
          <w:rFonts w:ascii="Arial" w:eastAsia="Arial" w:hAnsi="Arial" w:cs="Arial"/>
          <w:b/>
          <w:bCs/>
          <w:iCs/>
          <w:sz w:val="16"/>
          <w:szCs w:val="16"/>
          <w:lang w:val="de"/>
        </w:rPr>
        <w:t>2020</w:t>
      </w:r>
      <w:r w:rsidR="00B40217" w:rsidRPr="001A0E5E">
        <w:rPr>
          <w:rFonts w:ascii="Arial" w:eastAsia="Arial" w:hAnsi="Arial" w:cs="Arial"/>
          <w:iCs/>
          <w:sz w:val="16"/>
          <w:szCs w:val="16"/>
          <w:lang w:val="de"/>
        </w:rPr>
        <w:t xml:space="preserve"> vermittelte G</w:t>
      </w:r>
      <w:r w:rsidR="00816FEE">
        <w:rPr>
          <w:rFonts w:ascii="Arial" w:eastAsia="Arial" w:hAnsi="Arial" w:cs="Arial"/>
          <w:iCs/>
          <w:sz w:val="16"/>
          <w:szCs w:val="16"/>
          <w:lang w:val="de"/>
        </w:rPr>
        <w:t>PP deutschlandweit rund 462.800 </w:t>
      </w:r>
      <w:r w:rsidR="00B40217" w:rsidRPr="001A0E5E">
        <w:rPr>
          <w:rFonts w:ascii="Arial" w:eastAsia="Arial" w:hAnsi="Arial" w:cs="Arial"/>
          <w:iCs/>
          <w:sz w:val="16"/>
          <w:szCs w:val="16"/>
          <w:lang w:val="de"/>
        </w:rPr>
        <w:t>m² Gewerbefläche und betreute ein Transaktionsvolumen in Höhe von rund 2,45 Mrd.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77675C83"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C00270">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C00270">
      <w:rPr>
        <w:rFonts w:ascii="Arial" w:hAnsi="Arial" w:cs="Arial"/>
        <w:b/>
        <w:noProof/>
        <w:sz w:val="18"/>
        <w:szCs w:val="18"/>
      </w:rPr>
      <w:t>4</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515"/>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4BF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2F0E"/>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8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058"/>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1B1"/>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8ED"/>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6980"/>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BE0"/>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302C"/>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E74"/>
    <w:rsid w:val="00392FE0"/>
    <w:rsid w:val="003933CC"/>
    <w:rsid w:val="0039350A"/>
    <w:rsid w:val="00393809"/>
    <w:rsid w:val="00393883"/>
    <w:rsid w:val="00393CB0"/>
    <w:rsid w:val="00393E83"/>
    <w:rsid w:val="0039412C"/>
    <w:rsid w:val="00394968"/>
    <w:rsid w:val="00394FB6"/>
    <w:rsid w:val="0039541D"/>
    <w:rsid w:val="0039593A"/>
    <w:rsid w:val="00395A6E"/>
    <w:rsid w:val="003972D7"/>
    <w:rsid w:val="003974EA"/>
    <w:rsid w:val="00397D5C"/>
    <w:rsid w:val="00397D7D"/>
    <w:rsid w:val="003A0BD4"/>
    <w:rsid w:val="003A15A2"/>
    <w:rsid w:val="003A15A4"/>
    <w:rsid w:val="003A1E3C"/>
    <w:rsid w:val="003A29FA"/>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2F6"/>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699"/>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4A11"/>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6F4"/>
    <w:rsid w:val="00461DE2"/>
    <w:rsid w:val="0046206C"/>
    <w:rsid w:val="004626BA"/>
    <w:rsid w:val="00462D1F"/>
    <w:rsid w:val="00462F1C"/>
    <w:rsid w:val="00462FC6"/>
    <w:rsid w:val="00463157"/>
    <w:rsid w:val="00463238"/>
    <w:rsid w:val="004633CB"/>
    <w:rsid w:val="004635B9"/>
    <w:rsid w:val="004637E8"/>
    <w:rsid w:val="00463ADD"/>
    <w:rsid w:val="00463FC2"/>
    <w:rsid w:val="00464DEB"/>
    <w:rsid w:val="004650A5"/>
    <w:rsid w:val="004652DE"/>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0A4"/>
    <w:rsid w:val="00480307"/>
    <w:rsid w:val="0048098F"/>
    <w:rsid w:val="00480DE6"/>
    <w:rsid w:val="004815B7"/>
    <w:rsid w:val="0048189E"/>
    <w:rsid w:val="00481A88"/>
    <w:rsid w:val="00482627"/>
    <w:rsid w:val="004826F2"/>
    <w:rsid w:val="00482D88"/>
    <w:rsid w:val="00482F5E"/>
    <w:rsid w:val="004834D2"/>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0CD"/>
    <w:rsid w:val="004D2427"/>
    <w:rsid w:val="004D27D2"/>
    <w:rsid w:val="004D2C98"/>
    <w:rsid w:val="004D32B7"/>
    <w:rsid w:val="004D33C3"/>
    <w:rsid w:val="004D3602"/>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EE9"/>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3DDE"/>
    <w:rsid w:val="00504357"/>
    <w:rsid w:val="0050461D"/>
    <w:rsid w:val="00504A8B"/>
    <w:rsid w:val="0050541B"/>
    <w:rsid w:val="005058E5"/>
    <w:rsid w:val="00506693"/>
    <w:rsid w:val="00506B59"/>
    <w:rsid w:val="00506C9D"/>
    <w:rsid w:val="00507D2F"/>
    <w:rsid w:val="0051013F"/>
    <w:rsid w:val="00510346"/>
    <w:rsid w:val="005106FC"/>
    <w:rsid w:val="00510DCB"/>
    <w:rsid w:val="0051115E"/>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6D02"/>
    <w:rsid w:val="005175C2"/>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4FB6"/>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5B8"/>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3B6"/>
    <w:rsid w:val="006170EE"/>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A04"/>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8E"/>
    <w:rsid w:val="006958D9"/>
    <w:rsid w:val="00696DF7"/>
    <w:rsid w:val="006A02FE"/>
    <w:rsid w:val="006A0566"/>
    <w:rsid w:val="006A10E7"/>
    <w:rsid w:val="006A1816"/>
    <w:rsid w:val="006A19E0"/>
    <w:rsid w:val="006A1C35"/>
    <w:rsid w:val="006A1F2B"/>
    <w:rsid w:val="006A1FCC"/>
    <w:rsid w:val="006A1FF6"/>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12B"/>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6CF3"/>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7D3"/>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6FEE"/>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0DB"/>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0C49"/>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0CB"/>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59F"/>
    <w:rsid w:val="00A13ADC"/>
    <w:rsid w:val="00A13DFD"/>
    <w:rsid w:val="00A14898"/>
    <w:rsid w:val="00A148E6"/>
    <w:rsid w:val="00A15C00"/>
    <w:rsid w:val="00A15C65"/>
    <w:rsid w:val="00A161F4"/>
    <w:rsid w:val="00A17611"/>
    <w:rsid w:val="00A17B9C"/>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0AB0"/>
    <w:rsid w:val="00A3216E"/>
    <w:rsid w:val="00A32202"/>
    <w:rsid w:val="00A32AE9"/>
    <w:rsid w:val="00A32E36"/>
    <w:rsid w:val="00A3351D"/>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0F"/>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A06"/>
    <w:rsid w:val="00A92F19"/>
    <w:rsid w:val="00A92F1C"/>
    <w:rsid w:val="00A92FA3"/>
    <w:rsid w:val="00A930D9"/>
    <w:rsid w:val="00A938AE"/>
    <w:rsid w:val="00A938EA"/>
    <w:rsid w:val="00A93EA3"/>
    <w:rsid w:val="00A9405D"/>
    <w:rsid w:val="00A944F3"/>
    <w:rsid w:val="00A9451F"/>
    <w:rsid w:val="00A94CBD"/>
    <w:rsid w:val="00A9552F"/>
    <w:rsid w:val="00A9577D"/>
    <w:rsid w:val="00A95B69"/>
    <w:rsid w:val="00A96702"/>
    <w:rsid w:val="00A9695F"/>
    <w:rsid w:val="00A969A5"/>
    <w:rsid w:val="00A97291"/>
    <w:rsid w:val="00A976F6"/>
    <w:rsid w:val="00A97860"/>
    <w:rsid w:val="00A97C91"/>
    <w:rsid w:val="00AA0069"/>
    <w:rsid w:val="00AA031E"/>
    <w:rsid w:val="00AA03B0"/>
    <w:rsid w:val="00AA0893"/>
    <w:rsid w:val="00AA12C4"/>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217"/>
    <w:rsid w:val="00B40642"/>
    <w:rsid w:val="00B41DF7"/>
    <w:rsid w:val="00B4234E"/>
    <w:rsid w:val="00B43602"/>
    <w:rsid w:val="00B436A0"/>
    <w:rsid w:val="00B43C56"/>
    <w:rsid w:val="00B43F6E"/>
    <w:rsid w:val="00B440CA"/>
    <w:rsid w:val="00B4444A"/>
    <w:rsid w:val="00B44A04"/>
    <w:rsid w:val="00B450E3"/>
    <w:rsid w:val="00B45295"/>
    <w:rsid w:val="00B456EB"/>
    <w:rsid w:val="00B45746"/>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093"/>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270"/>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191"/>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163"/>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77743"/>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831"/>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5F6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0E7"/>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4D76"/>
    <w:rsid w:val="00E46368"/>
    <w:rsid w:val="00E464CF"/>
    <w:rsid w:val="00E466B2"/>
    <w:rsid w:val="00E466D8"/>
    <w:rsid w:val="00E47331"/>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B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C81"/>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7D2"/>
    <w:rsid w:val="00F97A75"/>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3B5"/>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schemas.openxmlformats.org/package/2006/metadata/core-properties"/>
    <ds:schemaRef ds:uri="http://purl.org/dc/dcmitype/"/>
    <ds:schemaRef ds:uri="http://purl.org/dc/elements/1.1/"/>
    <ds:schemaRef ds:uri="84aed6d6-a926-4909-ae89-377442fd3b88"/>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C33E4-B434-46A1-8806-6835A650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7</cp:revision>
  <cp:lastPrinted>2020-12-30T12:20:00Z</cp:lastPrinted>
  <dcterms:created xsi:type="dcterms:W3CDTF">2021-04-06T09:36:00Z</dcterms:created>
  <dcterms:modified xsi:type="dcterms:W3CDTF">2021-04-07T09:05:00Z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