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762" w:rsidRDefault="00794762" w:rsidP="00794762">
      <w:pPr>
        <w:rPr>
          <w:rFonts w:ascii="Plain Thin" w:hAnsi="Plain Thin"/>
          <w:sz w:val="24"/>
          <w:szCs w:val="24"/>
        </w:rPr>
      </w:pPr>
      <w:r>
        <w:rPr>
          <w:rFonts w:ascii="Plain Thin" w:hAnsi="Plain Thin"/>
          <w:noProof/>
          <w:sz w:val="24"/>
          <w:szCs w:val="24"/>
          <w:lang w:eastAsia="de-DE"/>
        </w:rPr>
        <w:drawing>
          <wp:anchor distT="0" distB="0" distL="114300" distR="114300" simplePos="0" relativeHeight="251659264" behindDoc="0" locked="0" layoutInCell="1" allowOverlap="1" wp14:anchorId="73368EC5" wp14:editId="0F10060B">
            <wp:simplePos x="0" y="0"/>
            <wp:positionH relativeFrom="column">
              <wp:posOffset>3805555</wp:posOffset>
            </wp:positionH>
            <wp:positionV relativeFrom="paragraph">
              <wp:posOffset>198755</wp:posOffset>
            </wp:positionV>
            <wp:extent cx="2137410" cy="547370"/>
            <wp:effectExtent l="0" t="0" r="0" b="508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2137410" cy="547370"/>
                    </a:xfrm>
                    <a:prstGeom prst="rect">
                      <a:avLst/>
                    </a:prstGeom>
                    <a:noFill/>
                  </pic:spPr>
                </pic:pic>
              </a:graphicData>
            </a:graphic>
            <wp14:sizeRelH relativeFrom="margin">
              <wp14:pctWidth>0</wp14:pctWidth>
            </wp14:sizeRelH>
            <wp14:sizeRelV relativeFrom="margin">
              <wp14:pctHeight>0</wp14:pctHeight>
            </wp14:sizeRelV>
          </wp:anchor>
        </w:drawing>
      </w:r>
    </w:p>
    <w:p w:rsidR="00794762" w:rsidRDefault="00794762" w:rsidP="00794762">
      <w:pPr>
        <w:rPr>
          <w:rFonts w:ascii="Plain Thin" w:hAnsi="Plain Thin"/>
          <w:sz w:val="24"/>
          <w:szCs w:val="24"/>
        </w:rPr>
      </w:pPr>
    </w:p>
    <w:p w:rsidR="00794762" w:rsidRPr="00794762" w:rsidRDefault="00794762">
      <w:pPr>
        <w:rPr>
          <w:rFonts w:ascii="Plain Thin" w:hAnsi="Plain Thin"/>
          <w:sz w:val="24"/>
          <w:szCs w:val="24"/>
        </w:rPr>
      </w:pPr>
      <w:r w:rsidRPr="00B81B9B">
        <w:rPr>
          <w:rFonts w:ascii="Plain Thin" w:hAnsi="Plain Thin"/>
          <w:sz w:val="24"/>
          <w:szCs w:val="24"/>
        </w:rPr>
        <w:t>PRESSEINFORMATION</w:t>
      </w:r>
    </w:p>
    <w:p w:rsidR="004F65D1" w:rsidRDefault="00671FDB">
      <w:pPr>
        <w:rPr>
          <w:rFonts w:ascii="Plain Light" w:hAnsi="Plain Light"/>
          <w:sz w:val="32"/>
          <w:szCs w:val="32"/>
        </w:rPr>
      </w:pPr>
      <w:r>
        <w:rPr>
          <w:rFonts w:ascii="Plain Light" w:hAnsi="Plain Light"/>
          <w:sz w:val="32"/>
          <w:szCs w:val="32"/>
        </w:rPr>
        <w:t>„Personeng</w:t>
      </w:r>
      <w:r w:rsidR="00636F29" w:rsidRPr="00BB779D">
        <w:rPr>
          <w:rFonts w:ascii="Plain Light" w:hAnsi="Plain Light"/>
          <w:sz w:val="32"/>
          <w:szCs w:val="32"/>
        </w:rPr>
        <w:t xml:space="preserve">esellschaften müssen jetzt handeln“: </w:t>
      </w:r>
    </w:p>
    <w:p w:rsidR="00514474" w:rsidRPr="00BB779D" w:rsidRDefault="00636F29">
      <w:pPr>
        <w:rPr>
          <w:rFonts w:ascii="Plain Light" w:hAnsi="Plain Light"/>
          <w:sz w:val="32"/>
          <w:szCs w:val="32"/>
        </w:rPr>
      </w:pPr>
      <w:bookmarkStart w:id="0" w:name="_GoBack"/>
      <w:bookmarkEnd w:id="0"/>
      <w:r w:rsidRPr="00BB779D">
        <w:rPr>
          <w:rFonts w:ascii="Plain Light" w:hAnsi="Plain Light"/>
          <w:sz w:val="32"/>
          <w:szCs w:val="32"/>
        </w:rPr>
        <w:t xml:space="preserve">ETL Rechtsanwälte informieren im </w:t>
      </w:r>
      <w:r w:rsidR="00852DA1" w:rsidRPr="00BB779D">
        <w:rPr>
          <w:rFonts w:ascii="Plain Light" w:hAnsi="Plain Light"/>
          <w:sz w:val="32"/>
          <w:szCs w:val="32"/>
        </w:rPr>
        <w:t xml:space="preserve">aktuellen </w:t>
      </w:r>
      <w:r w:rsidRPr="00BB779D">
        <w:rPr>
          <w:rFonts w:ascii="Plain Light" w:hAnsi="Plain Light"/>
          <w:sz w:val="32"/>
          <w:szCs w:val="32"/>
        </w:rPr>
        <w:t xml:space="preserve">Whitepaper über die </w:t>
      </w:r>
      <w:r w:rsidR="008E1D51" w:rsidRPr="00BB779D">
        <w:rPr>
          <w:rFonts w:ascii="Plain Light" w:hAnsi="Plain Light"/>
          <w:sz w:val="32"/>
          <w:szCs w:val="32"/>
        </w:rPr>
        <w:t xml:space="preserve">Jahrhundertreform </w:t>
      </w:r>
      <w:proofErr w:type="spellStart"/>
      <w:r w:rsidR="008E1D51" w:rsidRPr="00BB779D">
        <w:rPr>
          <w:rFonts w:ascii="Plain Light" w:hAnsi="Plain Light"/>
          <w:sz w:val="32"/>
          <w:szCs w:val="32"/>
        </w:rPr>
        <w:t>MoPeG</w:t>
      </w:r>
      <w:proofErr w:type="spellEnd"/>
      <w:r w:rsidRPr="00BB779D">
        <w:rPr>
          <w:rFonts w:ascii="Plain Light" w:hAnsi="Plain Light"/>
          <w:sz w:val="32"/>
          <w:szCs w:val="32"/>
        </w:rPr>
        <w:t xml:space="preserve"> </w:t>
      </w:r>
      <w:r w:rsidR="00BB779D" w:rsidRPr="00BB779D">
        <w:rPr>
          <w:rFonts w:ascii="Plain Light" w:hAnsi="Plain Light"/>
          <w:sz w:val="32"/>
          <w:szCs w:val="32"/>
        </w:rPr>
        <w:t>–</w:t>
      </w:r>
      <w:r w:rsidR="00BB779D">
        <w:rPr>
          <w:rFonts w:ascii="Plain Light" w:hAnsi="Plain Light"/>
          <w:sz w:val="32"/>
          <w:szCs w:val="32"/>
        </w:rPr>
        <w:t xml:space="preserve"> Transparenz und Rechtssicherheit für ein modernes Wirtschaftsleben</w:t>
      </w:r>
    </w:p>
    <w:p w:rsidR="008E1D51" w:rsidRDefault="008E1D51">
      <w:pPr>
        <w:rPr>
          <w:b/>
          <w:sz w:val="28"/>
          <w:szCs w:val="28"/>
        </w:rPr>
      </w:pPr>
    </w:p>
    <w:p w:rsidR="00221C2E" w:rsidRPr="00794762" w:rsidRDefault="003C23CB">
      <w:pPr>
        <w:rPr>
          <w:rFonts w:ascii="Plain Thin" w:hAnsi="Plain Thin"/>
          <w:b/>
        </w:rPr>
      </w:pPr>
      <w:r>
        <w:rPr>
          <w:rFonts w:ascii="Plain Thin" w:hAnsi="Plain Thin"/>
          <w:b/>
        </w:rPr>
        <w:t>Berlin/Essen. 11</w:t>
      </w:r>
      <w:r w:rsidR="008E1D51" w:rsidRPr="00794762">
        <w:rPr>
          <w:rFonts w:ascii="Plain Thin" w:hAnsi="Plain Thin"/>
          <w:b/>
        </w:rPr>
        <w:t xml:space="preserve">.12.2021. </w:t>
      </w:r>
      <w:r w:rsidR="0057060A" w:rsidRPr="00794762">
        <w:rPr>
          <w:rFonts w:ascii="Plain Thin" w:hAnsi="Plain Thin"/>
          <w:b/>
        </w:rPr>
        <w:t xml:space="preserve">Es ist eine Jahrhundertreform, die der 19. Deutsche Bundestag kurz vor dem Auslaufen der Legislaturperiode beschlossen hat: Das Gesetz zur Modernisierung des Personengesellschaftsrechts – kurz </w:t>
      </w:r>
      <w:proofErr w:type="spellStart"/>
      <w:r w:rsidR="0057060A" w:rsidRPr="00794762">
        <w:rPr>
          <w:rFonts w:ascii="Plain Thin" w:hAnsi="Plain Thin"/>
          <w:b/>
        </w:rPr>
        <w:t>MoPeG</w:t>
      </w:r>
      <w:proofErr w:type="spellEnd"/>
      <w:r w:rsidR="0057060A" w:rsidRPr="00794762">
        <w:rPr>
          <w:rFonts w:ascii="Plain Thin" w:hAnsi="Plain Thin"/>
          <w:b/>
        </w:rPr>
        <w:t>. Der sperrig klingende Name und d</w:t>
      </w:r>
      <w:r w:rsidR="00562B1F" w:rsidRPr="00794762">
        <w:rPr>
          <w:rFonts w:ascii="Plain Thin" w:hAnsi="Plain Thin"/>
          <w:b/>
        </w:rPr>
        <w:t>ie</w:t>
      </w:r>
      <w:r w:rsidR="0057060A" w:rsidRPr="00794762">
        <w:rPr>
          <w:rFonts w:ascii="Plain Thin" w:hAnsi="Plain Thin"/>
          <w:b/>
        </w:rPr>
        <w:t xml:space="preserve"> vermeintlich </w:t>
      </w:r>
      <w:r w:rsidR="00562B1F" w:rsidRPr="00794762">
        <w:rPr>
          <w:rFonts w:ascii="Plain Thin" w:hAnsi="Plain Thin"/>
          <w:b/>
        </w:rPr>
        <w:t>lange Übergangsfrist bis zum 31.12.2023</w:t>
      </w:r>
      <w:r w:rsidR="00627312">
        <w:rPr>
          <w:rFonts w:ascii="Plain Thin" w:hAnsi="Plain Thin"/>
          <w:b/>
        </w:rPr>
        <w:t xml:space="preserve"> sollten Unternehmen</w:t>
      </w:r>
      <w:r w:rsidR="0057060A" w:rsidRPr="00794762">
        <w:rPr>
          <w:rFonts w:ascii="Plain Thin" w:hAnsi="Plain Thin"/>
          <w:b/>
        </w:rPr>
        <w:t xml:space="preserve"> </w:t>
      </w:r>
      <w:r w:rsidR="00221C2E" w:rsidRPr="00794762">
        <w:rPr>
          <w:rFonts w:ascii="Plain Thin" w:hAnsi="Plain Thin"/>
          <w:b/>
        </w:rPr>
        <w:t>aller Gesellschaftskonstellationen aber nicht vom zügigen Handeln abhalten. Schließlich ändert die Reform über 130 Gesetze und Verordnungen. In einem extra herausgegebenen</w:t>
      </w:r>
      <w:r w:rsidR="00BB779D">
        <w:rPr>
          <w:rFonts w:ascii="Plain Thin" w:hAnsi="Plain Thin"/>
          <w:b/>
        </w:rPr>
        <w:t xml:space="preserve"> interdisziplinären</w:t>
      </w:r>
      <w:r w:rsidR="00221C2E" w:rsidRPr="00794762">
        <w:rPr>
          <w:rFonts w:ascii="Plain Thin" w:hAnsi="Plain Thin"/>
          <w:b/>
        </w:rPr>
        <w:t xml:space="preserve"> Whitepaper beleuchten die Fachexperten der ETL Rechtsanwälte daher in sechs Beiträgen die wichtigsten Änderungen und ihre Folgen für die Unternehmen in Deutschland.</w:t>
      </w:r>
    </w:p>
    <w:p w:rsidR="00624DB8" w:rsidRPr="00794762" w:rsidRDefault="00624DB8">
      <w:pPr>
        <w:rPr>
          <w:rFonts w:ascii="Plain Thin" w:hAnsi="Plain Thin"/>
        </w:rPr>
      </w:pPr>
      <w:r w:rsidRPr="00794762">
        <w:rPr>
          <w:rFonts w:ascii="Plain Thin" w:hAnsi="Plain Thin"/>
        </w:rPr>
        <w:t xml:space="preserve">Das </w:t>
      </w:r>
      <w:proofErr w:type="spellStart"/>
      <w:r w:rsidRPr="00794762">
        <w:rPr>
          <w:rFonts w:ascii="Plain Thin" w:hAnsi="Plain Thin"/>
        </w:rPr>
        <w:t>MoPeG</w:t>
      </w:r>
      <w:proofErr w:type="spellEnd"/>
      <w:r w:rsidRPr="00794762">
        <w:rPr>
          <w:rFonts w:ascii="Plain Thin" w:hAnsi="Plain Thin"/>
        </w:rPr>
        <w:t>, so heißt es im Whitepaper der ETL Rechtsanwälte, reformiert das in großen Teilen mehr als 100 Jahre alte deutsche Recht der Personengesellschaften und passt dieses der bisherigen Rechtsprechung des Bundesgerichtshofs an. Die Vorschriften zur Ge</w:t>
      </w:r>
      <w:r w:rsidR="00627312">
        <w:rPr>
          <w:rFonts w:ascii="Plain Thin" w:hAnsi="Plain Thin"/>
        </w:rPr>
        <w:t>sellschaft bürgerlichen Rechts</w:t>
      </w:r>
      <w:r w:rsidRPr="00794762">
        <w:rPr>
          <w:rFonts w:ascii="Plain Thin" w:hAnsi="Plain Thin"/>
        </w:rPr>
        <w:t>, das Recht der offenen Handelsgesellschaft (OHG) und</w:t>
      </w:r>
      <w:r w:rsidR="00794762">
        <w:rPr>
          <w:rFonts w:ascii="Plain Thin" w:hAnsi="Plain Thin"/>
        </w:rPr>
        <w:t xml:space="preserve"> auch</w:t>
      </w:r>
      <w:r w:rsidRPr="00794762">
        <w:rPr>
          <w:rFonts w:ascii="Plain Thin" w:hAnsi="Plain Thin"/>
        </w:rPr>
        <w:t xml:space="preserve"> der Kommanditgesellschaft (KG), um nur die wichtigsten zu nennen, werden dabei grundlegend neu gefasst und strukturiert. </w:t>
      </w:r>
      <w:r w:rsidR="00794762">
        <w:rPr>
          <w:rFonts w:ascii="Plain Thin" w:hAnsi="Plain Thin"/>
        </w:rPr>
        <w:t>Dementsprechend</w:t>
      </w:r>
      <w:r w:rsidRPr="00794762">
        <w:rPr>
          <w:rFonts w:ascii="Plain Thin" w:hAnsi="Plain Thin"/>
        </w:rPr>
        <w:t xml:space="preserve"> ergibt sich nach Auffassung der ETL Rechtsanwälte „Handlungsbedarf für nahezu alle Gesellschaftskonstellationen.“</w:t>
      </w:r>
    </w:p>
    <w:p w:rsidR="00BB779D" w:rsidRDefault="00BB779D">
      <w:pPr>
        <w:rPr>
          <w:rFonts w:ascii="Plain Thin" w:hAnsi="Plain Thin"/>
        </w:rPr>
      </w:pPr>
      <w:r w:rsidRPr="00BB779D">
        <w:rPr>
          <w:rFonts w:ascii="Plain Thin" w:hAnsi="Plain Thin"/>
        </w:rPr>
        <w:t>Die Einführung eines Gesellschaftsregisters, die Schaffung eines handhabbaren Beschlussmängelrecht</w:t>
      </w:r>
      <w:r w:rsidR="00B8006F">
        <w:rPr>
          <w:rFonts w:ascii="Plain Thin" w:hAnsi="Plain Thin"/>
        </w:rPr>
        <w:t>s</w:t>
      </w:r>
      <w:r w:rsidRPr="00BB779D">
        <w:rPr>
          <w:rFonts w:ascii="Plain Thin" w:hAnsi="Plain Thin"/>
        </w:rPr>
        <w:t xml:space="preserve"> für Personenhandelsgesellschaften und die prinzipielle Öffnung der Personenhandelsgesellschaften für die Freien Berufe durch das </w:t>
      </w:r>
      <w:proofErr w:type="spellStart"/>
      <w:r w:rsidRPr="00BB779D">
        <w:rPr>
          <w:rFonts w:ascii="Plain Thin" w:hAnsi="Plain Thin"/>
        </w:rPr>
        <w:t>MoPeG</w:t>
      </w:r>
      <w:proofErr w:type="spellEnd"/>
      <w:r w:rsidRPr="00BB779D">
        <w:rPr>
          <w:rFonts w:ascii="Plain Thin" w:hAnsi="Plain Thin"/>
        </w:rPr>
        <w:t xml:space="preserve"> sind </w:t>
      </w:r>
      <w:r>
        <w:rPr>
          <w:rFonts w:ascii="Plain Thin" w:hAnsi="Plain Thin"/>
        </w:rPr>
        <w:t xml:space="preserve">laut ETL-Rechtsanwälte </w:t>
      </w:r>
      <w:r w:rsidRPr="00BB779D">
        <w:rPr>
          <w:rFonts w:ascii="Plain Thin" w:hAnsi="Plain Thin"/>
        </w:rPr>
        <w:t>ausdrücklich zu b</w:t>
      </w:r>
      <w:r>
        <w:rPr>
          <w:rFonts w:ascii="Plain Thin" w:hAnsi="Plain Thin"/>
        </w:rPr>
        <w:t xml:space="preserve">egrüßen. Insbesondere </w:t>
      </w:r>
      <w:r w:rsidRPr="00BB779D">
        <w:rPr>
          <w:rFonts w:ascii="Plain Thin" w:hAnsi="Plain Thin"/>
        </w:rPr>
        <w:t>das Gesellschaftsregister wird den Rechtsverkehr mit Gesellschaften bürgerlichen Rechts umfassend erleichtern, die Rechtssicherheit bei Vertragsschluss signifikant erhöhen und das Grundbuchverfahren von Eintragungen des Gesellschafterwechsels entlasten.</w:t>
      </w:r>
    </w:p>
    <w:p w:rsidR="00562B1F" w:rsidRPr="00794762" w:rsidRDefault="00562B1F">
      <w:pPr>
        <w:rPr>
          <w:rFonts w:ascii="Plain Thin" w:hAnsi="Plain Thin"/>
        </w:rPr>
      </w:pPr>
      <w:r w:rsidRPr="00794762">
        <w:rPr>
          <w:rFonts w:ascii="Plain Thin" w:hAnsi="Plain Thin"/>
        </w:rPr>
        <w:t xml:space="preserve">Im nun veröffentlichten Whitepaper wollen die Fachexperten der ETL Rechtsanwälte rechtzeitig Klarheit bei den potenziellen Betroffenen schaffen und für die Folgen der „Jahrhundertreform“ sensibilisieren. Wen betrifft die </w:t>
      </w:r>
      <w:proofErr w:type="spellStart"/>
      <w:r w:rsidRPr="00794762">
        <w:rPr>
          <w:rFonts w:ascii="Plain Thin" w:hAnsi="Plain Thin"/>
        </w:rPr>
        <w:t>MoPeG</w:t>
      </w:r>
      <w:proofErr w:type="spellEnd"/>
      <w:r w:rsidRPr="00794762">
        <w:rPr>
          <w:rFonts w:ascii="Plain Thin" w:hAnsi="Plain Thin"/>
        </w:rPr>
        <w:t>-Reform? Was sind die wichtigsten Neuerungen? Wo besteht der dringendste Handlungsbedarf? Auf 24 Seiten gibt das Whitepaper komp</w:t>
      </w:r>
      <w:r w:rsidR="00627312">
        <w:rPr>
          <w:rFonts w:ascii="Plain Thin" w:hAnsi="Plain Thin"/>
        </w:rPr>
        <w:t>akt und ansprechend illustriert –</w:t>
      </w:r>
      <w:r w:rsidRPr="00794762">
        <w:rPr>
          <w:rFonts w:ascii="Plain Thin" w:hAnsi="Plain Thin"/>
        </w:rPr>
        <w:t xml:space="preserve"> „so lang wie</w:t>
      </w:r>
      <w:r w:rsidR="00627312">
        <w:rPr>
          <w:rFonts w:ascii="Plain Thin" w:hAnsi="Plain Thin"/>
        </w:rPr>
        <w:t xml:space="preserve"> nötig und so kurz wie möglich“ –</w:t>
      </w:r>
      <w:r w:rsidRPr="00794762">
        <w:rPr>
          <w:rFonts w:ascii="Plain Thin" w:hAnsi="Plain Thin"/>
        </w:rPr>
        <w:t xml:space="preserve"> einen Überblick über die Eckpunkte der Verordnung.</w:t>
      </w:r>
    </w:p>
    <w:p w:rsidR="00562B1F" w:rsidRPr="00794762" w:rsidRDefault="00627312">
      <w:pPr>
        <w:rPr>
          <w:rFonts w:ascii="Plain Thin" w:hAnsi="Plain Thin"/>
        </w:rPr>
      </w:pPr>
      <w:r>
        <w:rPr>
          <w:rFonts w:ascii="Plain Thin" w:hAnsi="Plain Thin"/>
        </w:rPr>
        <w:lastRenderedPageBreak/>
        <w:t xml:space="preserve">Der </w:t>
      </w:r>
      <w:r w:rsidR="00562B1F" w:rsidRPr="00794762">
        <w:rPr>
          <w:rFonts w:ascii="Plain Thin" w:hAnsi="Plain Thin"/>
        </w:rPr>
        <w:t xml:space="preserve">ETL-Fachanwalt für Handels- und Gesellschaftsrecht Jörg Hahn erläutert, wie der Kern der </w:t>
      </w:r>
      <w:proofErr w:type="spellStart"/>
      <w:r w:rsidR="00562B1F" w:rsidRPr="00794762">
        <w:rPr>
          <w:rFonts w:ascii="Plain Thin" w:hAnsi="Plain Thin"/>
        </w:rPr>
        <w:t>MoPeG</w:t>
      </w:r>
      <w:proofErr w:type="spellEnd"/>
      <w:r w:rsidR="00562B1F" w:rsidRPr="00794762">
        <w:rPr>
          <w:rFonts w:ascii="Plain Thin" w:hAnsi="Plain Thin"/>
        </w:rPr>
        <w:t xml:space="preserve">-Reform aufgebaut ist. ETL-Arbeitsrechtexperte Dr. Uwe P. Schlegel weist auf rechtliche und wirtschaftliche Fallstricke hin, die es zu beachten gilt. In zwei weiteren Beiträgen betrachtet die ETL-Fachanwältin für Medizinrecht Katrin-C. Beyer die Änderungen der </w:t>
      </w:r>
      <w:proofErr w:type="spellStart"/>
      <w:r w:rsidR="00562B1F" w:rsidRPr="00794762">
        <w:rPr>
          <w:rFonts w:ascii="Plain Thin" w:hAnsi="Plain Thin"/>
        </w:rPr>
        <w:t>MoPeG</w:t>
      </w:r>
      <w:proofErr w:type="spellEnd"/>
      <w:r w:rsidR="00562B1F" w:rsidRPr="00794762">
        <w:rPr>
          <w:rFonts w:ascii="Plain Thin" w:hAnsi="Plain Thin"/>
        </w:rPr>
        <w:t>-</w:t>
      </w:r>
      <w:r>
        <w:rPr>
          <w:rFonts w:ascii="Plain Thin" w:hAnsi="Plain Thin"/>
        </w:rPr>
        <w:t xml:space="preserve">Reform für Ärzte und Zahnärzte. Ein abschließender Beitrag untersucht, ob die </w:t>
      </w:r>
      <w:proofErr w:type="spellStart"/>
      <w:r>
        <w:rPr>
          <w:rFonts w:ascii="Plain Thin" w:hAnsi="Plain Thin"/>
        </w:rPr>
        <w:t>MoPeG</w:t>
      </w:r>
      <w:proofErr w:type="spellEnd"/>
      <w:r>
        <w:rPr>
          <w:rFonts w:ascii="Plain Thin" w:hAnsi="Plain Thin"/>
        </w:rPr>
        <w:t>-Reform das Ende für Partnerschaftsgesellschaften bedeutet.</w:t>
      </w:r>
    </w:p>
    <w:p w:rsidR="00221C2E" w:rsidRPr="00794762" w:rsidRDefault="00B6122D">
      <w:pPr>
        <w:rPr>
          <w:rFonts w:ascii="Plain Thin" w:hAnsi="Plain Thin"/>
        </w:rPr>
      </w:pPr>
      <w:r w:rsidRPr="00794762">
        <w:rPr>
          <w:rFonts w:ascii="Plain Thin" w:hAnsi="Plain Thin"/>
        </w:rPr>
        <w:t>Das Whitepaper der ETL Rechtsanwälte steht ab sofort kostenlos zum Download bereit:</w:t>
      </w:r>
    </w:p>
    <w:p w:rsidR="001E7B95" w:rsidRPr="00627312" w:rsidRDefault="004F65D1">
      <w:pPr>
        <w:rPr>
          <w:rFonts w:ascii="Plain Thin" w:hAnsi="Plain Thin"/>
        </w:rPr>
      </w:pPr>
      <w:hyperlink r:id="rId5" w:history="1">
        <w:r w:rsidR="001E7B95" w:rsidRPr="00627312">
          <w:rPr>
            <w:rStyle w:val="Hyperlink"/>
            <w:rFonts w:ascii="Plain Thin" w:hAnsi="Plain Thin"/>
          </w:rPr>
          <w:t>https://www.etl.de/zeigepdf/transfer/ETL_Rechtsanwaelte_Whitepaper_MoPeG</w:t>
        </w:r>
      </w:hyperlink>
    </w:p>
    <w:p w:rsidR="001E7B95" w:rsidRDefault="001E7B95">
      <w:pPr>
        <w:rPr>
          <w:rFonts w:ascii="Plain Thin" w:hAnsi="Plain Thin"/>
        </w:rPr>
      </w:pPr>
    </w:p>
    <w:p w:rsidR="007B00E7" w:rsidRDefault="007B00E7">
      <w:pPr>
        <w:rPr>
          <w:rFonts w:ascii="Plain Thin" w:hAnsi="Plain Thin"/>
        </w:rPr>
      </w:pPr>
      <w:r w:rsidRPr="007B00E7">
        <w:rPr>
          <w:rFonts w:ascii="Plain Thin" w:hAnsi="Plain Thin"/>
        </w:rPr>
        <w:t xml:space="preserve">Zur Homepage mit weiteren Informationen rund um die </w:t>
      </w:r>
      <w:proofErr w:type="spellStart"/>
      <w:r w:rsidRPr="007B00E7">
        <w:rPr>
          <w:rFonts w:ascii="Plain Thin" w:hAnsi="Plain Thin"/>
        </w:rPr>
        <w:t>MoPeG</w:t>
      </w:r>
      <w:proofErr w:type="spellEnd"/>
      <w:r w:rsidRPr="007B00E7">
        <w:rPr>
          <w:rFonts w:ascii="Plain Thin" w:hAnsi="Plain Thin"/>
        </w:rPr>
        <w:t>-Reform:</w:t>
      </w:r>
      <w:r>
        <w:rPr>
          <w:rFonts w:ascii="Plain Thin" w:hAnsi="Plain Thin"/>
        </w:rPr>
        <w:t xml:space="preserve"> </w:t>
      </w:r>
    </w:p>
    <w:p w:rsidR="007B00E7" w:rsidRDefault="004F65D1">
      <w:pPr>
        <w:rPr>
          <w:rFonts w:ascii="Plain Thin" w:hAnsi="Plain Thin"/>
        </w:rPr>
      </w:pPr>
      <w:hyperlink r:id="rId6" w:history="1">
        <w:r w:rsidR="007B00E7" w:rsidRPr="00931EC8">
          <w:rPr>
            <w:rStyle w:val="Hyperlink"/>
            <w:rFonts w:ascii="Plain Thin" w:hAnsi="Plain Thin"/>
          </w:rPr>
          <w:t>https://aktion.etl.de/jahrhundertreform-des-personengesellschaftsrechts</w:t>
        </w:r>
      </w:hyperlink>
    </w:p>
    <w:p w:rsidR="00B6122D" w:rsidRDefault="00B6122D"/>
    <w:p w:rsidR="00794762" w:rsidRPr="009D0CCA" w:rsidRDefault="00794762" w:rsidP="00794762">
      <w:pPr>
        <w:rPr>
          <w:rFonts w:ascii="Plain" w:hAnsi="Plain"/>
          <w:b/>
        </w:rPr>
      </w:pPr>
      <w:r w:rsidRPr="009D0CCA">
        <w:rPr>
          <w:rFonts w:ascii="Plain" w:hAnsi="Plain"/>
          <w:b/>
        </w:rPr>
        <w:t>Über die ETL-Gruppe</w:t>
      </w:r>
    </w:p>
    <w:p w:rsidR="00794762" w:rsidRDefault="00794762" w:rsidP="00794762">
      <w:pPr>
        <w:rPr>
          <w:rFonts w:ascii="Plain Thin" w:hAnsi="Plain Thin"/>
          <w:sz w:val="16"/>
          <w:szCs w:val="16"/>
        </w:rPr>
      </w:pPr>
      <w:r w:rsidRPr="009D0CCA">
        <w:rPr>
          <w:rFonts w:ascii="Plain Thin" w:hAnsi="Plain Thin"/>
          <w:sz w:val="16"/>
          <w:szCs w:val="16"/>
        </w:rPr>
        <w:t>Die ETL-Gruppe ist in Deutschland mit über 870 Kanzleien vertreten und darüber hinaus in 50 Ländern weltweit mit 250 Kanzleien präsent. ETL ist Marktführer im Bereich Steuerberatung und gehört zu den Top 5 der Wirtschaftsprüfungs- und Steuerberatungsgesellschaften in Deutschland. Die Unternehmensgruppe erwirtschaftet mit ihren Geschäftsbereichen Steuerberatung, Wirtschaftsprüfung, Rechtsberatung, Unternehmensberatung und IT bundesweit einen Gruppenumsatz von über 979 Mio. Euro. Insgesamt betreuen über 10.000 Mitarbeiter – darunter mehr als 1.500 Steuerberater, Rechtsanwälte, Wirtschaftsprüfer und Unternehmensberater – überall in Deutschland mehr als 210.000 Mandanten.</w:t>
      </w:r>
    </w:p>
    <w:p w:rsidR="00794762" w:rsidRDefault="00794762" w:rsidP="00794762">
      <w:pPr>
        <w:rPr>
          <w:rFonts w:ascii="Plain Thin" w:hAnsi="Plain Thin"/>
          <w:sz w:val="16"/>
          <w:szCs w:val="16"/>
        </w:rPr>
      </w:pPr>
    </w:p>
    <w:p w:rsidR="00794762" w:rsidRPr="002700E7" w:rsidRDefault="00794762" w:rsidP="00794762">
      <w:pPr>
        <w:spacing w:before="360" w:after="0" w:line="240" w:lineRule="auto"/>
        <w:contextualSpacing/>
        <w:jc w:val="both"/>
        <w:rPr>
          <w:rFonts w:ascii="Plain Thin" w:eastAsia="Calibri" w:hAnsi="Plain Thin" w:cs="Times New Roman"/>
          <w:b/>
          <w:sz w:val="16"/>
          <w:szCs w:val="16"/>
        </w:rPr>
      </w:pPr>
      <w:r w:rsidRPr="002700E7">
        <w:rPr>
          <w:rFonts w:ascii="Plain Thin" w:eastAsia="Calibri" w:hAnsi="Plain Thin" w:cs="Times New Roman"/>
          <w:b/>
          <w:sz w:val="16"/>
          <w:szCs w:val="16"/>
        </w:rPr>
        <w:t>Pressekontakt</w:t>
      </w:r>
    </w:p>
    <w:p w:rsidR="00794762" w:rsidRPr="002700E7" w:rsidRDefault="00794762" w:rsidP="00794762">
      <w:pPr>
        <w:spacing w:after="0" w:line="240" w:lineRule="auto"/>
        <w:contextualSpacing/>
        <w:jc w:val="both"/>
        <w:rPr>
          <w:rFonts w:ascii="Plain Thin" w:eastAsia="Calibri" w:hAnsi="Plain Thin" w:cs="Calibri Light"/>
          <w:sz w:val="16"/>
          <w:szCs w:val="16"/>
        </w:rPr>
      </w:pPr>
      <w:r w:rsidRPr="002700E7">
        <w:rPr>
          <w:rFonts w:ascii="Plain Thin" w:eastAsia="Calibri" w:hAnsi="Plain Thin" w:cs="Calibri Light"/>
          <w:sz w:val="16"/>
          <w:szCs w:val="16"/>
        </w:rPr>
        <w:t>Danyal Alaybeyoglu, Tel.: 030 22 64 02 30, E-Mail: danyal.alaybeyoglu@etl.de, ETL, Mauerstraße 86-88, 10117 Berlin, www.etl.de</w:t>
      </w:r>
    </w:p>
    <w:p w:rsidR="001E7B95" w:rsidRDefault="001E7B95"/>
    <w:sectPr w:rsidR="001E7B9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in Thin">
    <w:panose1 w:val="020B0403020202020204"/>
    <w:charset w:val="00"/>
    <w:family w:val="swiss"/>
    <w:notTrueType/>
    <w:pitch w:val="variable"/>
    <w:sig w:usb0="8000002F" w:usb1="00002000" w:usb2="00000000" w:usb3="00000000" w:csb0="00000093" w:csb1="00000000"/>
  </w:font>
  <w:font w:name="Plain Light">
    <w:panose1 w:val="020B0403020202020204"/>
    <w:charset w:val="00"/>
    <w:family w:val="swiss"/>
    <w:notTrueType/>
    <w:pitch w:val="variable"/>
    <w:sig w:usb0="8000002F" w:usb1="00002000" w:usb2="00000000" w:usb3="00000000" w:csb0="00000093" w:csb1="00000000"/>
  </w:font>
  <w:font w:name="Plain">
    <w:panose1 w:val="020B0503020202020204"/>
    <w:charset w:val="00"/>
    <w:family w:val="swiss"/>
    <w:notTrueType/>
    <w:pitch w:val="variable"/>
    <w:sig w:usb0="8000002F" w:usb1="00002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1CE"/>
    <w:rsid w:val="001E7B95"/>
    <w:rsid w:val="00221C2E"/>
    <w:rsid w:val="003C23CB"/>
    <w:rsid w:val="00402796"/>
    <w:rsid w:val="004F65D1"/>
    <w:rsid w:val="00514474"/>
    <w:rsid w:val="00562B1F"/>
    <w:rsid w:val="0057060A"/>
    <w:rsid w:val="005851CE"/>
    <w:rsid w:val="00624DB8"/>
    <w:rsid w:val="00627312"/>
    <w:rsid w:val="00636F29"/>
    <w:rsid w:val="00671FDB"/>
    <w:rsid w:val="006838CF"/>
    <w:rsid w:val="00794762"/>
    <w:rsid w:val="007B00E7"/>
    <w:rsid w:val="00852DA1"/>
    <w:rsid w:val="00880967"/>
    <w:rsid w:val="008E1D51"/>
    <w:rsid w:val="00B6122D"/>
    <w:rsid w:val="00B8006F"/>
    <w:rsid w:val="00BB779D"/>
    <w:rsid w:val="00C52133"/>
    <w:rsid w:val="00F979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E5E9E"/>
  <w15:chartTrackingRefBased/>
  <w15:docId w15:val="{E340C4CC-8D4A-4890-AEA7-055D2FA1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E7B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ktion.etl.de/jahrhundertreform-des-personengesellschaftsrechts" TargetMode="External"/><Relationship Id="rId5" Type="http://schemas.openxmlformats.org/officeDocument/2006/relationships/hyperlink" Target="https://www.etl.de/zeigepdf/transfer/ETL_Rechtsanwaelte_Whitepaper_MoPeG"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3776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Admin</cp:lastModifiedBy>
  <cp:revision>5</cp:revision>
  <dcterms:created xsi:type="dcterms:W3CDTF">2021-12-08T13:08:00Z</dcterms:created>
  <dcterms:modified xsi:type="dcterms:W3CDTF">2022-01-11T08:03:00Z</dcterms:modified>
</cp:coreProperties>
</file>