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26E6" w14:textId="753E67FD" w:rsidR="00F90E1F" w:rsidRPr="00EB4928" w:rsidRDefault="0063667F" w:rsidP="00EB4928">
      <w:pPr>
        <w:spacing w:after="0" w:line="24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bookmarkStart w:id="0" w:name="_Hlk66208327"/>
      <w:bookmarkStart w:id="1" w:name="_Hlk64901521"/>
      <w:bookmarkStart w:id="2" w:name="_Hlk81900176"/>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p w14:paraId="76A7A40D" w14:textId="4100A776" w:rsidR="00A67857" w:rsidRPr="00C61D48" w:rsidRDefault="00A67857" w:rsidP="005541E7">
      <w:pPr>
        <w:pStyle w:val="StandardWeb"/>
        <w:tabs>
          <w:tab w:val="left" w:pos="2948"/>
        </w:tabs>
        <w:spacing w:before="0" w:beforeAutospacing="0" w:after="0" w:afterAutospacing="0"/>
        <w:jc w:val="both"/>
        <w:textAlignment w:val="baseline"/>
        <w:rPr>
          <w:rFonts w:ascii="Arial" w:eastAsia="Arial" w:hAnsi="Arial" w:cs="Arial"/>
          <w:b/>
          <w:sz w:val="28"/>
          <w:szCs w:val="28"/>
        </w:rPr>
      </w:pPr>
      <w:r w:rsidRPr="007A3090">
        <w:rPr>
          <w:rFonts w:ascii="Arial" w:eastAsia="Arial" w:hAnsi="Arial" w:cs="Arial"/>
          <w:b/>
          <w:sz w:val="28"/>
          <w:szCs w:val="28"/>
        </w:rPr>
        <w:t>Frühjahrsgutachten</w:t>
      </w:r>
      <w:r w:rsidR="00932860" w:rsidRPr="007A3090">
        <w:rPr>
          <w:rFonts w:ascii="Arial" w:eastAsia="Arial" w:hAnsi="Arial" w:cs="Arial"/>
          <w:b/>
          <w:sz w:val="28"/>
          <w:szCs w:val="28"/>
        </w:rPr>
        <w:t xml:space="preserve"> der Immobilienweisen</w:t>
      </w:r>
      <w:r w:rsidR="00D67DEA">
        <w:rPr>
          <w:rFonts w:ascii="Arial" w:eastAsia="Arial" w:hAnsi="Arial" w:cs="Arial"/>
          <w:b/>
          <w:sz w:val="28"/>
          <w:szCs w:val="28"/>
        </w:rPr>
        <w:t>:</w:t>
      </w:r>
      <w:r w:rsidRPr="007A3090">
        <w:rPr>
          <w:rFonts w:ascii="Arial" w:eastAsia="Arial" w:hAnsi="Arial" w:cs="Arial"/>
          <w:b/>
          <w:sz w:val="28"/>
          <w:szCs w:val="28"/>
        </w:rPr>
        <w:t xml:space="preserve"> Rekord-Einbrüche beim Wohnungsbau</w:t>
      </w:r>
      <w:r w:rsidR="00E8154A">
        <w:rPr>
          <w:rFonts w:ascii="Arial" w:eastAsia="Arial" w:hAnsi="Arial" w:cs="Arial"/>
          <w:b/>
          <w:sz w:val="28"/>
          <w:szCs w:val="28"/>
        </w:rPr>
        <w:t>/</w:t>
      </w:r>
      <w:r w:rsidR="00896BD2" w:rsidRPr="00FD4385">
        <w:rPr>
          <w:rFonts w:ascii="Arial" w:eastAsia="Arial" w:hAnsi="Arial" w:cs="Arial"/>
          <w:b/>
          <w:sz w:val="28"/>
          <w:szCs w:val="28"/>
        </w:rPr>
        <w:t>M</w:t>
      </w:r>
      <w:r w:rsidR="004D6AC2" w:rsidRPr="00FD4385">
        <w:rPr>
          <w:rFonts w:ascii="Arial" w:eastAsia="Arial" w:hAnsi="Arial" w:cs="Arial"/>
          <w:b/>
          <w:sz w:val="28"/>
          <w:szCs w:val="28"/>
        </w:rPr>
        <w:t>i</w:t>
      </w:r>
      <w:r w:rsidR="00896BD2" w:rsidRPr="00FD4385">
        <w:rPr>
          <w:rFonts w:ascii="Arial" w:eastAsia="Arial" w:hAnsi="Arial" w:cs="Arial"/>
          <w:b/>
          <w:sz w:val="28"/>
          <w:szCs w:val="28"/>
        </w:rPr>
        <w:t>serable</w:t>
      </w:r>
      <w:r w:rsidR="009553BA">
        <w:rPr>
          <w:rFonts w:ascii="Arial" w:eastAsia="Arial" w:hAnsi="Arial" w:cs="Arial"/>
          <w:b/>
          <w:sz w:val="28"/>
          <w:szCs w:val="28"/>
        </w:rPr>
        <w:t xml:space="preserve"> Rahmenbedingungen lähmen Entwicklung</w:t>
      </w:r>
      <w:r w:rsidR="00E8154A">
        <w:rPr>
          <w:rFonts w:ascii="Arial" w:eastAsia="Arial" w:hAnsi="Arial" w:cs="Arial"/>
          <w:b/>
          <w:sz w:val="28"/>
          <w:szCs w:val="28"/>
        </w:rPr>
        <w:t xml:space="preserve">/ </w:t>
      </w:r>
      <w:r w:rsidR="00D67DEA">
        <w:rPr>
          <w:rFonts w:ascii="Arial" w:eastAsia="Arial" w:hAnsi="Arial" w:cs="Arial"/>
          <w:b/>
          <w:sz w:val="28"/>
          <w:szCs w:val="28"/>
        </w:rPr>
        <w:t xml:space="preserve">ZIA warnt: </w:t>
      </w:r>
      <w:r w:rsidR="009553BA">
        <w:rPr>
          <w:rFonts w:ascii="Arial" w:eastAsia="Arial" w:hAnsi="Arial" w:cs="Arial"/>
          <w:b/>
          <w:sz w:val="28"/>
          <w:szCs w:val="28"/>
        </w:rPr>
        <w:t>„Nicht sehenden Auges auf ein soziales Debakel zusteuern</w:t>
      </w:r>
      <w:r w:rsidR="00F462A2">
        <w:rPr>
          <w:rFonts w:ascii="Arial" w:eastAsia="Arial" w:hAnsi="Arial" w:cs="Arial"/>
          <w:b/>
          <w:sz w:val="28"/>
          <w:szCs w:val="28"/>
        </w:rPr>
        <w:t>.</w:t>
      </w:r>
      <w:r w:rsidR="00E8154A">
        <w:rPr>
          <w:rFonts w:ascii="Arial" w:eastAsia="Arial" w:hAnsi="Arial" w:cs="Arial"/>
          <w:b/>
          <w:sz w:val="28"/>
          <w:szCs w:val="28"/>
        </w:rPr>
        <w:t>“</w:t>
      </w:r>
    </w:p>
    <w:bookmarkEnd w:id="3"/>
    <w:p w14:paraId="5D41494E" w14:textId="4A48C414" w:rsidR="00B942C5" w:rsidRPr="004D6AC2" w:rsidRDefault="00932860" w:rsidP="004D6AC2">
      <w:pPr>
        <w:pStyle w:val="StandardWeb"/>
        <w:numPr>
          <w:ilvl w:val="0"/>
          <w:numId w:val="22"/>
        </w:numPr>
        <w:tabs>
          <w:tab w:val="left" w:pos="2948"/>
        </w:tabs>
        <w:spacing w:after="0" w:line="360" w:lineRule="auto"/>
        <w:textAlignment w:val="baseline"/>
        <w:rPr>
          <w:rFonts w:ascii="Arial" w:eastAsia="Arial" w:hAnsi="Arial" w:cs="Arial"/>
          <w:bCs/>
          <w:sz w:val="18"/>
          <w:szCs w:val="18"/>
        </w:rPr>
      </w:pPr>
      <w:r w:rsidRPr="00834C2F">
        <w:rPr>
          <w:rFonts w:ascii="Arial" w:eastAsia="Arial" w:hAnsi="Arial" w:cs="Arial"/>
          <w:bCs/>
          <w:sz w:val="18"/>
          <w:szCs w:val="18"/>
        </w:rPr>
        <w:t xml:space="preserve">ZIA übergibt Frühjahrsgutachten der Immobilienweisen an Bundesbauministerin Geywitz </w:t>
      </w:r>
    </w:p>
    <w:p w14:paraId="70701961" w14:textId="691118BB" w:rsidR="00632641" w:rsidRPr="00F17F8E" w:rsidRDefault="00E635A0" w:rsidP="00F17F8E">
      <w:pPr>
        <w:pStyle w:val="StandardWeb"/>
        <w:numPr>
          <w:ilvl w:val="0"/>
          <w:numId w:val="22"/>
        </w:numPr>
        <w:tabs>
          <w:tab w:val="left" w:pos="2948"/>
        </w:tabs>
        <w:spacing w:after="0" w:line="360" w:lineRule="auto"/>
        <w:textAlignment w:val="baseline"/>
        <w:rPr>
          <w:rFonts w:ascii="Arial" w:eastAsia="Arial" w:hAnsi="Arial" w:cs="Arial"/>
          <w:bCs/>
          <w:sz w:val="18"/>
          <w:szCs w:val="18"/>
        </w:rPr>
      </w:pPr>
      <w:r>
        <w:rPr>
          <w:rFonts w:ascii="Arial" w:eastAsia="Arial" w:hAnsi="Arial" w:cs="Arial"/>
          <w:bCs/>
          <w:sz w:val="18"/>
          <w:szCs w:val="18"/>
        </w:rPr>
        <w:t>Dramatischer Einbruch bei Wohn-Fertigstellungen absehba</w:t>
      </w:r>
      <w:r w:rsidR="003831C4">
        <w:rPr>
          <w:rFonts w:ascii="Arial" w:eastAsia="Arial" w:hAnsi="Arial" w:cs="Arial"/>
          <w:bCs/>
          <w:sz w:val="18"/>
          <w:szCs w:val="18"/>
        </w:rPr>
        <w:t>r</w:t>
      </w:r>
    </w:p>
    <w:p w14:paraId="7AB2EF50" w14:textId="0B9636E1" w:rsidR="003E1946" w:rsidRPr="00834C2F" w:rsidRDefault="000E4935" w:rsidP="003E1946">
      <w:pPr>
        <w:pStyle w:val="StandardWeb"/>
        <w:numPr>
          <w:ilvl w:val="0"/>
          <w:numId w:val="22"/>
        </w:numPr>
        <w:tabs>
          <w:tab w:val="left" w:pos="2948"/>
        </w:tabs>
        <w:spacing w:after="0" w:line="360" w:lineRule="auto"/>
        <w:textAlignment w:val="baseline"/>
        <w:rPr>
          <w:rFonts w:ascii="Arial" w:eastAsia="Arial" w:hAnsi="Arial" w:cs="Arial"/>
          <w:bCs/>
          <w:sz w:val="18"/>
          <w:szCs w:val="18"/>
        </w:rPr>
      </w:pPr>
      <w:r w:rsidRPr="00834C2F">
        <w:rPr>
          <w:rFonts w:ascii="Arial" w:eastAsia="Arial" w:hAnsi="Arial" w:cs="Arial"/>
          <w:bCs/>
          <w:sz w:val="18"/>
          <w:szCs w:val="18"/>
        </w:rPr>
        <w:t xml:space="preserve">Bis 2025 </w:t>
      </w:r>
      <w:r w:rsidR="00462779">
        <w:rPr>
          <w:rFonts w:ascii="Arial" w:eastAsia="Arial" w:hAnsi="Arial" w:cs="Arial"/>
          <w:bCs/>
          <w:sz w:val="18"/>
          <w:szCs w:val="18"/>
        </w:rPr>
        <w:t>fehlen 720.000 Wohnungen, bis 2027</w:t>
      </w:r>
      <w:r w:rsidR="00500B25">
        <w:rPr>
          <w:rFonts w:ascii="Arial" w:eastAsia="Arial" w:hAnsi="Arial" w:cs="Arial"/>
          <w:bCs/>
          <w:sz w:val="18"/>
          <w:szCs w:val="18"/>
        </w:rPr>
        <w:t xml:space="preserve"> sind es </w:t>
      </w:r>
      <w:r w:rsidR="00462779">
        <w:rPr>
          <w:rFonts w:ascii="Arial" w:eastAsia="Arial" w:hAnsi="Arial" w:cs="Arial"/>
          <w:bCs/>
          <w:sz w:val="18"/>
          <w:szCs w:val="18"/>
        </w:rPr>
        <w:t>830.000</w:t>
      </w:r>
    </w:p>
    <w:p w14:paraId="47450514" w14:textId="094B5979" w:rsidR="00D50733" w:rsidRDefault="00D67DEA" w:rsidP="00D50733">
      <w:pPr>
        <w:pStyle w:val="StandardWeb"/>
        <w:numPr>
          <w:ilvl w:val="0"/>
          <w:numId w:val="22"/>
        </w:numPr>
        <w:tabs>
          <w:tab w:val="left" w:pos="2948"/>
        </w:tabs>
        <w:spacing w:after="0" w:line="360" w:lineRule="auto"/>
        <w:textAlignment w:val="baseline"/>
        <w:rPr>
          <w:rFonts w:ascii="Arial" w:eastAsia="Arial" w:hAnsi="Arial" w:cs="Arial"/>
          <w:bCs/>
          <w:sz w:val="18"/>
          <w:szCs w:val="18"/>
        </w:rPr>
      </w:pPr>
      <w:r>
        <w:rPr>
          <w:rFonts w:ascii="Arial" w:eastAsia="Arial" w:hAnsi="Arial" w:cs="Arial"/>
          <w:bCs/>
          <w:sz w:val="18"/>
          <w:szCs w:val="18"/>
        </w:rPr>
        <w:t xml:space="preserve">Höchststand der </w:t>
      </w:r>
      <w:r w:rsidR="00A67857" w:rsidRPr="007A3090">
        <w:rPr>
          <w:rFonts w:ascii="Arial" w:eastAsia="Arial" w:hAnsi="Arial" w:cs="Arial"/>
          <w:bCs/>
          <w:sz w:val="18"/>
          <w:szCs w:val="18"/>
        </w:rPr>
        <w:t xml:space="preserve">Stornierungswelle </w:t>
      </w:r>
      <w:r w:rsidR="00932860" w:rsidRPr="007A3090">
        <w:rPr>
          <w:rFonts w:ascii="Arial" w:eastAsia="Arial" w:hAnsi="Arial" w:cs="Arial"/>
          <w:bCs/>
          <w:sz w:val="18"/>
          <w:szCs w:val="18"/>
        </w:rPr>
        <w:t>be</w:t>
      </w:r>
      <w:r w:rsidR="00A67857" w:rsidRPr="007A3090">
        <w:rPr>
          <w:rFonts w:ascii="Arial" w:eastAsia="Arial" w:hAnsi="Arial" w:cs="Arial"/>
          <w:bCs/>
          <w:sz w:val="18"/>
          <w:szCs w:val="18"/>
        </w:rPr>
        <w:t>im Wohnungsbau</w:t>
      </w:r>
      <w:r>
        <w:rPr>
          <w:rFonts w:ascii="Arial" w:eastAsia="Arial" w:hAnsi="Arial" w:cs="Arial"/>
          <w:bCs/>
          <w:sz w:val="18"/>
          <w:szCs w:val="18"/>
        </w:rPr>
        <w:t xml:space="preserve">: </w:t>
      </w:r>
      <w:r w:rsidR="00A67857" w:rsidRPr="007A3090">
        <w:rPr>
          <w:rFonts w:ascii="Arial" w:eastAsia="Arial" w:hAnsi="Arial" w:cs="Arial"/>
          <w:bCs/>
          <w:sz w:val="18"/>
          <w:szCs w:val="18"/>
        </w:rPr>
        <w:t xml:space="preserve">20,7 Prozent der Unternehmen </w:t>
      </w:r>
      <w:r>
        <w:rPr>
          <w:rFonts w:ascii="Arial" w:eastAsia="Arial" w:hAnsi="Arial" w:cs="Arial"/>
          <w:bCs/>
          <w:sz w:val="18"/>
          <w:szCs w:val="18"/>
        </w:rPr>
        <w:t>stopp</w:t>
      </w:r>
      <w:r w:rsidR="0069604B">
        <w:rPr>
          <w:rFonts w:ascii="Arial" w:eastAsia="Arial" w:hAnsi="Arial" w:cs="Arial"/>
          <w:bCs/>
          <w:sz w:val="18"/>
          <w:szCs w:val="18"/>
        </w:rPr>
        <w:t>t</w:t>
      </w:r>
      <w:r>
        <w:rPr>
          <w:rFonts w:ascii="Arial" w:eastAsia="Arial" w:hAnsi="Arial" w:cs="Arial"/>
          <w:bCs/>
          <w:sz w:val="18"/>
          <w:szCs w:val="18"/>
        </w:rPr>
        <w:t>en</w:t>
      </w:r>
      <w:r w:rsidR="00A67857" w:rsidRPr="007A3090">
        <w:rPr>
          <w:rFonts w:ascii="Arial" w:eastAsia="Arial" w:hAnsi="Arial" w:cs="Arial"/>
          <w:bCs/>
          <w:sz w:val="18"/>
          <w:szCs w:val="18"/>
        </w:rPr>
        <w:t xml:space="preserve"> Projekte</w:t>
      </w:r>
    </w:p>
    <w:p w14:paraId="4038B3C3" w14:textId="5A5504EC" w:rsidR="004D6AC2" w:rsidRDefault="004D6AC2" w:rsidP="00D50733">
      <w:pPr>
        <w:pStyle w:val="StandardWeb"/>
        <w:numPr>
          <w:ilvl w:val="0"/>
          <w:numId w:val="22"/>
        </w:numPr>
        <w:tabs>
          <w:tab w:val="left" w:pos="2948"/>
        </w:tabs>
        <w:spacing w:after="0" w:line="360" w:lineRule="auto"/>
        <w:textAlignment w:val="baseline"/>
        <w:rPr>
          <w:rFonts w:ascii="Arial" w:eastAsia="Arial" w:hAnsi="Arial" w:cs="Arial"/>
          <w:bCs/>
          <w:sz w:val="18"/>
          <w:szCs w:val="18"/>
        </w:rPr>
      </w:pPr>
      <w:r>
        <w:rPr>
          <w:rFonts w:ascii="Arial" w:eastAsia="Arial" w:hAnsi="Arial" w:cs="Arial"/>
          <w:bCs/>
          <w:sz w:val="18"/>
          <w:szCs w:val="18"/>
        </w:rPr>
        <w:t>Immobilienwirtschaft durch Kosten und Auflagen „geknebelt“</w:t>
      </w:r>
    </w:p>
    <w:p w14:paraId="2E464895" w14:textId="4410E647" w:rsidR="00896BD2" w:rsidRPr="00FD4385" w:rsidRDefault="00896BD2" w:rsidP="004F1053">
      <w:pPr>
        <w:pStyle w:val="StandardWeb"/>
        <w:numPr>
          <w:ilvl w:val="0"/>
          <w:numId w:val="22"/>
        </w:numPr>
        <w:tabs>
          <w:tab w:val="left" w:pos="2948"/>
        </w:tabs>
        <w:spacing w:after="0" w:line="360" w:lineRule="auto"/>
        <w:textAlignment w:val="baseline"/>
        <w:rPr>
          <w:rFonts w:ascii="Arial" w:eastAsia="Arial" w:hAnsi="Arial" w:cs="Arial"/>
          <w:bCs/>
          <w:sz w:val="18"/>
          <w:szCs w:val="18"/>
        </w:rPr>
      </w:pPr>
      <w:r w:rsidRPr="00FD4385">
        <w:rPr>
          <w:rFonts w:ascii="Arial" w:eastAsia="Arial" w:hAnsi="Arial" w:cs="Arial"/>
          <w:bCs/>
          <w:sz w:val="18"/>
          <w:szCs w:val="18"/>
        </w:rPr>
        <w:t xml:space="preserve">ZIA: „Wer in dieser Lage Wohnraum baut, geht bankrott – </w:t>
      </w:r>
      <w:r w:rsidR="00462779">
        <w:rPr>
          <w:rFonts w:ascii="Arial" w:eastAsia="Arial" w:hAnsi="Arial" w:cs="Arial"/>
          <w:bCs/>
          <w:sz w:val="18"/>
          <w:szCs w:val="18"/>
        </w:rPr>
        <w:t>37</w:t>
      </w:r>
      <w:r w:rsidR="00500B25">
        <w:rPr>
          <w:rFonts w:ascii="Arial" w:eastAsia="Arial" w:hAnsi="Arial" w:cs="Arial"/>
          <w:bCs/>
          <w:sz w:val="18"/>
          <w:szCs w:val="18"/>
        </w:rPr>
        <w:t xml:space="preserve"> Prozent </w:t>
      </w:r>
      <w:r w:rsidR="00462779">
        <w:rPr>
          <w:rFonts w:ascii="Arial" w:eastAsia="Arial" w:hAnsi="Arial" w:cs="Arial"/>
          <w:bCs/>
          <w:sz w:val="18"/>
          <w:szCs w:val="18"/>
        </w:rPr>
        <w:t>staatlich</w:t>
      </w:r>
      <w:r w:rsidR="00500B25">
        <w:rPr>
          <w:rFonts w:ascii="Arial" w:eastAsia="Arial" w:hAnsi="Arial" w:cs="Arial"/>
          <w:bCs/>
          <w:sz w:val="18"/>
          <w:szCs w:val="18"/>
        </w:rPr>
        <w:t xml:space="preserve"> bedingter</w:t>
      </w:r>
      <w:r w:rsidR="00462779">
        <w:rPr>
          <w:rFonts w:ascii="Arial" w:eastAsia="Arial" w:hAnsi="Arial" w:cs="Arial"/>
          <w:bCs/>
          <w:sz w:val="18"/>
          <w:szCs w:val="18"/>
        </w:rPr>
        <w:t xml:space="preserve"> Abgaben auf Wohnen sind nicht mehr zu stemmen</w:t>
      </w:r>
      <w:r w:rsidR="00500B25">
        <w:rPr>
          <w:rFonts w:ascii="Arial" w:eastAsia="Arial" w:hAnsi="Arial" w:cs="Arial"/>
          <w:bCs/>
          <w:sz w:val="18"/>
          <w:szCs w:val="18"/>
        </w:rPr>
        <w:t>. W</w:t>
      </w:r>
      <w:r w:rsidR="00462779">
        <w:rPr>
          <w:rFonts w:ascii="Arial" w:eastAsia="Arial" w:hAnsi="Arial" w:cs="Arial"/>
          <w:bCs/>
          <w:sz w:val="18"/>
          <w:szCs w:val="18"/>
        </w:rPr>
        <w:t xml:space="preserve">ir sind Europameister bei der Staatsquote und haben bei der Konjunktur die rote Laterne“. </w:t>
      </w:r>
    </w:p>
    <w:p w14:paraId="0523D9CD" w14:textId="1A8CBB0A" w:rsidR="00896BD2" w:rsidRPr="00FD4385" w:rsidRDefault="00896BD2" w:rsidP="00896BD2">
      <w:pPr>
        <w:pStyle w:val="StandardWeb"/>
        <w:numPr>
          <w:ilvl w:val="0"/>
          <w:numId w:val="22"/>
        </w:numPr>
        <w:tabs>
          <w:tab w:val="left" w:pos="2948"/>
        </w:tabs>
        <w:spacing w:after="0" w:line="360" w:lineRule="auto"/>
        <w:textAlignment w:val="baseline"/>
        <w:rPr>
          <w:rFonts w:ascii="Arial" w:eastAsia="Arial" w:hAnsi="Arial" w:cs="Arial"/>
          <w:bCs/>
          <w:sz w:val="18"/>
          <w:szCs w:val="18"/>
        </w:rPr>
      </w:pPr>
      <w:r w:rsidRPr="00FD4385">
        <w:rPr>
          <w:rFonts w:ascii="Arial" w:eastAsia="Arial" w:hAnsi="Arial" w:cs="Arial"/>
          <w:bCs/>
          <w:sz w:val="18"/>
          <w:szCs w:val="18"/>
        </w:rPr>
        <w:t xml:space="preserve">Prof. Feld: </w:t>
      </w:r>
      <w:r w:rsidR="00D63C7C">
        <w:rPr>
          <w:rFonts w:ascii="Arial" w:eastAsia="Arial" w:hAnsi="Arial" w:cs="Arial"/>
          <w:bCs/>
          <w:sz w:val="18"/>
          <w:szCs w:val="18"/>
        </w:rPr>
        <w:t>„</w:t>
      </w:r>
      <w:r w:rsidRPr="00FD4385">
        <w:rPr>
          <w:rFonts w:ascii="Arial" w:eastAsia="Arial" w:hAnsi="Arial" w:cs="Arial"/>
          <w:bCs/>
          <w:sz w:val="18"/>
          <w:szCs w:val="18"/>
        </w:rPr>
        <w:t xml:space="preserve">Förderprogramme können </w:t>
      </w:r>
      <w:r w:rsidR="009D03D8" w:rsidRPr="00FD4385">
        <w:rPr>
          <w:rFonts w:ascii="Arial" w:eastAsia="Arial" w:hAnsi="Arial" w:cs="Arial"/>
          <w:bCs/>
          <w:sz w:val="18"/>
          <w:szCs w:val="18"/>
        </w:rPr>
        <w:t>zusätzl</w:t>
      </w:r>
      <w:r w:rsidR="009D03D8">
        <w:rPr>
          <w:rFonts w:ascii="Arial" w:eastAsia="Arial" w:hAnsi="Arial" w:cs="Arial"/>
          <w:bCs/>
          <w:sz w:val="18"/>
          <w:szCs w:val="18"/>
        </w:rPr>
        <w:t>iche</w:t>
      </w:r>
      <w:r w:rsidRPr="00FD4385">
        <w:rPr>
          <w:rFonts w:ascii="Arial" w:eastAsia="Arial" w:hAnsi="Arial" w:cs="Arial"/>
          <w:bCs/>
          <w:sz w:val="18"/>
          <w:szCs w:val="18"/>
        </w:rPr>
        <w:t xml:space="preserve"> Investitionsanreize setzen</w:t>
      </w:r>
      <w:r w:rsidR="0099675C">
        <w:rPr>
          <w:rFonts w:ascii="Arial" w:eastAsia="Arial" w:hAnsi="Arial" w:cs="Arial"/>
          <w:bCs/>
          <w:sz w:val="18"/>
          <w:szCs w:val="18"/>
        </w:rPr>
        <w:t>.</w:t>
      </w:r>
      <w:r w:rsidR="00D63C7C">
        <w:rPr>
          <w:rFonts w:ascii="Arial" w:eastAsia="Arial" w:hAnsi="Arial" w:cs="Arial"/>
          <w:bCs/>
          <w:sz w:val="18"/>
          <w:szCs w:val="18"/>
        </w:rPr>
        <w:t>“</w:t>
      </w:r>
    </w:p>
    <w:p w14:paraId="6D7629D7" w14:textId="7669609D" w:rsidR="00B521C3" w:rsidRPr="00FD4385" w:rsidRDefault="00B521C3" w:rsidP="00B521C3">
      <w:pPr>
        <w:pStyle w:val="StandardWeb"/>
        <w:numPr>
          <w:ilvl w:val="0"/>
          <w:numId w:val="22"/>
        </w:numPr>
        <w:tabs>
          <w:tab w:val="left" w:pos="2948"/>
        </w:tabs>
        <w:spacing w:after="0" w:line="360" w:lineRule="auto"/>
        <w:textAlignment w:val="baseline"/>
        <w:rPr>
          <w:rFonts w:ascii="Arial" w:eastAsia="Arial" w:hAnsi="Arial" w:cs="Arial"/>
          <w:bCs/>
          <w:sz w:val="18"/>
          <w:szCs w:val="18"/>
        </w:rPr>
      </w:pPr>
      <w:r w:rsidRPr="00FD4385">
        <w:rPr>
          <w:rFonts w:ascii="Arial" w:eastAsia="Arial" w:hAnsi="Arial" w:cs="Arial"/>
          <w:bCs/>
          <w:sz w:val="18"/>
          <w:szCs w:val="18"/>
        </w:rPr>
        <w:t xml:space="preserve">Bei </w:t>
      </w:r>
      <w:r w:rsidR="00CB36BA" w:rsidRPr="00FD4385">
        <w:rPr>
          <w:rFonts w:ascii="Arial" w:eastAsia="Arial" w:hAnsi="Arial" w:cs="Arial"/>
          <w:bCs/>
          <w:sz w:val="18"/>
          <w:szCs w:val="18"/>
        </w:rPr>
        <w:t>Wirtschaftsi</w:t>
      </w:r>
      <w:r w:rsidRPr="00FD4385">
        <w:rPr>
          <w:rFonts w:ascii="Arial" w:eastAsia="Arial" w:hAnsi="Arial" w:cs="Arial"/>
          <w:bCs/>
          <w:sz w:val="18"/>
          <w:szCs w:val="18"/>
        </w:rPr>
        <w:t>mmobilien</w:t>
      </w:r>
      <w:r w:rsidR="00D67DEA" w:rsidRPr="00FD4385">
        <w:rPr>
          <w:rFonts w:ascii="Arial" w:eastAsia="Arial" w:hAnsi="Arial" w:cs="Arial"/>
          <w:bCs/>
          <w:sz w:val="18"/>
          <w:szCs w:val="18"/>
        </w:rPr>
        <w:t xml:space="preserve"> </w:t>
      </w:r>
      <w:r w:rsidRPr="00FD4385">
        <w:rPr>
          <w:rFonts w:ascii="Arial" w:eastAsia="Arial" w:hAnsi="Arial" w:cs="Arial"/>
          <w:bCs/>
          <w:sz w:val="18"/>
          <w:szCs w:val="18"/>
        </w:rPr>
        <w:t xml:space="preserve">2023 Rückgang </w:t>
      </w:r>
      <w:r w:rsidR="000B7391" w:rsidRPr="00FD4385">
        <w:rPr>
          <w:rFonts w:ascii="Arial" w:eastAsia="Arial" w:hAnsi="Arial" w:cs="Arial"/>
          <w:bCs/>
          <w:sz w:val="18"/>
          <w:szCs w:val="18"/>
        </w:rPr>
        <w:t xml:space="preserve">der Transaktionen </w:t>
      </w:r>
      <w:r w:rsidR="003826AD" w:rsidRPr="00FD4385">
        <w:rPr>
          <w:rFonts w:ascii="Arial" w:eastAsia="Arial" w:hAnsi="Arial" w:cs="Arial"/>
          <w:bCs/>
          <w:sz w:val="18"/>
          <w:szCs w:val="18"/>
        </w:rPr>
        <w:t xml:space="preserve">um </w:t>
      </w:r>
      <w:r w:rsidR="00CF2DB2" w:rsidRPr="00FD4385">
        <w:rPr>
          <w:rFonts w:ascii="Arial" w:eastAsia="Arial" w:hAnsi="Arial" w:cs="Arial"/>
          <w:bCs/>
          <w:sz w:val="18"/>
          <w:szCs w:val="18"/>
        </w:rPr>
        <w:t xml:space="preserve">etwa 56 Prozent </w:t>
      </w:r>
      <w:r w:rsidRPr="00FD4385">
        <w:rPr>
          <w:rFonts w:ascii="Arial" w:eastAsia="Arial" w:hAnsi="Arial" w:cs="Arial"/>
          <w:bCs/>
          <w:sz w:val="18"/>
          <w:szCs w:val="18"/>
        </w:rPr>
        <w:t>gegenüber 2022</w:t>
      </w:r>
    </w:p>
    <w:p w14:paraId="055AB364" w14:textId="562BCCA6" w:rsidR="00FD00B2" w:rsidRPr="00FD4385" w:rsidRDefault="00FD00B2" w:rsidP="000B7391">
      <w:pPr>
        <w:pStyle w:val="StandardWeb"/>
        <w:numPr>
          <w:ilvl w:val="0"/>
          <w:numId w:val="22"/>
        </w:numPr>
        <w:tabs>
          <w:tab w:val="left" w:pos="2948"/>
        </w:tabs>
        <w:spacing w:after="0" w:line="360" w:lineRule="auto"/>
        <w:textAlignment w:val="baseline"/>
        <w:rPr>
          <w:rFonts w:ascii="Arial" w:eastAsia="Arial" w:hAnsi="Arial" w:cs="Arial"/>
          <w:bCs/>
          <w:sz w:val="18"/>
          <w:szCs w:val="18"/>
        </w:rPr>
      </w:pPr>
      <w:r w:rsidRPr="00FD4385">
        <w:rPr>
          <w:rFonts w:ascii="Arial" w:eastAsia="Arial" w:hAnsi="Arial" w:cs="Arial"/>
          <w:bCs/>
          <w:sz w:val="18"/>
          <w:szCs w:val="18"/>
        </w:rPr>
        <w:t>Mit Belebung an den Investmentmärkten zu rechnen</w:t>
      </w:r>
      <w:r w:rsidR="0069604B" w:rsidRPr="00FD4385">
        <w:rPr>
          <w:rFonts w:ascii="Arial" w:eastAsia="Arial" w:hAnsi="Arial" w:cs="Arial"/>
          <w:bCs/>
          <w:sz w:val="18"/>
          <w:szCs w:val="18"/>
        </w:rPr>
        <w:t>, Preisanpassungen weitgehend abgeschlossen</w:t>
      </w:r>
    </w:p>
    <w:p w14:paraId="3EBF3BD7" w14:textId="23F02DE0" w:rsidR="006371C2" w:rsidRDefault="00DB44FC" w:rsidP="00514080">
      <w:pPr>
        <w:pStyle w:val="StandardWeb"/>
        <w:tabs>
          <w:tab w:val="left" w:pos="2948"/>
        </w:tabs>
        <w:spacing w:after="0" w:line="360" w:lineRule="auto"/>
        <w:jc w:val="both"/>
        <w:textAlignment w:val="baseline"/>
        <w:rPr>
          <w:rFonts w:ascii="Arial" w:eastAsia="Arial" w:hAnsi="Arial" w:cs="Arial"/>
          <w:bCs/>
        </w:rPr>
      </w:pPr>
      <w:r w:rsidRPr="00A67857">
        <w:rPr>
          <w:rFonts w:ascii="Arial" w:eastAsia="Arial" w:hAnsi="Arial" w:cs="Arial"/>
          <w:b/>
        </w:rPr>
        <w:t>Berlin,</w:t>
      </w:r>
      <w:r w:rsidR="00FB4FCF" w:rsidRPr="00A67857">
        <w:rPr>
          <w:rFonts w:ascii="Arial" w:eastAsia="Arial" w:hAnsi="Arial" w:cs="Arial"/>
          <w:b/>
        </w:rPr>
        <w:t xml:space="preserve"> </w:t>
      </w:r>
      <w:r w:rsidR="00A67857" w:rsidRPr="00A67857">
        <w:rPr>
          <w:rFonts w:ascii="Arial" w:eastAsia="Arial" w:hAnsi="Arial" w:cs="Arial"/>
          <w:b/>
        </w:rPr>
        <w:t>20</w:t>
      </w:r>
      <w:r w:rsidR="00FB4FCF" w:rsidRPr="00A67857">
        <w:rPr>
          <w:rFonts w:ascii="Arial" w:eastAsia="Arial" w:hAnsi="Arial" w:cs="Arial"/>
          <w:b/>
        </w:rPr>
        <w:t>.</w:t>
      </w:r>
      <w:r w:rsidR="00152B87" w:rsidRPr="00A67857">
        <w:rPr>
          <w:rFonts w:ascii="Arial" w:eastAsia="Arial" w:hAnsi="Arial" w:cs="Arial"/>
          <w:b/>
        </w:rPr>
        <w:t>2</w:t>
      </w:r>
      <w:r w:rsidRPr="00A67857">
        <w:rPr>
          <w:rFonts w:ascii="Arial" w:eastAsia="Arial" w:hAnsi="Arial" w:cs="Arial"/>
          <w:b/>
        </w:rPr>
        <w:t>.202</w:t>
      </w:r>
      <w:r w:rsidR="002D6076" w:rsidRPr="00A67857">
        <w:rPr>
          <w:rFonts w:ascii="Arial" w:eastAsia="Arial" w:hAnsi="Arial" w:cs="Arial"/>
          <w:b/>
        </w:rPr>
        <w:t>4</w:t>
      </w:r>
      <w:r w:rsidRPr="00A67857">
        <w:rPr>
          <w:rFonts w:ascii="Arial" w:eastAsia="Arial" w:hAnsi="Arial" w:cs="Arial"/>
          <w:bCs/>
        </w:rPr>
        <w:t xml:space="preserve"> –</w:t>
      </w:r>
      <w:r w:rsidR="00A67857">
        <w:rPr>
          <w:rFonts w:ascii="Arial" w:eastAsia="Arial" w:hAnsi="Arial" w:cs="Arial"/>
          <w:bCs/>
        </w:rPr>
        <w:t xml:space="preserve"> </w:t>
      </w:r>
      <w:r w:rsidR="00CF2DB2" w:rsidRPr="00CF2DB2">
        <w:rPr>
          <w:rFonts w:ascii="Arial" w:eastAsia="Arial" w:hAnsi="Arial" w:cs="Arial"/>
          <w:bCs/>
        </w:rPr>
        <w:t xml:space="preserve">ZIA-Präsident Dr. Andreas Mattner hat das Frühjahrsgutachten der Immobilienweisen heute </w:t>
      </w:r>
      <w:r w:rsidR="00CF2DB2">
        <w:rPr>
          <w:rFonts w:ascii="Arial" w:eastAsia="Arial" w:hAnsi="Arial" w:cs="Arial"/>
          <w:bCs/>
        </w:rPr>
        <w:t xml:space="preserve">vorgestellt und an </w:t>
      </w:r>
      <w:r w:rsidR="00CF2DB2" w:rsidRPr="00CF2DB2">
        <w:rPr>
          <w:rFonts w:ascii="Arial" w:eastAsia="Arial" w:hAnsi="Arial" w:cs="Arial"/>
          <w:bCs/>
        </w:rPr>
        <w:t xml:space="preserve">Bundesbauministerin Klara Geywitz übergeben. </w:t>
      </w:r>
      <w:r w:rsidR="00D50733">
        <w:rPr>
          <w:rFonts w:ascii="Arial" w:eastAsia="Arial" w:hAnsi="Arial" w:cs="Arial"/>
          <w:bCs/>
        </w:rPr>
        <w:t>Das Kompendium</w:t>
      </w:r>
      <w:r w:rsidR="00645B5F">
        <w:rPr>
          <w:rFonts w:ascii="Arial" w:eastAsia="Arial" w:hAnsi="Arial" w:cs="Arial"/>
          <w:bCs/>
        </w:rPr>
        <w:t xml:space="preserve"> </w:t>
      </w:r>
      <w:r w:rsidR="003E0299">
        <w:rPr>
          <w:rFonts w:ascii="Arial" w:eastAsia="Arial" w:hAnsi="Arial" w:cs="Arial"/>
          <w:bCs/>
        </w:rPr>
        <w:t>belegt unsichere Aussichten</w:t>
      </w:r>
      <w:r w:rsidR="00D67DEA">
        <w:rPr>
          <w:rFonts w:ascii="Arial" w:eastAsia="Arial" w:hAnsi="Arial" w:cs="Arial"/>
          <w:bCs/>
        </w:rPr>
        <w:t xml:space="preserve"> für </w:t>
      </w:r>
      <w:r w:rsidR="00CF2DB2">
        <w:rPr>
          <w:rFonts w:ascii="Arial" w:eastAsia="Arial" w:hAnsi="Arial" w:cs="Arial"/>
          <w:bCs/>
        </w:rPr>
        <w:t>Teile der</w:t>
      </w:r>
      <w:r w:rsidR="00D67DEA">
        <w:rPr>
          <w:rFonts w:ascii="Arial" w:eastAsia="Arial" w:hAnsi="Arial" w:cs="Arial"/>
          <w:bCs/>
        </w:rPr>
        <w:t xml:space="preserve"> Branche</w:t>
      </w:r>
      <w:r w:rsidR="00EF10E5">
        <w:rPr>
          <w:rFonts w:ascii="Arial" w:eastAsia="Arial" w:hAnsi="Arial" w:cs="Arial"/>
          <w:bCs/>
        </w:rPr>
        <w:t xml:space="preserve"> und </w:t>
      </w:r>
      <w:r w:rsidR="00296A50">
        <w:rPr>
          <w:rFonts w:ascii="Arial" w:eastAsia="Arial" w:hAnsi="Arial" w:cs="Arial"/>
          <w:bCs/>
        </w:rPr>
        <w:t>finstere</w:t>
      </w:r>
      <w:r w:rsidR="00D67DEA">
        <w:rPr>
          <w:rFonts w:ascii="Arial" w:eastAsia="Arial" w:hAnsi="Arial" w:cs="Arial"/>
          <w:bCs/>
        </w:rPr>
        <w:t xml:space="preserve"> </w:t>
      </w:r>
      <w:r w:rsidR="00645B5F">
        <w:rPr>
          <w:rFonts w:ascii="Arial" w:eastAsia="Arial" w:hAnsi="Arial" w:cs="Arial"/>
          <w:bCs/>
        </w:rPr>
        <w:t>Perspektiven</w:t>
      </w:r>
      <w:r w:rsidR="008627A5">
        <w:rPr>
          <w:rFonts w:ascii="Arial" w:eastAsia="Arial" w:hAnsi="Arial" w:cs="Arial"/>
          <w:bCs/>
        </w:rPr>
        <w:t xml:space="preserve"> </w:t>
      </w:r>
      <w:r w:rsidR="00CF2DB2">
        <w:rPr>
          <w:rFonts w:ascii="Arial" w:eastAsia="Arial" w:hAnsi="Arial" w:cs="Arial"/>
          <w:bCs/>
        </w:rPr>
        <w:t xml:space="preserve">für alle, die </w:t>
      </w:r>
      <w:r w:rsidR="003E0299">
        <w:rPr>
          <w:rFonts w:ascii="Arial" w:eastAsia="Arial" w:hAnsi="Arial" w:cs="Arial"/>
          <w:bCs/>
        </w:rPr>
        <w:t xml:space="preserve">in Deutschland </w:t>
      </w:r>
      <w:r w:rsidR="00CF2DB2">
        <w:rPr>
          <w:rFonts w:ascii="Arial" w:eastAsia="Arial" w:hAnsi="Arial" w:cs="Arial"/>
          <w:bCs/>
        </w:rPr>
        <w:t xml:space="preserve">Wohnraum </w:t>
      </w:r>
      <w:r w:rsidR="003E0299">
        <w:rPr>
          <w:rFonts w:ascii="Arial" w:eastAsia="Arial" w:hAnsi="Arial" w:cs="Arial"/>
          <w:bCs/>
        </w:rPr>
        <w:t xml:space="preserve">schaffen </w:t>
      </w:r>
      <w:r w:rsidR="000A0B81">
        <w:rPr>
          <w:rFonts w:ascii="Arial" w:eastAsia="Arial" w:hAnsi="Arial" w:cs="Arial"/>
          <w:bCs/>
        </w:rPr>
        <w:t>wollen</w:t>
      </w:r>
      <w:r w:rsidR="00645B5F">
        <w:rPr>
          <w:rFonts w:ascii="Arial" w:eastAsia="Arial" w:hAnsi="Arial" w:cs="Arial"/>
          <w:bCs/>
        </w:rPr>
        <w:t xml:space="preserve"> </w:t>
      </w:r>
      <w:r w:rsidR="003E0299">
        <w:rPr>
          <w:rFonts w:ascii="Arial" w:eastAsia="Arial" w:hAnsi="Arial" w:cs="Arial"/>
          <w:bCs/>
        </w:rPr>
        <w:t xml:space="preserve">oder </w:t>
      </w:r>
      <w:r w:rsidR="000A0B81">
        <w:rPr>
          <w:rFonts w:ascii="Arial" w:eastAsia="Arial" w:hAnsi="Arial" w:cs="Arial"/>
          <w:bCs/>
        </w:rPr>
        <w:t>verzweifelt eine Wohnung suchen</w:t>
      </w:r>
      <w:r w:rsidR="00CF2DB2">
        <w:rPr>
          <w:rFonts w:ascii="Arial" w:eastAsia="Arial" w:hAnsi="Arial" w:cs="Arial"/>
          <w:bCs/>
        </w:rPr>
        <w:t xml:space="preserve">. </w:t>
      </w:r>
      <w:r w:rsidR="00944689">
        <w:rPr>
          <w:rFonts w:ascii="Arial" w:eastAsia="Arial" w:hAnsi="Arial" w:cs="Arial"/>
          <w:bCs/>
        </w:rPr>
        <w:t xml:space="preserve">„Die Analyse der Experten </w:t>
      </w:r>
      <w:r w:rsidR="00030D62">
        <w:rPr>
          <w:rFonts w:ascii="Arial" w:eastAsia="Arial" w:hAnsi="Arial" w:cs="Arial"/>
          <w:bCs/>
        </w:rPr>
        <w:t xml:space="preserve">ist </w:t>
      </w:r>
      <w:r w:rsidR="00944689">
        <w:rPr>
          <w:rFonts w:ascii="Arial" w:eastAsia="Arial" w:hAnsi="Arial" w:cs="Arial"/>
          <w:bCs/>
        </w:rPr>
        <w:t>nicht nur ein Wake-</w:t>
      </w:r>
      <w:proofErr w:type="spellStart"/>
      <w:r w:rsidR="00023E2F">
        <w:rPr>
          <w:rFonts w:ascii="Arial" w:eastAsia="Arial" w:hAnsi="Arial" w:cs="Arial"/>
          <w:bCs/>
        </w:rPr>
        <w:t>u</w:t>
      </w:r>
      <w:r w:rsidR="00944689">
        <w:rPr>
          <w:rFonts w:ascii="Arial" w:eastAsia="Arial" w:hAnsi="Arial" w:cs="Arial"/>
          <w:bCs/>
        </w:rPr>
        <w:t>p</w:t>
      </w:r>
      <w:proofErr w:type="spellEnd"/>
      <w:r w:rsidR="00023E2F">
        <w:rPr>
          <w:rFonts w:ascii="Arial" w:eastAsia="Arial" w:hAnsi="Arial" w:cs="Arial"/>
          <w:bCs/>
        </w:rPr>
        <w:t xml:space="preserve"> </w:t>
      </w:r>
      <w:proofErr w:type="spellStart"/>
      <w:r w:rsidR="00023E2F">
        <w:rPr>
          <w:rFonts w:ascii="Arial" w:eastAsia="Arial" w:hAnsi="Arial" w:cs="Arial"/>
          <w:bCs/>
        </w:rPr>
        <w:t>c</w:t>
      </w:r>
      <w:r w:rsidR="00944689">
        <w:rPr>
          <w:rFonts w:ascii="Arial" w:eastAsia="Arial" w:hAnsi="Arial" w:cs="Arial"/>
          <w:bCs/>
        </w:rPr>
        <w:t>all</w:t>
      </w:r>
      <w:proofErr w:type="spellEnd"/>
      <w:r w:rsidR="00944689">
        <w:rPr>
          <w:rFonts w:ascii="Arial" w:eastAsia="Arial" w:hAnsi="Arial" w:cs="Arial"/>
          <w:bCs/>
        </w:rPr>
        <w:t xml:space="preserve">, sondern in einigen Punkten ein regelrechter </w:t>
      </w:r>
      <w:r w:rsidR="00D50733">
        <w:rPr>
          <w:rFonts w:ascii="Arial" w:eastAsia="Arial" w:hAnsi="Arial" w:cs="Arial"/>
          <w:bCs/>
        </w:rPr>
        <w:t>Sirenen-</w:t>
      </w:r>
      <w:r w:rsidR="00266578">
        <w:rPr>
          <w:rFonts w:ascii="Arial" w:eastAsia="Arial" w:hAnsi="Arial" w:cs="Arial"/>
          <w:bCs/>
        </w:rPr>
        <w:t>A</w:t>
      </w:r>
      <w:r w:rsidR="00944689">
        <w:rPr>
          <w:rFonts w:ascii="Arial" w:eastAsia="Arial" w:hAnsi="Arial" w:cs="Arial"/>
          <w:bCs/>
        </w:rPr>
        <w:t>larm</w:t>
      </w:r>
      <w:r w:rsidR="00EF10E5">
        <w:rPr>
          <w:rFonts w:ascii="Arial" w:eastAsia="Arial" w:hAnsi="Arial" w:cs="Arial"/>
          <w:bCs/>
        </w:rPr>
        <w:t xml:space="preserve">“, kommentiert </w:t>
      </w:r>
      <w:r w:rsidR="00EF10E5" w:rsidRPr="00A67857">
        <w:rPr>
          <w:rFonts w:ascii="Arial" w:eastAsia="Arial" w:hAnsi="Arial" w:cs="Arial"/>
          <w:bCs/>
        </w:rPr>
        <w:t>ZIA-Präsident Dr. Andreas Mattner</w:t>
      </w:r>
      <w:r w:rsidR="00EF10E5">
        <w:rPr>
          <w:rFonts w:ascii="Arial" w:eastAsia="Arial" w:hAnsi="Arial" w:cs="Arial"/>
          <w:bCs/>
        </w:rPr>
        <w:t xml:space="preserve"> die Ergebnisse. „</w:t>
      </w:r>
      <w:r w:rsidR="00462779">
        <w:rPr>
          <w:rFonts w:ascii="Arial" w:eastAsia="Arial" w:hAnsi="Arial" w:cs="Arial"/>
          <w:bCs/>
        </w:rPr>
        <w:t>Eine Schwarze Null bei Wohnungsneuentwicklungen würde man erst bei einer Durchschnittsmiete von 21</w:t>
      </w:r>
      <w:r w:rsidR="006371C2">
        <w:rPr>
          <w:rFonts w:ascii="Arial" w:eastAsia="Arial" w:hAnsi="Arial" w:cs="Arial"/>
          <w:bCs/>
        </w:rPr>
        <w:t xml:space="preserve"> Euro</w:t>
      </w:r>
      <w:r w:rsidR="00462779">
        <w:rPr>
          <w:rFonts w:ascii="Arial" w:eastAsia="Arial" w:hAnsi="Arial" w:cs="Arial"/>
          <w:bCs/>
        </w:rPr>
        <w:t xml:space="preserve"> erzielen, das ist nicht möglich</w:t>
      </w:r>
      <w:r w:rsidR="001B0B4C">
        <w:rPr>
          <w:rFonts w:ascii="Arial" w:eastAsia="Arial" w:hAnsi="Arial" w:cs="Arial"/>
          <w:bCs/>
        </w:rPr>
        <w:t xml:space="preserve">. Wer </w:t>
      </w:r>
      <w:r w:rsidR="00462779">
        <w:rPr>
          <w:rFonts w:ascii="Arial" w:eastAsia="Arial" w:hAnsi="Arial" w:cs="Arial"/>
          <w:bCs/>
        </w:rPr>
        <w:t>also baut, geht bankrott</w:t>
      </w:r>
      <w:r w:rsidR="001B0B4C">
        <w:rPr>
          <w:rFonts w:ascii="Arial" w:eastAsia="Arial" w:hAnsi="Arial" w:cs="Arial"/>
          <w:bCs/>
        </w:rPr>
        <w:t>.</w:t>
      </w:r>
      <w:r w:rsidR="00462779">
        <w:rPr>
          <w:rFonts w:ascii="Arial" w:eastAsia="Arial" w:hAnsi="Arial" w:cs="Arial"/>
          <w:bCs/>
        </w:rPr>
        <w:t>“</w:t>
      </w:r>
    </w:p>
    <w:p w14:paraId="3030C2B8" w14:textId="65451307" w:rsidR="006371C2" w:rsidRDefault="00500B25" w:rsidP="00514080">
      <w:pPr>
        <w:pStyle w:val="StandardWeb"/>
        <w:tabs>
          <w:tab w:val="left" w:pos="2948"/>
        </w:tabs>
        <w:spacing w:after="0" w:line="360" w:lineRule="auto"/>
        <w:jc w:val="both"/>
        <w:textAlignment w:val="baseline"/>
        <w:rPr>
          <w:rFonts w:ascii="Arial" w:eastAsia="Arial" w:hAnsi="Arial" w:cs="Arial"/>
          <w:bCs/>
        </w:rPr>
      </w:pPr>
      <w:r w:rsidRPr="006371C2">
        <w:rPr>
          <w:rFonts w:ascii="Arial" w:eastAsia="Arial" w:hAnsi="Arial" w:cs="Arial"/>
          <w:bCs/>
        </w:rPr>
        <w:t xml:space="preserve">Prof. Dr. Dr. h.c. Lars P. Feld </w:t>
      </w:r>
      <w:r>
        <w:rPr>
          <w:rFonts w:ascii="Arial" w:eastAsia="Arial" w:hAnsi="Arial" w:cs="Arial"/>
          <w:bCs/>
        </w:rPr>
        <w:t>beschreibt das Grundproblem so: „</w:t>
      </w:r>
      <w:r w:rsidR="006371C2" w:rsidRPr="006371C2">
        <w:rPr>
          <w:rFonts w:ascii="Arial" w:eastAsia="Arial" w:hAnsi="Arial" w:cs="Arial"/>
          <w:bCs/>
        </w:rPr>
        <w:t>Aufgrund erhöhter Baukosten und Finanzierungsschwieri</w:t>
      </w:r>
      <w:r w:rsidR="001B0B4C">
        <w:rPr>
          <w:rFonts w:ascii="Arial" w:eastAsia="Arial" w:hAnsi="Arial" w:cs="Arial"/>
          <w:bCs/>
        </w:rPr>
        <w:t>g</w:t>
      </w:r>
      <w:r w:rsidR="006371C2" w:rsidRPr="006371C2">
        <w:rPr>
          <w:rFonts w:ascii="Arial" w:eastAsia="Arial" w:hAnsi="Arial" w:cs="Arial"/>
          <w:bCs/>
        </w:rPr>
        <w:t>keiten, ausgelöst durch das höhere Zinsniveau, sind viele Bauvorhaben nicht mehr rentabel und werden zurückgezogen</w:t>
      </w:r>
      <w:r>
        <w:rPr>
          <w:rFonts w:ascii="Arial" w:eastAsia="Arial" w:hAnsi="Arial" w:cs="Arial"/>
          <w:bCs/>
        </w:rPr>
        <w:t>.</w:t>
      </w:r>
      <w:r w:rsidR="006371C2" w:rsidRPr="006371C2">
        <w:rPr>
          <w:rFonts w:ascii="Arial" w:eastAsia="Arial" w:hAnsi="Arial" w:cs="Arial"/>
          <w:bCs/>
        </w:rPr>
        <w:t xml:space="preserve">" </w:t>
      </w:r>
      <w:r>
        <w:rPr>
          <w:rFonts w:ascii="Arial" w:eastAsia="Arial" w:hAnsi="Arial" w:cs="Arial"/>
          <w:bCs/>
        </w:rPr>
        <w:t xml:space="preserve">Prof. Feld </w:t>
      </w:r>
      <w:r w:rsidR="006371C2" w:rsidRPr="006371C2">
        <w:rPr>
          <w:rFonts w:ascii="Arial" w:eastAsia="Arial" w:hAnsi="Arial" w:cs="Arial"/>
          <w:bCs/>
        </w:rPr>
        <w:t xml:space="preserve">analysiert im Gutachten die gesamtwirtschaftliche Lage. Seine Einschätzung: Die Stornierungswelle könne sich </w:t>
      </w:r>
      <w:r>
        <w:rPr>
          <w:rFonts w:ascii="Arial" w:eastAsia="Arial" w:hAnsi="Arial" w:cs="Arial"/>
          <w:bCs/>
        </w:rPr>
        <w:t>„</w:t>
      </w:r>
      <w:r w:rsidR="006371C2" w:rsidRPr="006371C2">
        <w:rPr>
          <w:rFonts w:ascii="Arial" w:eastAsia="Arial" w:hAnsi="Arial" w:cs="Arial"/>
          <w:bCs/>
        </w:rPr>
        <w:t>weiter fortsetzen, da die Rahmenbedingungen für Bauinvestitionen vorerst ungünstig bleiben dürften".</w:t>
      </w:r>
    </w:p>
    <w:p w14:paraId="6AEC8A6E" w14:textId="18AB9AAA" w:rsidR="006371C2" w:rsidRDefault="00296A50" w:rsidP="00C41EB7">
      <w:pPr>
        <w:spacing w:line="360" w:lineRule="auto"/>
        <w:ind w:left="0" w:firstLine="0"/>
        <w:rPr>
          <w:bCs/>
        </w:rPr>
      </w:pPr>
      <w:r w:rsidRPr="002019BD">
        <w:t xml:space="preserve">Das Frühjahrsgutachten </w:t>
      </w:r>
      <w:r w:rsidR="00FE6214" w:rsidRPr="002019BD">
        <w:t>belegt</w:t>
      </w:r>
      <w:r w:rsidRPr="002019BD">
        <w:t>, dass trotz geopolitischer Risiken und wirtschaftspolitischer Unsicherheit eine gesamtwirtschaftliche Aufhellung möglich ist</w:t>
      </w:r>
      <w:r w:rsidR="007000DA" w:rsidRPr="002019BD">
        <w:t xml:space="preserve"> und</w:t>
      </w:r>
      <w:r w:rsidRPr="002019BD">
        <w:t xml:space="preserve"> </w:t>
      </w:r>
      <w:r w:rsidRPr="002019BD">
        <w:lastRenderedPageBreak/>
        <w:t xml:space="preserve">die Immobilienwirtschaft </w:t>
      </w:r>
      <w:r w:rsidR="00D50733">
        <w:t>daran</w:t>
      </w:r>
      <w:r w:rsidR="007000DA" w:rsidRPr="002019BD">
        <w:t xml:space="preserve"> </w:t>
      </w:r>
      <w:r w:rsidRPr="002019BD">
        <w:t>teilhaben</w:t>
      </w:r>
      <w:r w:rsidR="007000DA" w:rsidRPr="002019BD">
        <w:t xml:space="preserve"> kann</w:t>
      </w:r>
      <w:r w:rsidR="00FE6214" w:rsidRPr="002019BD">
        <w:t xml:space="preserve">. „Das muss unbedingt gelingen. </w:t>
      </w:r>
      <w:r w:rsidRPr="002019BD">
        <w:t xml:space="preserve">Denn </w:t>
      </w:r>
      <w:r w:rsidR="00FE6214" w:rsidRPr="002019BD">
        <w:t>die Branche</w:t>
      </w:r>
      <w:r w:rsidRPr="002019BD">
        <w:t xml:space="preserve"> legt buchstäblich Fundamente für ökonomische Stärke und gesellschaftlichen Zusammenhalt</w:t>
      </w:r>
      <w:r w:rsidR="00834C2F" w:rsidRPr="002019BD">
        <w:t>.</w:t>
      </w:r>
      <w:r w:rsidRPr="002019BD">
        <w:t xml:space="preserve"> Und der braucht zwingend Stabilität</w:t>
      </w:r>
      <w:r w:rsidR="00834C2F" w:rsidRPr="002019BD">
        <w:t>“, sagt Mattner.</w:t>
      </w:r>
      <w:r w:rsidRPr="002019BD">
        <w:t xml:space="preserve"> </w:t>
      </w:r>
      <w:r w:rsidR="00834C2F" w:rsidRPr="002019BD">
        <w:t>„</w:t>
      </w:r>
      <w:r w:rsidRPr="002019BD">
        <w:t>Im Jahr 2024 mehr denn je.</w:t>
      </w:r>
      <w:r w:rsidR="000B7391">
        <w:t>“</w:t>
      </w:r>
      <w:r w:rsidR="008B1D54">
        <w:t xml:space="preserve"> </w:t>
      </w:r>
      <w:r w:rsidR="00630097">
        <w:t>N</w:t>
      </w:r>
      <w:r w:rsidR="0065311B" w:rsidRPr="002019BD">
        <w:rPr>
          <w:bCs/>
        </w:rPr>
        <w:t>ach ZIA-Berechnungen</w:t>
      </w:r>
      <w:r w:rsidR="00833C71">
        <w:rPr>
          <w:bCs/>
        </w:rPr>
        <w:t xml:space="preserve"> werden in diesem Jahr 600.000 Wohnungen</w:t>
      </w:r>
      <w:r w:rsidR="0065311B" w:rsidRPr="002019BD">
        <w:rPr>
          <w:bCs/>
        </w:rPr>
        <w:t xml:space="preserve"> fehlen</w:t>
      </w:r>
      <w:r w:rsidR="00896BD2">
        <w:rPr>
          <w:bCs/>
        </w:rPr>
        <w:t xml:space="preserve">, </w:t>
      </w:r>
      <w:proofErr w:type="gramStart"/>
      <w:r w:rsidR="0065311B" w:rsidRPr="002019BD">
        <w:rPr>
          <w:bCs/>
        </w:rPr>
        <w:t>in 2027</w:t>
      </w:r>
      <w:proofErr w:type="gramEnd"/>
      <w:r w:rsidR="0065311B" w:rsidRPr="002019BD">
        <w:rPr>
          <w:bCs/>
        </w:rPr>
        <w:t xml:space="preserve"> </w:t>
      </w:r>
      <w:r w:rsidR="00833C71">
        <w:rPr>
          <w:bCs/>
        </w:rPr>
        <w:t>dann sogar</w:t>
      </w:r>
      <w:r w:rsidR="0065311B" w:rsidRPr="002019BD">
        <w:rPr>
          <w:bCs/>
        </w:rPr>
        <w:t xml:space="preserve"> 830.000 (siehe</w:t>
      </w:r>
      <w:r w:rsidR="00023E2F">
        <w:rPr>
          <w:bCs/>
        </w:rPr>
        <w:t xml:space="preserve"> </w:t>
      </w:r>
      <w:r w:rsidR="001415AC">
        <w:rPr>
          <w:bCs/>
        </w:rPr>
        <w:t>Abbildung 1</w:t>
      </w:r>
      <w:r w:rsidR="0065311B" w:rsidRPr="002019BD">
        <w:rPr>
          <w:bCs/>
        </w:rPr>
        <w:t>).</w:t>
      </w:r>
    </w:p>
    <w:p w14:paraId="02FC31E0" w14:textId="77777777" w:rsidR="00053967" w:rsidRDefault="00053967" w:rsidP="00C41EB7">
      <w:pPr>
        <w:spacing w:line="360" w:lineRule="auto"/>
        <w:ind w:left="0" w:firstLine="0"/>
        <w:rPr>
          <w:bCs/>
          <w:szCs w:val="24"/>
        </w:rPr>
      </w:pPr>
    </w:p>
    <w:p w14:paraId="54D31F67" w14:textId="2D7A011C" w:rsidR="006371C2" w:rsidRDefault="006371C2" w:rsidP="00C41EB7">
      <w:pPr>
        <w:spacing w:line="360" w:lineRule="auto"/>
        <w:ind w:left="0" w:firstLine="0"/>
        <w:rPr>
          <w:bCs/>
          <w:szCs w:val="24"/>
        </w:rPr>
      </w:pPr>
      <w:r>
        <w:rPr>
          <w:rFonts w:eastAsia="Times New Roman"/>
        </w:rPr>
        <w:t xml:space="preserve">Prof. Feld schreibt im Gutachten, besonders bei der energetischen Sanierung können Förderprogramme </w:t>
      </w:r>
      <w:r w:rsidR="00500B25">
        <w:rPr>
          <w:rFonts w:eastAsia="Times New Roman"/>
        </w:rPr>
        <w:t>„</w:t>
      </w:r>
      <w:r>
        <w:rPr>
          <w:rFonts w:eastAsia="Times New Roman"/>
        </w:rPr>
        <w:t>zusätzliche Investitionsanreize setzen und dem Rückgang der Investitionstätigkeit entgegensteuern"</w:t>
      </w:r>
      <w:r w:rsidR="00C30DDA">
        <w:rPr>
          <w:rFonts w:eastAsia="Times New Roman"/>
        </w:rPr>
        <w:t>.</w:t>
      </w:r>
      <w:r>
        <w:rPr>
          <w:rFonts w:eastAsia="Times New Roman"/>
        </w:rPr>
        <w:t xml:space="preserve"> Beherztere Schritte seien erforderlich, um einen stärkeren Anreiz für Investitionen durch geringere Regulierungskosten zu schaffen. Feld: </w:t>
      </w:r>
      <w:r w:rsidR="001B0B4C">
        <w:rPr>
          <w:rFonts w:eastAsia="Times New Roman"/>
        </w:rPr>
        <w:t>„</w:t>
      </w:r>
      <w:r>
        <w:rPr>
          <w:rFonts w:eastAsia="Times New Roman"/>
        </w:rPr>
        <w:t>Es ist die schiere Vielheit von regulatorischen Einzelmaßnahmen, die den deutschen Gulliver lähmt."</w:t>
      </w:r>
    </w:p>
    <w:p w14:paraId="6A061E51" w14:textId="21FDBBC9" w:rsidR="001E04F6" w:rsidRPr="00C41EB7" w:rsidRDefault="001E04F6" w:rsidP="00C41EB7">
      <w:pPr>
        <w:pStyle w:val="StandardWeb"/>
        <w:tabs>
          <w:tab w:val="left" w:pos="2948"/>
        </w:tabs>
        <w:spacing w:after="0" w:line="360" w:lineRule="auto"/>
        <w:jc w:val="both"/>
        <w:textAlignment w:val="baseline"/>
        <w:rPr>
          <w:rFonts w:ascii="Arial" w:eastAsia="Arial" w:hAnsi="Arial" w:cs="Arial"/>
          <w:bCs/>
          <w:u w:val="single"/>
        </w:rPr>
      </w:pPr>
      <w:bookmarkStart w:id="4" w:name="_Hlk159226204"/>
      <w:r w:rsidRPr="00C41EB7">
        <w:rPr>
          <w:rFonts w:ascii="Arial" w:eastAsia="Arial" w:hAnsi="Arial" w:cs="Arial"/>
          <w:bCs/>
          <w:u w:val="single"/>
        </w:rPr>
        <w:t xml:space="preserve">Wichtige Hebel aus Sicht des ZIA: </w:t>
      </w:r>
    </w:p>
    <w:p w14:paraId="01717D34" w14:textId="4C7496DF" w:rsidR="00A36F97" w:rsidRDefault="00451312" w:rsidP="00B177C2">
      <w:pPr>
        <w:pStyle w:val="Listenabsatz"/>
        <w:numPr>
          <w:ilvl w:val="0"/>
          <w:numId w:val="22"/>
        </w:numPr>
        <w:jc w:val="both"/>
        <w:rPr>
          <w:rFonts w:ascii="Arial" w:eastAsia="Times New Roman" w:hAnsi="Arial" w:cs="Arial"/>
          <w:color w:val="000000"/>
          <w:sz w:val="24"/>
          <w:szCs w:val="24"/>
        </w:rPr>
      </w:pPr>
      <w:r w:rsidRPr="00A36F97">
        <w:rPr>
          <w:rFonts w:ascii="Arial" w:eastAsia="Times New Roman" w:hAnsi="Arial" w:cs="Arial"/>
          <w:sz w:val="24"/>
          <w:szCs w:val="24"/>
        </w:rPr>
        <w:t>Der Bund stellt für</w:t>
      </w:r>
      <w:r w:rsidR="00F04F68" w:rsidRPr="00A36F97">
        <w:rPr>
          <w:rFonts w:ascii="Arial" w:eastAsia="Times New Roman" w:hAnsi="Arial" w:cs="Arial"/>
          <w:sz w:val="24"/>
          <w:szCs w:val="24"/>
        </w:rPr>
        <w:t xml:space="preserve"> da</w:t>
      </w:r>
      <w:r w:rsidRPr="00A36F97">
        <w:rPr>
          <w:rFonts w:ascii="Arial" w:eastAsia="Times New Roman" w:hAnsi="Arial" w:cs="Arial"/>
          <w:sz w:val="24"/>
          <w:szCs w:val="24"/>
        </w:rPr>
        <w:t xml:space="preserve">s </w:t>
      </w:r>
      <w:r w:rsidRPr="00A36F97">
        <w:rPr>
          <w:rFonts w:ascii="Arial" w:eastAsia="Times New Roman" w:hAnsi="Arial" w:cs="Arial"/>
          <w:b/>
          <w:bCs/>
          <w:sz w:val="24"/>
          <w:szCs w:val="24"/>
        </w:rPr>
        <w:t>Programm klimafreundlicher Neubau im Niedrigpreissegment</w:t>
      </w:r>
      <w:r w:rsidRPr="00A36F97">
        <w:rPr>
          <w:rFonts w:ascii="Arial" w:eastAsia="Times New Roman" w:hAnsi="Arial" w:cs="Arial"/>
          <w:sz w:val="24"/>
          <w:szCs w:val="24"/>
        </w:rPr>
        <w:t xml:space="preserve"> (KNN) eine Milliarde </w:t>
      </w:r>
      <w:r w:rsidR="00F04F68" w:rsidRPr="00A36F97">
        <w:rPr>
          <w:rFonts w:ascii="Arial" w:eastAsia="Times New Roman" w:hAnsi="Arial" w:cs="Arial"/>
          <w:sz w:val="24"/>
          <w:szCs w:val="24"/>
        </w:rPr>
        <w:t xml:space="preserve">Euro </w:t>
      </w:r>
      <w:r w:rsidRPr="00A36F97">
        <w:rPr>
          <w:rFonts w:ascii="Arial" w:eastAsia="Times New Roman" w:hAnsi="Arial" w:cs="Arial"/>
          <w:sz w:val="24"/>
          <w:szCs w:val="24"/>
        </w:rPr>
        <w:t xml:space="preserve">in diesem Jahr bereit. Diesen Vorstoß der Bundesbauministerin begrüßt der ZIA sehr, </w:t>
      </w:r>
      <w:r w:rsidR="008D00C7">
        <w:rPr>
          <w:rFonts w:ascii="Arial" w:eastAsia="Times New Roman" w:hAnsi="Arial" w:cs="Arial"/>
          <w:sz w:val="24"/>
          <w:szCs w:val="24"/>
        </w:rPr>
        <w:t>dringt</w:t>
      </w:r>
      <w:r w:rsidR="001415AC" w:rsidRPr="00A36F97">
        <w:rPr>
          <w:rFonts w:ascii="Arial" w:eastAsia="Times New Roman" w:hAnsi="Arial" w:cs="Arial"/>
          <w:sz w:val="24"/>
          <w:szCs w:val="24"/>
        </w:rPr>
        <w:t xml:space="preserve"> </w:t>
      </w:r>
      <w:r w:rsidRPr="00A36F97">
        <w:rPr>
          <w:rFonts w:ascii="Arial" w:eastAsia="Times New Roman" w:hAnsi="Arial" w:cs="Arial"/>
          <w:sz w:val="24"/>
          <w:szCs w:val="24"/>
        </w:rPr>
        <w:t xml:space="preserve">jedoch auf einen größeren Schritt: Ein </w:t>
      </w:r>
      <w:r w:rsidRPr="00A36F97">
        <w:rPr>
          <w:rFonts w:ascii="Arial" w:eastAsia="Times New Roman" w:hAnsi="Arial" w:cs="Arial"/>
          <w:b/>
          <w:bCs/>
          <w:sz w:val="24"/>
          <w:szCs w:val="24"/>
        </w:rPr>
        <w:t>KfW-</w:t>
      </w:r>
      <w:r w:rsidR="0039365A" w:rsidRPr="00A36F97">
        <w:rPr>
          <w:rFonts w:ascii="Arial" w:eastAsia="Times New Roman" w:hAnsi="Arial" w:cs="Arial"/>
          <w:b/>
          <w:bCs/>
          <w:sz w:val="24"/>
          <w:szCs w:val="24"/>
        </w:rPr>
        <w:t>P</w:t>
      </w:r>
      <w:r w:rsidRPr="00A36F97">
        <w:rPr>
          <w:rFonts w:ascii="Arial" w:eastAsia="Times New Roman" w:hAnsi="Arial" w:cs="Arial"/>
          <w:b/>
          <w:bCs/>
          <w:sz w:val="24"/>
          <w:szCs w:val="24"/>
        </w:rPr>
        <w:t>rogramm</w:t>
      </w:r>
      <w:r w:rsidRPr="00A36F97">
        <w:rPr>
          <w:rFonts w:ascii="Arial" w:eastAsia="Times New Roman" w:hAnsi="Arial" w:cs="Arial"/>
          <w:sz w:val="24"/>
          <w:szCs w:val="24"/>
        </w:rPr>
        <w:t xml:space="preserve">, das die Marktzinsen auf zwei Prozent reduziert, brächte </w:t>
      </w:r>
      <w:r w:rsidR="003020BD" w:rsidRPr="00A36F97">
        <w:rPr>
          <w:rFonts w:ascii="Arial" w:eastAsia="Times New Roman" w:hAnsi="Arial" w:cs="Arial"/>
          <w:sz w:val="24"/>
          <w:szCs w:val="24"/>
        </w:rPr>
        <w:t xml:space="preserve">bei einer Fördersumme von drei Milliarden Euro </w:t>
      </w:r>
      <w:r w:rsidRPr="00A36F97">
        <w:rPr>
          <w:rFonts w:ascii="Arial" w:eastAsia="Times New Roman" w:hAnsi="Arial" w:cs="Arial"/>
          <w:sz w:val="24"/>
          <w:szCs w:val="24"/>
        </w:rPr>
        <w:t xml:space="preserve">100.000 zusätzliche Wohnungen. </w:t>
      </w:r>
      <w:r w:rsidR="000C0F6C" w:rsidRPr="00A36F97">
        <w:rPr>
          <w:rFonts w:ascii="Arial" w:eastAsia="Times New Roman" w:hAnsi="Arial" w:cs="Arial"/>
          <w:sz w:val="24"/>
          <w:szCs w:val="24"/>
        </w:rPr>
        <w:t>N</w:t>
      </w:r>
      <w:r w:rsidRPr="00A36F97">
        <w:rPr>
          <w:rFonts w:ascii="Arial" w:eastAsia="Times New Roman" w:hAnsi="Arial" w:cs="Arial"/>
          <w:color w:val="000000"/>
          <w:sz w:val="24"/>
          <w:szCs w:val="24"/>
        </w:rPr>
        <w:t>eun Milliarden</w:t>
      </w:r>
      <w:r w:rsidR="000C0F6C" w:rsidRPr="00A36F97">
        <w:rPr>
          <w:rFonts w:ascii="Arial" w:eastAsia="Times New Roman" w:hAnsi="Arial" w:cs="Arial"/>
          <w:color w:val="000000"/>
          <w:sz w:val="24"/>
          <w:szCs w:val="24"/>
        </w:rPr>
        <w:t xml:space="preserve"> Euro vom Staat</w:t>
      </w:r>
      <w:r w:rsidRPr="00A36F97">
        <w:rPr>
          <w:rFonts w:ascii="Arial" w:eastAsia="Times New Roman" w:hAnsi="Arial" w:cs="Arial"/>
          <w:color w:val="000000"/>
          <w:sz w:val="24"/>
          <w:szCs w:val="24"/>
        </w:rPr>
        <w:t xml:space="preserve"> brächten mit 300.000 Extra-Wohnungen die wichtige Wende für den Wohnungsmarkt.</w:t>
      </w:r>
      <w:r w:rsidR="001B0B4C" w:rsidRPr="00A36F97">
        <w:rPr>
          <w:rFonts w:ascii="Arial" w:eastAsia="Times New Roman" w:hAnsi="Arial" w:cs="Arial"/>
          <w:color w:val="000000"/>
          <w:sz w:val="24"/>
          <w:szCs w:val="24"/>
        </w:rPr>
        <w:t xml:space="preserve"> </w:t>
      </w:r>
      <w:r w:rsidR="00C6199C" w:rsidRPr="00A36F97">
        <w:rPr>
          <w:rFonts w:ascii="Arial" w:eastAsia="Times New Roman" w:hAnsi="Arial" w:cs="Arial"/>
          <w:color w:val="000000"/>
          <w:sz w:val="24"/>
          <w:szCs w:val="24"/>
        </w:rPr>
        <w:t xml:space="preserve">Nach ZIA-Berechnungen </w:t>
      </w:r>
      <w:r w:rsidR="00053967" w:rsidRPr="00A36F97">
        <w:rPr>
          <w:rFonts w:ascii="Arial" w:eastAsia="Times New Roman" w:hAnsi="Arial" w:cs="Arial"/>
          <w:color w:val="000000"/>
          <w:sz w:val="24"/>
          <w:szCs w:val="24"/>
        </w:rPr>
        <w:t xml:space="preserve">kostet </w:t>
      </w:r>
      <w:r w:rsidR="00C6199C" w:rsidRPr="00A36F97">
        <w:rPr>
          <w:rFonts w:ascii="Arial" w:eastAsia="Times New Roman" w:hAnsi="Arial" w:cs="Arial"/>
          <w:color w:val="000000"/>
          <w:sz w:val="24"/>
          <w:szCs w:val="24"/>
        </w:rPr>
        <w:t xml:space="preserve">das Programm </w:t>
      </w:r>
      <w:r w:rsidR="00053967" w:rsidRPr="00A36F97">
        <w:rPr>
          <w:rFonts w:ascii="Arial" w:eastAsia="Times New Roman" w:hAnsi="Arial" w:cs="Arial"/>
          <w:color w:val="000000"/>
          <w:sz w:val="24"/>
          <w:szCs w:val="24"/>
        </w:rPr>
        <w:t xml:space="preserve">in </w:t>
      </w:r>
      <w:r w:rsidR="00C6199C" w:rsidRPr="00A36F97">
        <w:rPr>
          <w:rFonts w:ascii="Arial" w:eastAsia="Times New Roman" w:hAnsi="Arial" w:cs="Arial"/>
          <w:color w:val="000000"/>
          <w:sz w:val="24"/>
          <w:szCs w:val="24"/>
        </w:rPr>
        <w:t>zehn Jahre</w:t>
      </w:r>
      <w:r w:rsidR="00053967" w:rsidRPr="00A36F97">
        <w:rPr>
          <w:rFonts w:ascii="Arial" w:eastAsia="Times New Roman" w:hAnsi="Arial" w:cs="Arial"/>
          <w:color w:val="000000"/>
          <w:sz w:val="24"/>
          <w:szCs w:val="24"/>
        </w:rPr>
        <w:t>n</w:t>
      </w:r>
      <w:r w:rsidR="00C6199C" w:rsidRPr="00A36F97">
        <w:rPr>
          <w:rFonts w:ascii="Arial" w:eastAsia="Times New Roman" w:hAnsi="Arial" w:cs="Arial"/>
          <w:color w:val="000000"/>
          <w:sz w:val="24"/>
          <w:szCs w:val="24"/>
        </w:rPr>
        <w:t xml:space="preserve"> für 100.000 Wohnungen </w:t>
      </w:r>
      <w:r w:rsidR="00C77982" w:rsidRPr="00A36F97">
        <w:rPr>
          <w:rFonts w:ascii="Arial" w:eastAsia="Times New Roman" w:hAnsi="Arial" w:cs="Arial"/>
          <w:color w:val="000000"/>
          <w:sz w:val="24"/>
          <w:szCs w:val="24"/>
        </w:rPr>
        <w:t xml:space="preserve">zunächst </w:t>
      </w:r>
      <w:r w:rsidR="00053967" w:rsidRPr="00A36F97">
        <w:rPr>
          <w:rFonts w:ascii="Arial" w:eastAsia="Times New Roman" w:hAnsi="Arial" w:cs="Arial"/>
          <w:color w:val="000000"/>
          <w:sz w:val="24"/>
          <w:szCs w:val="24"/>
        </w:rPr>
        <w:t xml:space="preserve">insgesamt </w:t>
      </w:r>
      <w:r w:rsidR="00C6199C" w:rsidRPr="00A36F97">
        <w:rPr>
          <w:rFonts w:ascii="Arial" w:eastAsia="Times New Roman" w:hAnsi="Arial" w:cs="Arial"/>
          <w:color w:val="000000"/>
          <w:sz w:val="24"/>
          <w:szCs w:val="24"/>
        </w:rPr>
        <w:t>drei Milliarden Euro</w:t>
      </w:r>
      <w:r w:rsidR="00053967" w:rsidRPr="00A36F97">
        <w:rPr>
          <w:rFonts w:ascii="Arial" w:eastAsia="Times New Roman" w:hAnsi="Arial" w:cs="Arial"/>
          <w:color w:val="000000"/>
          <w:sz w:val="24"/>
          <w:szCs w:val="24"/>
        </w:rPr>
        <w:t>. E</w:t>
      </w:r>
      <w:r w:rsidR="00C6199C" w:rsidRPr="00A36F97">
        <w:rPr>
          <w:rFonts w:ascii="Arial" w:eastAsia="Times New Roman" w:hAnsi="Arial" w:cs="Arial"/>
          <w:color w:val="000000"/>
          <w:sz w:val="24"/>
          <w:szCs w:val="24"/>
        </w:rPr>
        <w:t>s kämen aber 3,3 Millia</w:t>
      </w:r>
      <w:r w:rsidR="006371C2" w:rsidRPr="00A36F97">
        <w:rPr>
          <w:rFonts w:ascii="Arial" w:eastAsia="Times New Roman" w:hAnsi="Arial" w:cs="Arial"/>
          <w:color w:val="000000"/>
          <w:sz w:val="24"/>
          <w:szCs w:val="24"/>
        </w:rPr>
        <w:t>r</w:t>
      </w:r>
      <w:r w:rsidR="00C6199C" w:rsidRPr="00A36F97">
        <w:rPr>
          <w:rFonts w:ascii="Arial" w:eastAsia="Times New Roman" w:hAnsi="Arial" w:cs="Arial"/>
          <w:color w:val="000000"/>
          <w:sz w:val="24"/>
          <w:szCs w:val="24"/>
        </w:rPr>
        <w:t xml:space="preserve">den </w:t>
      </w:r>
      <w:r w:rsidR="00053967" w:rsidRPr="00A36F97">
        <w:rPr>
          <w:rFonts w:ascii="Arial" w:eastAsia="Times New Roman" w:hAnsi="Arial" w:cs="Arial"/>
          <w:color w:val="000000"/>
          <w:sz w:val="24"/>
          <w:szCs w:val="24"/>
        </w:rPr>
        <w:t xml:space="preserve">Euro </w:t>
      </w:r>
      <w:r w:rsidR="00C6199C" w:rsidRPr="00A36F97">
        <w:rPr>
          <w:rFonts w:ascii="Arial" w:eastAsia="Times New Roman" w:hAnsi="Arial" w:cs="Arial"/>
          <w:color w:val="000000"/>
          <w:sz w:val="24"/>
          <w:szCs w:val="24"/>
        </w:rPr>
        <w:t>durch Umsatzsteuer und eine Millia</w:t>
      </w:r>
      <w:r w:rsidR="006371C2" w:rsidRPr="00A36F97">
        <w:rPr>
          <w:rFonts w:ascii="Arial" w:eastAsia="Times New Roman" w:hAnsi="Arial" w:cs="Arial"/>
          <w:color w:val="000000"/>
          <w:sz w:val="24"/>
          <w:szCs w:val="24"/>
        </w:rPr>
        <w:t>r</w:t>
      </w:r>
      <w:r w:rsidR="00C6199C" w:rsidRPr="00A36F97">
        <w:rPr>
          <w:rFonts w:ascii="Arial" w:eastAsia="Times New Roman" w:hAnsi="Arial" w:cs="Arial"/>
          <w:color w:val="000000"/>
          <w:sz w:val="24"/>
          <w:szCs w:val="24"/>
        </w:rPr>
        <w:t>de durch ersparte Transferkosten für A</w:t>
      </w:r>
      <w:r w:rsidR="006371C2" w:rsidRPr="00A36F97">
        <w:rPr>
          <w:rFonts w:ascii="Arial" w:eastAsia="Times New Roman" w:hAnsi="Arial" w:cs="Arial"/>
          <w:color w:val="000000"/>
          <w:sz w:val="24"/>
          <w:szCs w:val="24"/>
        </w:rPr>
        <w:t>r</w:t>
      </w:r>
      <w:r w:rsidR="00C6199C" w:rsidRPr="00A36F97">
        <w:rPr>
          <w:rFonts w:ascii="Arial" w:eastAsia="Times New Roman" w:hAnsi="Arial" w:cs="Arial"/>
          <w:color w:val="000000"/>
          <w:sz w:val="24"/>
          <w:szCs w:val="24"/>
        </w:rPr>
        <w:t>beitslosigkeit wieder rein. Und in der Zeit gäbe es</w:t>
      </w:r>
      <w:r w:rsidR="006371C2" w:rsidRPr="00A36F97">
        <w:rPr>
          <w:rFonts w:ascii="Arial" w:eastAsia="Times New Roman" w:hAnsi="Arial" w:cs="Arial"/>
          <w:color w:val="000000"/>
          <w:sz w:val="24"/>
          <w:szCs w:val="24"/>
        </w:rPr>
        <w:t xml:space="preserve"> zudem knapp</w:t>
      </w:r>
      <w:r w:rsidR="00C6199C" w:rsidRPr="00A36F97">
        <w:rPr>
          <w:rFonts w:ascii="Arial" w:eastAsia="Times New Roman" w:hAnsi="Arial" w:cs="Arial"/>
          <w:color w:val="000000"/>
          <w:sz w:val="24"/>
          <w:szCs w:val="24"/>
        </w:rPr>
        <w:t xml:space="preserve"> </w:t>
      </w:r>
      <w:r w:rsidR="006371C2" w:rsidRPr="00A36F97">
        <w:rPr>
          <w:rFonts w:ascii="Arial" w:eastAsia="Times New Roman" w:hAnsi="Arial" w:cs="Arial"/>
          <w:color w:val="000000"/>
          <w:sz w:val="24"/>
          <w:szCs w:val="24"/>
        </w:rPr>
        <w:t xml:space="preserve">eine </w:t>
      </w:r>
      <w:r w:rsidR="00C6199C" w:rsidRPr="00A36F97">
        <w:rPr>
          <w:rFonts w:ascii="Arial" w:eastAsia="Times New Roman" w:hAnsi="Arial" w:cs="Arial"/>
          <w:color w:val="000000"/>
          <w:sz w:val="24"/>
          <w:szCs w:val="24"/>
        </w:rPr>
        <w:t xml:space="preserve">Milliarde </w:t>
      </w:r>
      <w:r w:rsidR="00EB5E75" w:rsidRPr="00A36F97">
        <w:rPr>
          <w:rFonts w:ascii="Arial" w:eastAsia="Times New Roman" w:hAnsi="Arial" w:cs="Arial"/>
          <w:color w:val="000000"/>
          <w:sz w:val="24"/>
          <w:szCs w:val="24"/>
        </w:rPr>
        <w:t xml:space="preserve">Euro </w:t>
      </w:r>
      <w:r w:rsidR="00053967" w:rsidRPr="00A36F97">
        <w:rPr>
          <w:rFonts w:ascii="Arial" w:eastAsia="Times New Roman" w:hAnsi="Arial" w:cs="Arial"/>
          <w:color w:val="000000"/>
          <w:sz w:val="24"/>
          <w:szCs w:val="24"/>
        </w:rPr>
        <w:t xml:space="preserve">an </w:t>
      </w:r>
      <w:r w:rsidR="00EB5E75" w:rsidRPr="00A36F97">
        <w:rPr>
          <w:rFonts w:ascii="Arial" w:eastAsia="Times New Roman" w:hAnsi="Arial" w:cs="Arial"/>
          <w:color w:val="000000"/>
          <w:sz w:val="24"/>
          <w:szCs w:val="24"/>
        </w:rPr>
        <w:t>Grundsteuern.</w:t>
      </w:r>
    </w:p>
    <w:p w14:paraId="6469819C" w14:textId="3C895F1F" w:rsidR="0039365A" w:rsidRPr="00A36F97" w:rsidRDefault="000C0F6C" w:rsidP="00B177C2">
      <w:pPr>
        <w:pStyle w:val="Listenabsatz"/>
        <w:numPr>
          <w:ilvl w:val="0"/>
          <w:numId w:val="22"/>
        </w:numPr>
        <w:jc w:val="both"/>
        <w:rPr>
          <w:rFonts w:ascii="Arial" w:eastAsia="Times New Roman" w:hAnsi="Arial" w:cs="Arial"/>
          <w:color w:val="000000"/>
          <w:sz w:val="24"/>
          <w:szCs w:val="24"/>
        </w:rPr>
      </w:pPr>
      <w:r w:rsidRPr="00A36F97">
        <w:rPr>
          <w:rFonts w:ascii="Arial" w:eastAsia="Times New Roman" w:hAnsi="Arial" w:cs="Arial"/>
          <w:sz w:val="24"/>
          <w:szCs w:val="24"/>
        </w:rPr>
        <w:t>Ein</w:t>
      </w:r>
      <w:r w:rsidR="00451312" w:rsidRPr="00A36F97">
        <w:rPr>
          <w:rFonts w:ascii="Arial" w:eastAsia="Times New Roman" w:hAnsi="Arial" w:cs="Arial"/>
          <w:sz w:val="24"/>
          <w:szCs w:val="24"/>
        </w:rPr>
        <w:t xml:space="preserve"> </w:t>
      </w:r>
      <w:r w:rsidR="0039365A" w:rsidRPr="00A36F97">
        <w:rPr>
          <w:rFonts w:ascii="Arial" w:eastAsia="Times New Roman" w:hAnsi="Arial" w:cs="Arial"/>
          <w:sz w:val="24"/>
          <w:szCs w:val="24"/>
        </w:rPr>
        <w:t>temporäre</w:t>
      </w:r>
      <w:r w:rsidRPr="00A36F97">
        <w:rPr>
          <w:rFonts w:ascii="Arial" w:eastAsia="Times New Roman" w:hAnsi="Arial" w:cs="Arial"/>
          <w:sz w:val="24"/>
          <w:szCs w:val="24"/>
        </w:rPr>
        <w:t xml:space="preserve">r </w:t>
      </w:r>
      <w:r w:rsidR="00451312" w:rsidRPr="00A36F97">
        <w:rPr>
          <w:rFonts w:ascii="Arial" w:eastAsia="Times New Roman" w:hAnsi="Arial" w:cs="Arial"/>
          <w:sz w:val="24"/>
          <w:szCs w:val="24"/>
        </w:rPr>
        <w:t xml:space="preserve">Verzicht auf die Grunderwerbsteuer </w:t>
      </w:r>
      <w:r w:rsidR="00C6199C" w:rsidRPr="00A36F97">
        <w:rPr>
          <w:rFonts w:ascii="Arial" w:eastAsia="Times New Roman" w:hAnsi="Arial" w:cs="Arial"/>
          <w:sz w:val="24"/>
          <w:szCs w:val="24"/>
        </w:rPr>
        <w:t xml:space="preserve">oder kommunale Abschöpfungen beim Wohnungsbau </w:t>
      </w:r>
      <w:r w:rsidR="00451312" w:rsidRPr="00A36F97">
        <w:rPr>
          <w:rFonts w:ascii="Arial" w:eastAsia="Times New Roman" w:hAnsi="Arial" w:cs="Arial"/>
          <w:sz w:val="24"/>
          <w:szCs w:val="24"/>
        </w:rPr>
        <w:t>wäre</w:t>
      </w:r>
      <w:r w:rsidR="000E33AF" w:rsidRPr="00A36F97">
        <w:rPr>
          <w:rFonts w:ascii="Arial" w:eastAsia="Times New Roman" w:hAnsi="Arial" w:cs="Arial"/>
          <w:sz w:val="24"/>
          <w:szCs w:val="24"/>
        </w:rPr>
        <w:t>n</w:t>
      </w:r>
      <w:r w:rsidR="00451312" w:rsidRPr="00A36F97">
        <w:rPr>
          <w:rFonts w:ascii="Arial" w:eastAsia="Times New Roman" w:hAnsi="Arial" w:cs="Arial"/>
          <w:sz w:val="24"/>
          <w:szCs w:val="24"/>
        </w:rPr>
        <w:t xml:space="preserve"> „der Superturbo“ (Mattner</w:t>
      </w:r>
      <w:r w:rsidR="00F64E91" w:rsidRPr="00A36F97">
        <w:rPr>
          <w:rFonts w:ascii="Arial" w:eastAsia="Times New Roman" w:hAnsi="Arial" w:cs="Arial"/>
          <w:sz w:val="24"/>
          <w:szCs w:val="24"/>
        </w:rPr>
        <w:t>)</w:t>
      </w:r>
      <w:r w:rsidR="0039365A" w:rsidRPr="00A36F97">
        <w:rPr>
          <w:rFonts w:ascii="Arial" w:eastAsia="Times New Roman" w:hAnsi="Arial" w:cs="Arial"/>
          <w:sz w:val="24"/>
          <w:szCs w:val="24"/>
        </w:rPr>
        <w:t xml:space="preserve"> – für den Wohnungsbau und die Ökonomie insgesamt. Denn </w:t>
      </w:r>
      <w:r w:rsidR="0039365A" w:rsidRPr="00A36F97">
        <w:rPr>
          <w:rFonts w:ascii="Arial" w:eastAsia="Times New Roman" w:hAnsi="Arial" w:cs="Arial"/>
          <w:color w:val="000000"/>
          <w:sz w:val="24"/>
          <w:szCs w:val="24"/>
        </w:rPr>
        <w:t xml:space="preserve">Einnahme-Zuwächse über die </w:t>
      </w:r>
      <w:r w:rsidR="00F04F68" w:rsidRPr="00A36F97">
        <w:rPr>
          <w:rFonts w:ascii="Arial" w:eastAsia="Times New Roman" w:hAnsi="Arial" w:cs="Arial"/>
          <w:color w:val="000000"/>
          <w:sz w:val="24"/>
          <w:szCs w:val="24"/>
        </w:rPr>
        <w:t>Umsatz</w:t>
      </w:r>
      <w:r w:rsidR="0039365A" w:rsidRPr="00A36F97">
        <w:rPr>
          <w:rFonts w:ascii="Arial" w:eastAsia="Times New Roman" w:hAnsi="Arial" w:cs="Arial"/>
          <w:color w:val="000000"/>
          <w:sz w:val="24"/>
          <w:szCs w:val="24"/>
        </w:rPr>
        <w:t xml:space="preserve">steuer auf Bauleistungen und die Grundsteuer würden </w:t>
      </w:r>
      <w:r w:rsidR="00F04F68" w:rsidRPr="00A36F97">
        <w:rPr>
          <w:rFonts w:ascii="Arial" w:eastAsia="Times New Roman" w:hAnsi="Arial" w:cs="Arial"/>
          <w:color w:val="000000"/>
          <w:sz w:val="24"/>
          <w:szCs w:val="24"/>
        </w:rPr>
        <w:t>die Ausgaben</w:t>
      </w:r>
      <w:r w:rsidR="00C61D48" w:rsidRPr="00A36F97">
        <w:rPr>
          <w:rFonts w:ascii="Arial" w:eastAsia="Times New Roman" w:hAnsi="Arial" w:cs="Arial"/>
          <w:color w:val="000000"/>
          <w:sz w:val="24"/>
          <w:szCs w:val="24"/>
        </w:rPr>
        <w:t xml:space="preserve"> </w:t>
      </w:r>
      <w:r w:rsidR="0039365A" w:rsidRPr="00A36F97">
        <w:rPr>
          <w:rFonts w:ascii="Arial" w:eastAsia="Times New Roman" w:hAnsi="Arial" w:cs="Arial"/>
          <w:color w:val="000000"/>
          <w:sz w:val="24"/>
          <w:szCs w:val="24"/>
        </w:rPr>
        <w:t xml:space="preserve">mehr als ausgleichen </w:t>
      </w:r>
      <w:r w:rsidR="0039365A" w:rsidRPr="00A36F97">
        <w:rPr>
          <w:rFonts w:ascii="Arial" w:eastAsia="Times New Roman" w:hAnsi="Arial" w:cs="Arial"/>
          <w:sz w:val="24"/>
          <w:szCs w:val="24"/>
        </w:rPr>
        <w:t>(</w:t>
      </w:r>
      <w:r w:rsidR="00F04F68" w:rsidRPr="00A36F97">
        <w:rPr>
          <w:rFonts w:ascii="Arial" w:eastAsia="Times New Roman" w:hAnsi="Arial" w:cs="Arial"/>
          <w:sz w:val="24"/>
          <w:szCs w:val="24"/>
        </w:rPr>
        <w:t xml:space="preserve">siehe </w:t>
      </w:r>
      <w:r w:rsidR="001415AC">
        <w:rPr>
          <w:rFonts w:ascii="Arial" w:eastAsia="Times New Roman" w:hAnsi="Arial" w:cs="Arial"/>
          <w:sz w:val="24"/>
          <w:szCs w:val="24"/>
        </w:rPr>
        <w:t>Abbildung 4</w:t>
      </w:r>
      <w:r w:rsidR="0039365A" w:rsidRPr="00A36F97">
        <w:rPr>
          <w:rFonts w:ascii="Arial" w:eastAsia="Times New Roman" w:hAnsi="Arial" w:cs="Arial"/>
          <w:sz w:val="24"/>
          <w:szCs w:val="24"/>
        </w:rPr>
        <w:t xml:space="preserve">). </w:t>
      </w:r>
      <w:r w:rsidR="0039365A" w:rsidRPr="00A36F97">
        <w:rPr>
          <w:rFonts w:ascii="Arial" w:eastAsia="Times New Roman" w:hAnsi="Arial" w:cs="Arial"/>
          <w:color w:val="000000"/>
          <w:sz w:val="24"/>
          <w:szCs w:val="24"/>
        </w:rPr>
        <w:t>Und: Der drohende Abbau von Arbeitsplätzen bei Jobverlusten in der</w:t>
      </w:r>
      <w:r w:rsidR="00A36F97">
        <w:rPr>
          <w:rFonts w:ascii="Arial" w:eastAsia="Times New Roman" w:hAnsi="Arial" w:cs="Arial"/>
          <w:color w:val="000000"/>
          <w:sz w:val="24"/>
          <w:szCs w:val="24"/>
        </w:rPr>
        <w:t xml:space="preserve"> </w:t>
      </w:r>
      <w:r w:rsidR="0039365A" w:rsidRPr="00A36F97">
        <w:rPr>
          <w:rFonts w:ascii="Arial" w:eastAsia="Times New Roman" w:hAnsi="Arial" w:cs="Arial"/>
          <w:color w:val="000000"/>
          <w:sz w:val="24"/>
          <w:szCs w:val="24"/>
        </w:rPr>
        <w:t>Bauwirtschaft würde den Staat über Transferkosten erheblich belasten (</w:t>
      </w:r>
      <w:r w:rsidR="00F04F68" w:rsidRPr="00A36F97">
        <w:rPr>
          <w:rFonts w:ascii="Arial" w:eastAsia="Times New Roman" w:hAnsi="Arial" w:cs="Arial"/>
          <w:color w:val="000000"/>
          <w:sz w:val="24"/>
          <w:szCs w:val="24"/>
        </w:rPr>
        <w:t xml:space="preserve">siehe </w:t>
      </w:r>
      <w:r w:rsidR="001415AC">
        <w:rPr>
          <w:rFonts w:ascii="Arial" w:eastAsia="Times New Roman" w:hAnsi="Arial" w:cs="Arial"/>
          <w:color w:val="000000"/>
          <w:sz w:val="24"/>
          <w:szCs w:val="24"/>
        </w:rPr>
        <w:t>Abbildung 5</w:t>
      </w:r>
      <w:r w:rsidR="0039365A" w:rsidRPr="00A36F97">
        <w:rPr>
          <w:rFonts w:ascii="Arial" w:eastAsia="Times New Roman" w:hAnsi="Arial" w:cs="Arial"/>
          <w:color w:val="000000"/>
          <w:sz w:val="24"/>
          <w:szCs w:val="24"/>
        </w:rPr>
        <w:t>).</w:t>
      </w:r>
    </w:p>
    <w:p w14:paraId="5052DADA" w14:textId="5C2D9DA9" w:rsidR="001E04F6" w:rsidRDefault="00C61D48" w:rsidP="00C41EB7">
      <w:pPr>
        <w:pStyle w:val="Listenabsatz"/>
        <w:numPr>
          <w:ilvl w:val="0"/>
          <w:numId w:val="22"/>
        </w:numPr>
        <w:jc w:val="both"/>
        <w:rPr>
          <w:rFonts w:ascii="Arial" w:eastAsia="Arial" w:hAnsi="Arial" w:cs="Arial"/>
          <w:bCs/>
        </w:rPr>
      </w:pPr>
      <w:r w:rsidRPr="00C61D48">
        <w:rPr>
          <w:rFonts w:ascii="Arial" w:eastAsia="Times New Roman" w:hAnsi="Arial" w:cs="Arial"/>
          <w:color w:val="000000"/>
          <w:sz w:val="24"/>
          <w:szCs w:val="24"/>
        </w:rPr>
        <w:t xml:space="preserve">Die von Bundesregierung und Bundestag gewünschten steuerlichen Anreize über die degressive AfA </w:t>
      </w:r>
      <w:r w:rsidR="001415AC">
        <w:rPr>
          <w:rFonts w:ascii="Arial" w:eastAsia="Times New Roman" w:hAnsi="Arial" w:cs="Arial"/>
          <w:color w:val="000000"/>
          <w:sz w:val="24"/>
          <w:szCs w:val="24"/>
        </w:rPr>
        <w:t>sind</w:t>
      </w:r>
      <w:r w:rsidR="001415AC" w:rsidRPr="00C61D48">
        <w:rPr>
          <w:rFonts w:ascii="Arial" w:eastAsia="Times New Roman" w:hAnsi="Arial" w:cs="Arial"/>
          <w:color w:val="000000"/>
          <w:sz w:val="24"/>
          <w:szCs w:val="24"/>
        </w:rPr>
        <w:t xml:space="preserve"> </w:t>
      </w:r>
      <w:r w:rsidRPr="00C61D48">
        <w:rPr>
          <w:rFonts w:ascii="Arial" w:eastAsia="Times New Roman" w:hAnsi="Arial" w:cs="Arial"/>
          <w:color w:val="000000"/>
          <w:sz w:val="24"/>
          <w:szCs w:val="24"/>
        </w:rPr>
        <w:t xml:space="preserve">unverzichtbar. </w:t>
      </w:r>
      <w:r>
        <w:rPr>
          <w:rFonts w:ascii="Arial" w:eastAsia="Times New Roman" w:hAnsi="Arial" w:cs="Arial"/>
          <w:color w:val="000000"/>
          <w:sz w:val="24"/>
          <w:szCs w:val="24"/>
        </w:rPr>
        <w:t>Sie darf im Wachstumschancengesetz nicht mit anderen sachfremden Fragen</w:t>
      </w:r>
      <w:r w:rsidR="00D6299B">
        <w:rPr>
          <w:rFonts w:ascii="Arial" w:eastAsia="Times New Roman" w:hAnsi="Arial" w:cs="Arial"/>
          <w:color w:val="000000"/>
          <w:sz w:val="24"/>
          <w:szCs w:val="24"/>
        </w:rPr>
        <w:t xml:space="preserve"> verknüpft werden.</w:t>
      </w:r>
    </w:p>
    <w:bookmarkEnd w:id="4"/>
    <w:p w14:paraId="2426A23B" w14:textId="52441B7D" w:rsidR="000D51BD" w:rsidRDefault="000D51BD" w:rsidP="00C41EB7">
      <w:pPr>
        <w:pStyle w:val="StandardWeb"/>
        <w:tabs>
          <w:tab w:val="left" w:pos="2948"/>
        </w:tabs>
        <w:spacing w:after="0" w:line="360" w:lineRule="auto"/>
        <w:jc w:val="both"/>
        <w:textAlignment w:val="baseline"/>
        <w:rPr>
          <w:rFonts w:ascii="Arial" w:eastAsia="Arial" w:hAnsi="Arial" w:cs="Arial"/>
          <w:bCs/>
        </w:rPr>
      </w:pPr>
      <w:r>
        <w:rPr>
          <w:rFonts w:ascii="Arial" w:eastAsia="Arial" w:hAnsi="Arial" w:cs="Arial"/>
          <w:bCs/>
        </w:rPr>
        <w:t>Mattner: „</w:t>
      </w:r>
      <w:r w:rsidR="00C6199C">
        <w:rPr>
          <w:rFonts w:ascii="Arial" w:eastAsia="Arial" w:hAnsi="Arial" w:cs="Arial"/>
          <w:bCs/>
        </w:rPr>
        <w:t xml:space="preserve">Es könnte so einfach sein, </w:t>
      </w:r>
      <w:r w:rsidR="006371C2">
        <w:rPr>
          <w:rFonts w:ascii="Arial" w:eastAsia="Arial" w:hAnsi="Arial" w:cs="Arial"/>
          <w:bCs/>
        </w:rPr>
        <w:t>Mieten</w:t>
      </w:r>
      <w:r w:rsidR="00C6199C">
        <w:rPr>
          <w:rFonts w:ascii="Arial" w:eastAsia="Arial" w:hAnsi="Arial" w:cs="Arial"/>
          <w:bCs/>
        </w:rPr>
        <w:t xml:space="preserve"> von </w:t>
      </w:r>
      <w:r w:rsidR="006371C2">
        <w:rPr>
          <w:rFonts w:ascii="Arial" w:eastAsia="Arial" w:hAnsi="Arial" w:cs="Arial"/>
          <w:bCs/>
        </w:rPr>
        <w:t xml:space="preserve">aktuell </w:t>
      </w:r>
      <w:r w:rsidR="00C6199C">
        <w:rPr>
          <w:rFonts w:ascii="Arial" w:eastAsia="Arial" w:hAnsi="Arial" w:cs="Arial"/>
          <w:bCs/>
        </w:rPr>
        <w:t>15</w:t>
      </w:r>
      <w:r w:rsidR="006371C2">
        <w:rPr>
          <w:rFonts w:ascii="Arial" w:eastAsia="Arial" w:hAnsi="Arial" w:cs="Arial"/>
          <w:bCs/>
        </w:rPr>
        <w:t xml:space="preserve"> Euro</w:t>
      </w:r>
      <w:r w:rsidR="00C6199C">
        <w:rPr>
          <w:rFonts w:ascii="Arial" w:eastAsia="Arial" w:hAnsi="Arial" w:cs="Arial"/>
          <w:bCs/>
        </w:rPr>
        <w:t xml:space="preserve"> lägen bei einer </w:t>
      </w:r>
      <w:r w:rsidR="006371C2">
        <w:rPr>
          <w:rFonts w:ascii="Arial" w:eastAsia="Arial" w:hAnsi="Arial" w:cs="Arial"/>
          <w:bCs/>
        </w:rPr>
        <w:t>auf 22</w:t>
      </w:r>
      <w:r w:rsidR="001B0B4C">
        <w:rPr>
          <w:rFonts w:ascii="Arial" w:eastAsia="Arial" w:hAnsi="Arial" w:cs="Arial"/>
          <w:bCs/>
        </w:rPr>
        <w:t xml:space="preserve"> Prozent</w:t>
      </w:r>
      <w:r w:rsidR="006371C2">
        <w:rPr>
          <w:rFonts w:ascii="Arial" w:eastAsia="Arial" w:hAnsi="Arial" w:cs="Arial"/>
          <w:bCs/>
        </w:rPr>
        <w:t xml:space="preserve"> reduzierten „</w:t>
      </w:r>
      <w:r w:rsidR="00C6199C">
        <w:rPr>
          <w:rFonts w:ascii="Arial" w:eastAsia="Arial" w:hAnsi="Arial" w:cs="Arial"/>
          <w:bCs/>
        </w:rPr>
        <w:t>Staatsquote</w:t>
      </w:r>
      <w:r w:rsidR="006371C2">
        <w:rPr>
          <w:rFonts w:ascii="Arial" w:eastAsia="Arial" w:hAnsi="Arial" w:cs="Arial"/>
          <w:bCs/>
        </w:rPr>
        <w:t>“</w:t>
      </w:r>
      <w:r w:rsidR="00C6199C">
        <w:rPr>
          <w:rFonts w:ascii="Arial" w:eastAsia="Arial" w:hAnsi="Arial" w:cs="Arial"/>
          <w:bCs/>
        </w:rPr>
        <w:t xml:space="preserve"> </w:t>
      </w:r>
      <w:r w:rsidR="00023E2F">
        <w:rPr>
          <w:rFonts w:ascii="Arial" w:eastAsia="Arial" w:hAnsi="Arial" w:cs="Arial"/>
          <w:bCs/>
        </w:rPr>
        <w:t xml:space="preserve">– </w:t>
      </w:r>
      <w:r w:rsidR="00C6199C">
        <w:rPr>
          <w:rFonts w:ascii="Arial" w:eastAsia="Arial" w:hAnsi="Arial" w:cs="Arial"/>
          <w:bCs/>
        </w:rPr>
        <w:t>statt 37</w:t>
      </w:r>
      <w:r w:rsidR="00520F10">
        <w:rPr>
          <w:rFonts w:ascii="Arial" w:eastAsia="Arial" w:hAnsi="Arial" w:cs="Arial"/>
          <w:bCs/>
        </w:rPr>
        <w:t xml:space="preserve"> Prozen</w:t>
      </w:r>
      <w:r w:rsidR="00023E2F">
        <w:rPr>
          <w:rFonts w:ascii="Arial" w:eastAsia="Arial" w:hAnsi="Arial" w:cs="Arial"/>
          <w:bCs/>
        </w:rPr>
        <w:t xml:space="preserve">t – </w:t>
      </w:r>
      <w:r w:rsidR="00C6199C">
        <w:rPr>
          <w:rFonts w:ascii="Arial" w:eastAsia="Arial" w:hAnsi="Arial" w:cs="Arial"/>
          <w:bCs/>
        </w:rPr>
        <w:t>bei lediglich 12,8</w:t>
      </w:r>
      <w:r w:rsidR="00053967">
        <w:rPr>
          <w:rFonts w:ascii="Arial" w:eastAsia="Arial" w:hAnsi="Arial" w:cs="Arial"/>
          <w:bCs/>
        </w:rPr>
        <w:t>0</w:t>
      </w:r>
      <w:r w:rsidR="006371C2">
        <w:rPr>
          <w:rFonts w:ascii="Arial" w:eastAsia="Arial" w:hAnsi="Arial" w:cs="Arial"/>
          <w:bCs/>
        </w:rPr>
        <w:t xml:space="preserve"> Euro</w:t>
      </w:r>
      <w:r w:rsidR="00C6199C">
        <w:rPr>
          <w:rFonts w:ascii="Arial" w:eastAsia="Arial" w:hAnsi="Arial" w:cs="Arial"/>
          <w:bCs/>
        </w:rPr>
        <w:t xml:space="preserve">. </w:t>
      </w:r>
      <w:r>
        <w:rPr>
          <w:rFonts w:ascii="Arial" w:eastAsia="Arial" w:hAnsi="Arial" w:cs="Arial"/>
          <w:bCs/>
        </w:rPr>
        <w:t xml:space="preserve">Vor der wichtigen Sitzung des </w:t>
      </w:r>
      <w:r w:rsidRPr="00045DA2">
        <w:rPr>
          <w:rFonts w:ascii="Arial" w:eastAsia="Arial" w:hAnsi="Arial" w:cs="Arial"/>
          <w:bCs/>
        </w:rPr>
        <w:t>Vermittlungsausschusses</w:t>
      </w:r>
      <w:r>
        <w:rPr>
          <w:rFonts w:ascii="Arial" w:eastAsia="Arial" w:hAnsi="Arial" w:cs="Arial"/>
          <w:bCs/>
        </w:rPr>
        <w:t xml:space="preserve"> am morgigen Mittwoch </w:t>
      </w:r>
      <w:r w:rsidR="00C61D48">
        <w:rPr>
          <w:rFonts w:ascii="Arial" w:eastAsia="Arial" w:hAnsi="Arial" w:cs="Arial"/>
          <w:bCs/>
        </w:rPr>
        <w:t xml:space="preserve">zum </w:t>
      </w:r>
      <w:r w:rsidR="00C61D48">
        <w:rPr>
          <w:rFonts w:ascii="Arial" w:hAnsi="Arial" w:cs="Arial"/>
          <w:color w:val="000000"/>
        </w:rPr>
        <w:t>Wachstumschancengesetz</w:t>
      </w:r>
      <w:r w:rsidR="001415AC">
        <w:rPr>
          <w:rFonts w:ascii="Arial" w:hAnsi="Arial" w:cs="Arial"/>
          <w:color w:val="000000"/>
        </w:rPr>
        <w:t>,</w:t>
      </w:r>
      <w:r w:rsidR="00C61D48">
        <w:rPr>
          <w:rFonts w:ascii="Arial" w:hAnsi="Arial" w:cs="Arial"/>
          <w:color w:val="000000"/>
        </w:rPr>
        <w:t xml:space="preserve"> </w:t>
      </w:r>
      <w:r w:rsidR="00EB5E75">
        <w:rPr>
          <w:rFonts w:ascii="Arial" w:hAnsi="Arial" w:cs="Arial"/>
          <w:color w:val="000000"/>
        </w:rPr>
        <w:t xml:space="preserve">und damit zur </w:t>
      </w:r>
      <w:r w:rsidR="006371C2">
        <w:rPr>
          <w:rFonts w:ascii="Arial" w:hAnsi="Arial" w:cs="Arial"/>
          <w:color w:val="000000"/>
        </w:rPr>
        <w:t>d</w:t>
      </w:r>
      <w:r w:rsidR="00EB5E75">
        <w:rPr>
          <w:rFonts w:ascii="Arial" w:hAnsi="Arial" w:cs="Arial"/>
          <w:color w:val="000000"/>
        </w:rPr>
        <w:t>egressiven Af</w:t>
      </w:r>
      <w:r w:rsidR="006371C2">
        <w:rPr>
          <w:rFonts w:ascii="Arial" w:hAnsi="Arial" w:cs="Arial"/>
          <w:color w:val="000000"/>
        </w:rPr>
        <w:t>A</w:t>
      </w:r>
      <w:r w:rsidR="001415AC">
        <w:rPr>
          <w:rFonts w:ascii="Arial" w:hAnsi="Arial" w:cs="Arial"/>
          <w:color w:val="000000"/>
        </w:rPr>
        <w:t>,</w:t>
      </w:r>
      <w:r w:rsidR="00EB5E75">
        <w:rPr>
          <w:rFonts w:ascii="Arial" w:hAnsi="Arial" w:cs="Arial"/>
          <w:color w:val="000000"/>
        </w:rPr>
        <w:t xml:space="preserve"> </w:t>
      </w:r>
      <w:r>
        <w:rPr>
          <w:rFonts w:ascii="Arial" w:eastAsia="Arial" w:hAnsi="Arial" w:cs="Arial"/>
          <w:bCs/>
        </w:rPr>
        <w:t>will ich es noch einmal ganz klar sagen: Die Lage ist zu ernst für politische Spielchen.</w:t>
      </w:r>
      <w:r w:rsidR="00C61D48">
        <w:rPr>
          <w:rFonts w:ascii="Arial" w:eastAsia="Arial" w:hAnsi="Arial" w:cs="Arial"/>
          <w:bCs/>
        </w:rPr>
        <w:t>“</w:t>
      </w:r>
      <w:r>
        <w:rPr>
          <w:rFonts w:ascii="Arial" w:eastAsia="Arial" w:hAnsi="Arial" w:cs="Arial"/>
          <w:bCs/>
        </w:rPr>
        <w:t xml:space="preserve"> Es brauch</w:t>
      </w:r>
      <w:r w:rsidR="00C61D48">
        <w:rPr>
          <w:rFonts w:ascii="Arial" w:eastAsia="Arial" w:hAnsi="Arial" w:cs="Arial"/>
          <w:bCs/>
        </w:rPr>
        <w:t xml:space="preserve">e </w:t>
      </w:r>
      <w:r>
        <w:rPr>
          <w:rFonts w:ascii="Arial" w:eastAsia="Arial" w:hAnsi="Arial" w:cs="Arial"/>
          <w:bCs/>
        </w:rPr>
        <w:t xml:space="preserve">die steuerlichen </w:t>
      </w:r>
      <w:r>
        <w:rPr>
          <w:rFonts w:ascii="Arial" w:eastAsia="Arial" w:hAnsi="Arial" w:cs="Arial"/>
          <w:bCs/>
        </w:rPr>
        <w:lastRenderedPageBreak/>
        <w:t xml:space="preserve">Anreize für die Immobilienwirtschaft, wie sie im Wachstumschancengesetz vorgesehen sind. </w:t>
      </w:r>
      <w:r w:rsidR="00C61D48">
        <w:rPr>
          <w:rFonts w:ascii="Arial" w:eastAsia="Arial" w:hAnsi="Arial" w:cs="Arial"/>
          <w:bCs/>
        </w:rPr>
        <w:t>„</w:t>
      </w:r>
      <w:r>
        <w:rPr>
          <w:rFonts w:ascii="Arial" w:eastAsia="Arial" w:hAnsi="Arial" w:cs="Arial"/>
          <w:bCs/>
        </w:rPr>
        <w:t>Diese Frage mit Entlastungen beim Agrardiesel zu verknüpfen, ist unangebracht.“</w:t>
      </w:r>
    </w:p>
    <w:p w14:paraId="60A1598F" w14:textId="39B8F55B" w:rsidR="00D50733" w:rsidRPr="00D50733" w:rsidRDefault="00D50733" w:rsidP="00D50733">
      <w:pPr>
        <w:spacing w:line="360" w:lineRule="auto"/>
        <w:rPr>
          <w:rFonts w:eastAsia="Times New Roman"/>
          <w:color w:val="auto"/>
          <w:szCs w:val="24"/>
        </w:rPr>
      </w:pPr>
      <w:r>
        <w:rPr>
          <w:bCs/>
          <w:szCs w:val="24"/>
        </w:rPr>
        <w:t xml:space="preserve">Dass </w:t>
      </w:r>
      <w:r w:rsidRPr="00C61D48">
        <w:rPr>
          <w:bCs/>
          <w:szCs w:val="24"/>
        </w:rPr>
        <w:t>Bund und Länder sich auf einen Beschleunigungs-Pakt für Planungs- und Genehmigungsprozesse verständigt</w:t>
      </w:r>
      <w:r>
        <w:rPr>
          <w:bCs/>
          <w:szCs w:val="24"/>
        </w:rPr>
        <w:t xml:space="preserve"> haben</w:t>
      </w:r>
      <w:r w:rsidR="00053967">
        <w:rPr>
          <w:bCs/>
          <w:szCs w:val="24"/>
        </w:rPr>
        <w:t>,</w:t>
      </w:r>
      <w:r>
        <w:rPr>
          <w:bCs/>
          <w:szCs w:val="24"/>
        </w:rPr>
        <w:t xml:space="preserve"> ist aus ZIA-Sicht ein Lichtblick.</w:t>
      </w:r>
    </w:p>
    <w:p w14:paraId="0691A1DC" w14:textId="77777777" w:rsidR="003826AD" w:rsidRDefault="003826AD" w:rsidP="00C41EB7">
      <w:pPr>
        <w:rPr>
          <w:b/>
          <w:bCs/>
          <w:szCs w:val="24"/>
        </w:rPr>
      </w:pPr>
    </w:p>
    <w:p w14:paraId="22A93A5F" w14:textId="7BD4882C" w:rsidR="00D17D94" w:rsidRDefault="00D17D94" w:rsidP="00C41EB7">
      <w:pPr>
        <w:rPr>
          <w:color w:val="242424"/>
          <w:shd w:val="clear" w:color="auto" w:fill="FFFFFF"/>
        </w:rPr>
      </w:pPr>
      <w:r>
        <w:rPr>
          <w:color w:val="242424"/>
          <w:shd w:val="clear" w:color="auto" w:fill="FFFFFF"/>
        </w:rPr>
        <w:t xml:space="preserve">Das vollständige Frühjahrsgutachten </w:t>
      </w:r>
      <w:r w:rsidR="00A84833">
        <w:rPr>
          <w:color w:val="242424"/>
          <w:shd w:val="clear" w:color="auto" w:fill="FFFFFF"/>
        </w:rPr>
        <w:t xml:space="preserve">2024 </w:t>
      </w:r>
      <w:r>
        <w:rPr>
          <w:color w:val="242424"/>
          <w:shd w:val="clear" w:color="auto" w:fill="FFFFFF"/>
        </w:rPr>
        <w:t xml:space="preserve">sowie die Zusammenfassung finden Sie unter </w:t>
      </w:r>
      <w:bookmarkStart w:id="5" w:name="_Hlk158973877"/>
      <w:r>
        <w:rPr>
          <w:color w:val="242424"/>
          <w:shd w:val="clear" w:color="auto" w:fill="FFFFFF"/>
        </w:rPr>
        <w:fldChar w:fldCharType="begin"/>
      </w:r>
      <w:r>
        <w:rPr>
          <w:color w:val="242424"/>
          <w:shd w:val="clear" w:color="auto" w:fill="FFFFFF"/>
        </w:rPr>
        <w:instrText xml:space="preserve"> HYPERLINK "http://www.fruehjahrsgutachten.de" </w:instrText>
      </w:r>
      <w:r>
        <w:rPr>
          <w:color w:val="242424"/>
          <w:shd w:val="clear" w:color="auto" w:fill="FFFFFF"/>
        </w:rPr>
      </w:r>
      <w:r>
        <w:rPr>
          <w:color w:val="242424"/>
          <w:shd w:val="clear" w:color="auto" w:fill="FFFFFF"/>
        </w:rPr>
        <w:fldChar w:fldCharType="separate"/>
      </w:r>
      <w:r w:rsidRPr="00F6094A">
        <w:rPr>
          <w:rStyle w:val="Hyperlink"/>
          <w:shd w:val="clear" w:color="auto" w:fill="FFFFFF"/>
        </w:rPr>
        <w:t>www.fruehjahrsgutachten.de</w:t>
      </w:r>
      <w:r>
        <w:rPr>
          <w:color w:val="242424"/>
          <w:shd w:val="clear" w:color="auto" w:fill="FFFFFF"/>
        </w:rPr>
        <w:fldChar w:fldCharType="end"/>
      </w:r>
      <w:r>
        <w:rPr>
          <w:color w:val="242424"/>
          <w:shd w:val="clear" w:color="auto" w:fill="FFFFFF"/>
        </w:rPr>
        <w:t xml:space="preserve">. </w:t>
      </w:r>
      <w:bookmarkEnd w:id="5"/>
      <w:r w:rsidR="00A36F97">
        <w:rPr>
          <w:color w:val="242424"/>
          <w:shd w:val="clear" w:color="auto" w:fill="FFFFFF"/>
        </w:rPr>
        <w:t>Direktlinks:</w:t>
      </w:r>
    </w:p>
    <w:p w14:paraId="6D55E1A4" w14:textId="483EC593" w:rsidR="00A36F97" w:rsidRPr="00A2799A" w:rsidRDefault="00A36F97" w:rsidP="00A36F97">
      <w:pPr>
        <w:pStyle w:val="Listenabsatz"/>
        <w:numPr>
          <w:ilvl w:val="0"/>
          <w:numId w:val="24"/>
        </w:numPr>
        <w:spacing w:before="0" w:beforeAutospacing="0" w:after="0" w:afterAutospacing="0"/>
        <w:rPr>
          <w:rFonts w:ascii="Arial" w:eastAsia="Times New Roman" w:hAnsi="Arial" w:cs="Arial"/>
          <w:sz w:val="24"/>
          <w:szCs w:val="24"/>
        </w:rPr>
      </w:pPr>
      <w:r w:rsidRPr="00A2799A">
        <w:rPr>
          <w:rFonts w:ascii="Arial" w:eastAsia="Times New Roman" w:hAnsi="Arial" w:cs="Arial"/>
          <w:sz w:val="24"/>
          <w:szCs w:val="24"/>
        </w:rPr>
        <w:t xml:space="preserve">Komplettfassung: </w:t>
      </w:r>
      <w:hyperlink r:id="rId10" w:history="1">
        <w:r w:rsidR="00961390" w:rsidRPr="00A2799A">
          <w:rPr>
            <w:rStyle w:val="Hyperlink"/>
            <w:rFonts w:ascii="Arial" w:hAnsi="Arial" w:cs="Arial"/>
          </w:rPr>
          <w:t>https://zia-deutschland.de/wp-content/uploads/2024/02/fruehjahrsgutachten_2024.pdf</w:t>
        </w:r>
      </w:hyperlink>
      <w:r w:rsidR="00961390" w:rsidRPr="00A2799A">
        <w:rPr>
          <w:rFonts w:ascii="Arial" w:hAnsi="Arial" w:cs="Arial"/>
        </w:rPr>
        <w:t xml:space="preserve"> </w:t>
      </w:r>
    </w:p>
    <w:p w14:paraId="12BE4638" w14:textId="77777777" w:rsidR="00A36F97" w:rsidRPr="00A2799A" w:rsidRDefault="00A36F97" w:rsidP="00A36F97">
      <w:pPr>
        <w:pStyle w:val="Listenabsatz"/>
        <w:numPr>
          <w:ilvl w:val="0"/>
          <w:numId w:val="24"/>
        </w:numPr>
        <w:spacing w:before="0" w:beforeAutospacing="0" w:after="0" w:afterAutospacing="0"/>
        <w:rPr>
          <w:rFonts w:ascii="Arial" w:eastAsia="Times New Roman" w:hAnsi="Arial" w:cs="Arial"/>
          <w:sz w:val="24"/>
          <w:szCs w:val="24"/>
        </w:rPr>
      </w:pPr>
      <w:r w:rsidRPr="00A2799A">
        <w:rPr>
          <w:rFonts w:ascii="Arial" w:eastAsia="Times New Roman" w:hAnsi="Arial" w:cs="Arial"/>
          <w:sz w:val="24"/>
          <w:szCs w:val="24"/>
        </w:rPr>
        <w:t xml:space="preserve">Kurzfassung: </w:t>
      </w:r>
      <w:hyperlink r:id="rId11" w:history="1">
        <w:r w:rsidRPr="00A2799A">
          <w:rPr>
            <w:rStyle w:val="Hyperlink"/>
            <w:rFonts w:ascii="Arial" w:eastAsia="Times New Roman" w:hAnsi="Arial" w:cs="Arial"/>
            <w:sz w:val="24"/>
            <w:szCs w:val="24"/>
          </w:rPr>
          <w:t>https://zia-deutschland.de/wp-content/uploads/2024/02/Fruehjahrsgutachten-2024-kurz.pdf</w:t>
        </w:r>
      </w:hyperlink>
      <w:r w:rsidRPr="00A2799A">
        <w:rPr>
          <w:rFonts w:ascii="Arial" w:eastAsia="Times New Roman" w:hAnsi="Arial" w:cs="Arial"/>
          <w:sz w:val="24"/>
          <w:szCs w:val="24"/>
        </w:rPr>
        <w:t xml:space="preserve"> </w:t>
      </w:r>
    </w:p>
    <w:p w14:paraId="28988CB7" w14:textId="77777777" w:rsidR="00A36F97" w:rsidRPr="00A2799A" w:rsidRDefault="00A36F97" w:rsidP="00A36F97">
      <w:pPr>
        <w:pStyle w:val="Listenabsatz"/>
        <w:numPr>
          <w:ilvl w:val="0"/>
          <w:numId w:val="24"/>
        </w:numPr>
        <w:spacing w:before="0" w:beforeAutospacing="0" w:after="0" w:afterAutospacing="0"/>
        <w:rPr>
          <w:rFonts w:ascii="Arial" w:hAnsi="Arial" w:cs="Arial"/>
          <w:sz w:val="24"/>
          <w:szCs w:val="24"/>
        </w:rPr>
      </w:pPr>
      <w:r w:rsidRPr="00A2799A">
        <w:rPr>
          <w:rFonts w:ascii="Arial" w:eastAsia="Times New Roman" w:hAnsi="Arial" w:cs="Arial"/>
          <w:sz w:val="24"/>
          <w:szCs w:val="24"/>
        </w:rPr>
        <w:t xml:space="preserve">Kurzfassung (engl.): </w:t>
      </w:r>
      <w:hyperlink r:id="rId12" w:history="1">
        <w:r w:rsidRPr="00A2799A">
          <w:rPr>
            <w:rStyle w:val="Hyperlink"/>
            <w:rFonts w:ascii="Arial" w:eastAsia="Times New Roman" w:hAnsi="Arial" w:cs="Arial"/>
            <w:sz w:val="24"/>
            <w:szCs w:val="24"/>
          </w:rPr>
          <w:t>https://zia-deutschland.de/wp-content/uploads/2024/02/Fruehjahrsgutachten-2024-kurz-EN.pdf</w:t>
        </w:r>
      </w:hyperlink>
      <w:r w:rsidRPr="00A2799A">
        <w:rPr>
          <w:rFonts w:ascii="Arial" w:eastAsia="Times New Roman" w:hAnsi="Arial" w:cs="Arial"/>
          <w:sz w:val="24"/>
          <w:szCs w:val="24"/>
        </w:rPr>
        <w:t xml:space="preserve"> </w:t>
      </w:r>
    </w:p>
    <w:p w14:paraId="69667310" w14:textId="77777777" w:rsidR="00D17D94" w:rsidRDefault="00D17D94" w:rsidP="00C41EB7">
      <w:pPr>
        <w:rPr>
          <w:b/>
          <w:bCs/>
          <w:szCs w:val="24"/>
        </w:rPr>
      </w:pPr>
    </w:p>
    <w:p w14:paraId="12631799" w14:textId="07A9652D" w:rsidR="007C5234" w:rsidRPr="00824216" w:rsidRDefault="007C5234" w:rsidP="00C41EB7">
      <w:pPr>
        <w:rPr>
          <w:b/>
          <w:bCs/>
          <w:szCs w:val="24"/>
        </w:rPr>
      </w:pPr>
      <w:r w:rsidRPr="00824216">
        <w:rPr>
          <w:b/>
          <w:bCs/>
          <w:szCs w:val="24"/>
        </w:rPr>
        <w:t>Schlaglichter aus dem Frühjahrsgutachten:</w:t>
      </w:r>
    </w:p>
    <w:p w14:paraId="7E8CF550" w14:textId="77777777" w:rsidR="007C5234" w:rsidRPr="00EB4928" w:rsidRDefault="007C5234" w:rsidP="00C41EB7">
      <w:pPr>
        <w:rPr>
          <w:szCs w:val="24"/>
        </w:rPr>
      </w:pPr>
    </w:p>
    <w:p w14:paraId="453003A2" w14:textId="18D57BC7" w:rsidR="006371C2" w:rsidRDefault="007C5234" w:rsidP="00023E2F">
      <w:pPr>
        <w:rPr>
          <w:rFonts w:eastAsia="Times New Roman"/>
        </w:rPr>
      </w:pPr>
      <w:r w:rsidRPr="00535A79">
        <w:rPr>
          <w:b/>
          <w:bCs/>
          <w:sz w:val="28"/>
          <w:szCs w:val="28"/>
          <w:u w:val="single"/>
        </w:rPr>
        <w:t>Gesamtwirtschaftliche Entwicklung:</w:t>
      </w:r>
      <w:r w:rsidRPr="00535A79">
        <w:rPr>
          <w:b/>
          <w:bCs/>
          <w:sz w:val="28"/>
          <w:szCs w:val="28"/>
        </w:rPr>
        <w:t xml:space="preserve"> Prof. Dr. Dr. h.c. Lars P. Feld </w:t>
      </w:r>
      <w:r w:rsidRPr="00535A79">
        <w:rPr>
          <w:bCs/>
          <w:sz w:val="28"/>
          <w:szCs w:val="28"/>
        </w:rPr>
        <w:t>(</w:t>
      </w:r>
      <w:bookmarkStart w:id="6" w:name="_Hlk127195974"/>
      <w:r w:rsidRPr="00535A79">
        <w:rPr>
          <w:bCs/>
          <w:sz w:val="28"/>
          <w:szCs w:val="28"/>
        </w:rPr>
        <w:t xml:space="preserve">Professor für Volkswirtschaftslehre </w:t>
      </w:r>
      <w:r w:rsidRPr="00535A79">
        <w:rPr>
          <w:sz w:val="28"/>
          <w:szCs w:val="28"/>
        </w:rPr>
        <w:t>an der Albert-Ludwigs-Universität Freiburg, Direktor des Walter Eucken Instituts</w:t>
      </w:r>
      <w:bookmarkEnd w:id="6"/>
      <w:proofErr w:type="gramStart"/>
      <w:r w:rsidRPr="00535A79">
        <w:rPr>
          <w:sz w:val="28"/>
          <w:szCs w:val="28"/>
        </w:rPr>
        <w:t>)</w:t>
      </w:r>
      <w:r w:rsidR="00D50733" w:rsidRPr="00535A79">
        <w:rPr>
          <w:sz w:val="28"/>
          <w:szCs w:val="28"/>
        </w:rPr>
        <w:t>:</w:t>
      </w:r>
      <w:r w:rsidR="006371C2">
        <w:rPr>
          <w:rFonts w:eastAsia="Times New Roman"/>
        </w:rPr>
        <w:t>Bei</w:t>
      </w:r>
      <w:proofErr w:type="gramEnd"/>
      <w:r w:rsidR="006371C2">
        <w:rPr>
          <w:rFonts w:eastAsia="Times New Roman"/>
        </w:rPr>
        <w:t xml:space="preserve"> einer weiterhin restriktiv ausgelegten Geldpolitik der EZB dürfte es im laufenden Jahr nur allmählich zu einer gesamtwirtschaftlichen Aufhellung kommen, erwartet Prof. Feld. Aufgrund erhöhter Baukosten und Finanzierungsschwierigkeiten durch das gestiegene Zinsniveau sind viele Bauvorhaben nicht mehr rentabel; viele werden zurückgezogen. Die Entwicklung der Auftragseingänge beim Wohnungsbau ist aus Sicht Felds </w:t>
      </w:r>
      <w:r w:rsidR="00053967">
        <w:rPr>
          <w:rFonts w:eastAsia="Times New Roman"/>
        </w:rPr>
        <w:t>„</w:t>
      </w:r>
      <w:r w:rsidR="006371C2">
        <w:rPr>
          <w:rFonts w:eastAsia="Times New Roman"/>
        </w:rPr>
        <w:t xml:space="preserve">alarmierend". Der Experte betont: </w:t>
      </w:r>
      <w:r w:rsidR="00053967">
        <w:rPr>
          <w:rFonts w:eastAsia="Times New Roman"/>
        </w:rPr>
        <w:t>„</w:t>
      </w:r>
      <w:r w:rsidR="006371C2">
        <w:rPr>
          <w:rFonts w:eastAsia="Times New Roman"/>
        </w:rPr>
        <w:t xml:space="preserve">Hier spiegelt sich die Investitionszurückhaltung der privaten Haushalte und Unternehmen wider, die wegen gestiegener Baukosten und </w:t>
      </w:r>
      <w:r w:rsidR="00053967">
        <w:rPr>
          <w:rFonts w:eastAsia="Times New Roman"/>
        </w:rPr>
        <w:t xml:space="preserve">ungünstigerer </w:t>
      </w:r>
      <w:r w:rsidR="006371C2">
        <w:rPr>
          <w:rFonts w:eastAsia="Times New Roman"/>
        </w:rPr>
        <w:t>Finanzierungsbedingungen im Jahr 2023 weniger Bauaufträge erteilten."</w:t>
      </w:r>
      <w:r w:rsidR="006371C2">
        <w:rPr>
          <w:rFonts w:eastAsia="Times New Roman"/>
        </w:rPr>
        <w:br/>
        <w:t xml:space="preserve">Die weiteren Aussichten? </w:t>
      </w:r>
      <w:r w:rsidR="00053967">
        <w:rPr>
          <w:rFonts w:eastAsia="Times New Roman"/>
        </w:rPr>
        <w:t>„</w:t>
      </w:r>
      <w:r w:rsidR="006371C2">
        <w:rPr>
          <w:rFonts w:eastAsia="Times New Roman"/>
        </w:rPr>
        <w:t xml:space="preserve">Die Analysen der wirtschaftlichen Lage, der voraussichtlichen wirtschaftlichen Entwicklung und der dadurch vorgezeichneten Rahmenbedingungen für die Immobilienwirtschaft deuten auf ein weiteres schwieriges Jahr für die Branche hin. </w:t>
      </w:r>
      <w:proofErr w:type="gramStart"/>
      <w:r w:rsidR="006371C2">
        <w:rPr>
          <w:rFonts w:eastAsia="Times New Roman"/>
        </w:rPr>
        <w:t>,</w:t>
      </w:r>
      <w:proofErr w:type="spellStart"/>
      <w:r w:rsidR="006371C2">
        <w:rPr>
          <w:rFonts w:eastAsia="Times New Roman"/>
        </w:rPr>
        <w:t>Survive</w:t>
      </w:r>
      <w:proofErr w:type="spellEnd"/>
      <w:proofErr w:type="gramEnd"/>
      <w:r w:rsidR="006371C2">
        <w:rPr>
          <w:rFonts w:eastAsia="Times New Roman"/>
        </w:rPr>
        <w:t xml:space="preserve"> </w:t>
      </w:r>
      <w:r w:rsidR="001415AC">
        <w:rPr>
          <w:rFonts w:eastAsia="Times New Roman"/>
        </w:rPr>
        <w:t>‘</w:t>
      </w:r>
      <w:proofErr w:type="spellStart"/>
      <w:r w:rsidR="006371C2">
        <w:rPr>
          <w:rFonts w:eastAsia="Times New Roman"/>
        </w:rPr>
        <w:t>til</w:t>
      </w:r>
      <w:proofErr w:type="spellEnd"/>
      <w:r w:rsidR="006371C2">
        <w:rPr>
          <w:rFonts w:eastAsia="Times New Roman"/>
        </w:rPr>
        <w:t xml:space="preserve"> 25' gilt vielerorts als Schlagwort für die im Jahr 2024 bevorstehende Entwicklung.</w:t>
      </w:r>
      <w:r w:rsidR="00AE4A58">
        <w:rPr>
          <w:rFonts w:eastAsia="Times New Roman"/>
        </w:rPr>
        <w:t xml:space="preserve"> </w:t>
      </w:r>
      <w:r w:rsidR="00D45136">
        <w:rPr>
          <w:rFonts w:eastAsia="Times New Roman"/>
        </w:rPr>
        <w:t>„</w:t>
      </w:r>
      <w:r w:rsidR="006371C2">
        <w:rPr>
          <w:rFonts w:eastAsia="Times New Roman"/>
        </w:rPr>
        <w:t xml:space="preserve">Das Augenmerk der Wirtschaftspolitik sollte laut Feld auf einer Verbesserung struktureller Rahmenbedingungen für die Immobilienwirtschaft liegen, um Investitionen anzuregen. Dabei geht es </w:t>
      </w:r>
      <w:r w:rsidR="00053967">
        <w:rPr>
          <w:rFonts w:eastAsia="Times New Roman"/>
        </w:rPr>
        <w:t>„</w:t>
      </w:r>
      <w:r w:rsidR="006371C2">
        <w:rPr>
          <w:rFonts w:eastAsia="Times New Roman"/>
        </w:rPr>
        <w:t xml:space="preserve">vor allem um angebotspolitische Maßnahmen, die zugleich bei knappen öffentlichen Mitteln umsetzbar sein müssen". Zwei </w:t>
      </w:r>
      <w:r w:rsidR="006371C2">
        <w:rPr>
          <w:rFonts w:eastAsia="Times New Roman"/>
        </w:rPr>
        <w:lastRenderedPageBreak/>
        <w:t xml:space="preserve">Ansatzpunkte bieten sich für politische Korrekturen an: die Steuerbelastung sowie Belastungen durch Regulierungen. Aus Sicht Felds sind die Länder das </w:t>
      </w:r>
      <w:r w:rsidR="00DC4149">
        <w:rPr>
          <w:rFonts w:eastAsia="Times New Roman"/>
        </w:rPr>
        <w:t>„</w:t>
      </w:r>
      <w:r w:rsidR="006371C2">
        <w:rPr>
          <w:rFonts w:eastAsia="Times New Roman"/>
        </w:rPr>
        <w:t xml:space="preserve">steuerpolitische Sorgenkind". Der Bund solle deshalb seine Beschleunigungsmöglichkeiten, etwa die Reform des Baugesetzbuchs und der Baunutzungsverordnung, optimal nutzen. Um den Strukturwandel hin zur Klimaneutralität voranzubringen, spielt zudem die energetische Sanierung von Wohnungen eine entscheidende Rolle. </w:t>
      </w:r>
    </w:p>
    <w:p w14:paraId="590A4A24" w14:textId="77777777" w:rsidR="00535A79" w:rsidRPr="00EB4928" w:rsidRDefault="00535A79" w:rsidP="00D50733">
      <w:pPr>
        <w:rPr>
          <w:color w:val="231F20"/>
          <w:szCs w:val="24"/>
        </w:rPr>
      </w:pPr>
    </w:p>
    <w:p w14:paraId="43FE2532" w14:textId="6513CD4C" w:rsidR="00AB2E66" w:rsidRPr="00BB459E" w:rsidRDefault="003826AD" w:rsidP="003826AD">
      <w:pPr>
        <w:rPr>
          <w:b/>
          <w:bCs/>
          <w:sz w:val="28"/>
          <w:szCs w:val="28"/>
        </w:rPr>
      </w:pPr>
      <w:r w:rsidRPr="004C1BB2">
        <w:rPr>
          <w:b/>
          <w:bCs/>
          <w:sz w:val="28"/>
          <w:szCs w:val="28"/>
          <w:u w:val="single"/>
        </w:rPr>
        <w:t>Wohnimmobilien</w:t>
      </w:r>
      <w:r>
        <w:rPr>
          <w:b/>
          <w:bCs/>
          <w:sz w:val="28"/>
          <w:szCs w:val="28"/>
          <w:u w:val="single"/>
        </w:rPr>
        <w:t>:</w:t>
      </w:r>
      <w:r w:rsidRPr="00F3705D">
        <w:rPr>
          <w:b/>
          <w:bCs/>
          <w:sz w:val="28"/>
          <w:szCs w:val="28"/>
        </w:rPr>
        <w:t xml:space="preserve"> </w:t>
      </w:r>
      <w:r w:rsidRPr="004C579F">
        <w:rPr>
          <w:b/>
          <w:bCs/>
          <w:sz w:val="28"/>
          <w:szCs w:val="28"/>
        </w:rPr>
        <w:t>Prof. Harald Simons</w:t>
      </w:r>
      <w:r>
        <w:rPr>
          <w:b/>
          <w:bCs/>
          <w:sz w:val="28"/>
          <w:szCs w:val="28"/>
        </w:rPr>
        <w:t xml:space="preserve"> </w:t>
      </w:r>
      <w:r w:rsidRPr="00F3705D">
        <w:rPr>
          <w:bCs/>
          <w:sz w:val="28"/>
          <w:szCs w:val="28"/>
        </w:rPr>
        <w:t>(empirica)</w:t>
      </w:r>
    </w:p>
    <w:p w14:paraId="10F842B7" w14:textId="7912C8C9" w:rsidR="00FE75EE" w:rsidRDefault="003826AD" w:rsidP="00FE75EE">
      <w:pPr>
        <w:rPr>
          <w:szCs w:val="24"/>
        </w:rPr>
      </w:pPr>
      <w:r w:rsidRPr="00FE75EE">
        <w:rPr>
          <w:szCs w:val="24"/>
        </w:rPr>
        <w:t>„</w:t>
      </w:r>
      <w:r w:rsidR="00517206">
        <w:t>Das Wachstum der Wohnungsnachfrage hat sich mit Ende der Flucht-Zuwanderung aus der Ukraine stark abgeschwächt. Dennoch befindet sich</w:t>
      </w:r>
      <w:r w:rsidR="008D00C7">
        <w:rPr>
          <w:szCs w:val="24"/>
        </w:rPr>
        <w:t xml:space="preserve"> </w:t>
      </w:r>
      <w:r w:rsidRPr="00FE75EE">
        <w:rPr>
          <w:szCs w:val="24"/>
        </w:rPr>
        <w:t>Wohnungsneubau in einer tiefen Krise, wobei die Krise tiefer ist, als die Zahlen zu Baufertigstellungen und Baugenehmigungen bislang zeigen“</w:t>
      </w:r>
      <w:r w:rsidR="00FE75EE">
        <w:rPr>
          <w:szCs w:val="24"/>
        </w:rPr>
        <w:t xml:space="preserve">, resümiert Prof. Harald Simons. </w:t>
      </w:r>
      <w:r w:rsidRPr="00FE75EE">
        <w:rPr>
          <w:szCs w:val="24"/>
        </w:rPr>
        <w:t xml:space="preserve">Mit dem Anstieg der Zinsen im zweiten Quartal 2022 </w:t>
      </w:r>
      <w:r w:rsidR="00FE75EE">
        <w:rPr>
          <w:szCs w:val="24"/>
        </w:rPr>
        <w:t>seien</w:t>
      </w:r>
      <w:r w:rsidRPr="00FE75EE">
        <w:rPr>
          <w:szCs w:val="24"/>
        </w:rPr>
        <w:t xml:space="preserve"> fast schlagartig alle Wohnungsbauprojekte unwirtschaftlich</w:t>
      </w:r>
      <w:r w:rsidR="00FE75EE">
        <w:rPr>
          <w:szCs w:val="24"/>
        </w:rPr>
        <w:t xml:space="preserve"> geworden</w:t>
      </w:r>
      <w:r w:rsidRPr="00FE75EE">
        <w:rPr>
          <w:szCs w:val="24"/>
        </w:rPr>
        <w:t>. Die Folge</w:t>
      </w:r>
      <w:r w:rsidR="00FE75EE">
        <w:rPr>
          <w:szCs w:val="24"/>
        </w:rPr>
        <w:t>:</w:t>
      </w:r>
      <w:r w:rsidRPr="00FE75EE">
        <w:rPr>
          <w:szCs w:val="24"/>
        </w:rPr>
        <w:t xml:space="preserve"> </w:t>
      </w:r>
      <w:r w:rsidR="003F4A17">
        <w:rPr>
          <w:szCs w:val="24"/>
        </w:rPr>
        <w:t xml:space="preserve">praktisch </w:t>
      </w:r>
      <w:r w:rsidRPr="00FE75EE">
        <w:rPr>
          <w:szCs w:val="24"/>
        </w:rPr>
        <w:t xml:space="preserve">ein Stopp des Wohnungsbaus, dessen Dramatik sich </w:t>
      </w:r>
      <w:r w:rsidR="003F4A17">
        <w:rPr>
          <w:szCs w:val="24"/>
        </w:rPr>
        <w:t>aktuell</w:t>
      </w:r>
      <w:r w:rsidRPr="00FE75EE">
        <w:rPr>
          <w:szCs w:val="24"/>
        </w:rPr>
        <w:t xml:space="preserve"> </w:t>
      </w:r>
      <w:r w:rsidR="003F4A17">
        <w:rPr>
          <w:szCs w:val="24"/>
        </w:rPr>
        <w:t>nur</w:t>
      </w:r>
      <w:r w:rsidRPr="00FE75EE">
        <w:rPr>
          <w:szCs w:val="24"/>
        </w:rPr>
        <w:t xml:space="preserve"> ansatzweise in den amtlichen Daten zum Wohnungsbau widerspiegelt.</w:t>
      </w:r>
      <w:r w:rsidR="00FE75EE">
        <w:rPr>
          <w:szCs w:val="24"/>
        </w:rPr>
        <w:t xml:space="preserve"> Simons</w:t>
      </w:r>
      <w:r w:rsidR="003F4A17">
        <w:rPr>
          <w:szCs w:val="24"/>
        </w:rPr>
        <w:t>:</w:t>
      </w:r>
      <w:r w:rsidR="00FE75EE">
        <w:rPr>
          <w:szCs w:val="24"/>
        </w:rPr>
        <w:t xml:space="preserve"> „</w:t>
      </w:r>
      <w:r w:rsidR="00FE75EE" w:rsidRPr="00FE75EE">
        <w:rPr>
          <w:szCs w:val="24"/>
        </w:rPr>
        <w:t>Die heutigen Parameter von Baukosten, Baulandpreisen, Mieten und Zinsen passen nicht zueinander</w:t>
      </w:r>
      <w:r w:rsidR="00FE75EE">
        <w:rPr>
          <w:szCs w:val="24"/>
        </w:rPr>
        <w:t>.“</w:t>
      </w:r>
      <w:r w:rsidR="00A36F97">
        <w:rPr>
          <w:szCs w:val="24"/>
        </w:rPr>
        <w:t xml:space="preserve"> </w:t>
      </w:r>
      <w:r w:rsidR="00FE75EE">
        <w:rPr>
          <w:szCs w:val="24"/>
        </w:rPr>
        <w:t xml:space="preserve">Bei den aktuellen Zinsen bedeute </w:t>
      </w:r>
      <w:r w:rsidR="00FE75EE" w:rsidRPr="00FE75EE">
        <w:rPr>
          <w:szCs w:val="24"/>
        </w:rPr>
        <w:t xml:space="preserve">dies, </w:t>
      </w:r>
      <w:r w:rsidR="00FE75EE">
        <w:rPr>
          <w:szCs w:val="24"/>
        </w:rPr>
        <w:t>„</w:t>
      </w:r>
      <w:r w:rsidR="00FE75EE" w:rsidRPr="00FE75EE">
        <w:rPr>
          <w:szCs w:val="24"/>
        </w:rPr>
        <w:t>dass entweder die Miete</w:t>
      </w:r>
      <w:r w:rsidR="00563B21">
        <w:rPr>
          <w:szCs w:val="24"/>
        </w:rPr>
        <w:t>n</w:t>
      </w:r>
      <w:r w:rsidR="00FE75EE" w:rsidRPr="00FE75EE">
        <w:rPr>
          <w:szCs w:val="24"/>
        </w:rPr>
        <w:t xml:space="preserve"> steigen oder die Bau- und Bodenkosten sinken müssen</w:t>
      </w:r>
      <w:r w:rsidR="00FE75EE">
        <w:rPr>
          <w:szCs w:val="24"/>
        </w:rPr>
        <w:t>“</w:t>
      </w:r>
      <w:r w:rsidR="00FE75EE" w:rsidRPr="00FE75EE">
        <w:rPr>
          <w:szCs w:val="24"/>
        </w:rPr>
        <w:t xml:space="preserve">. </w:t>
      </w:r>
      <w:r w:rsidR="00FE75EE">
        <w:rPr>
          <w:szCs w:val="24"/>
        </w:rPr>
        <w:t>Auch eine</w:t>
      </w:r>
      <w:r w:rsidR="00FE75EE" w:rsidRPr="00FE75EE">
        <w:rPr>
          <w:szCs w:val="24"/>
        </w:rPr>
        <w:t xml:space="preserve"> Subventionierung des Wohnungsbaus </w:t>
      </w:r>
      <w:r w:rsidR="00FE75EE">
        <w:rPr>
          <w:szCs w:val="24"/>
        </w:rPr>
        <w:t>könne</w:t>
      </w:r>
      <w:r w:rsidR="00FE75EE" w:rsidRPr="00FE75EE">
        <w:rPr>
          <w:szCs w:val="24"/>
        </w:rPr>
        <w:t xml:space="preserve"> zur Senkung der Kostenmiete beitragen.</w:t>
      </w:r>
    </w:p>
    <w:p w14:paraId="6C51A4E1" w14:textId="77777777" w:rsidR="00AB2E66" w:rsidRPr="00FE75EE" w:rsidRDefault="00AB2E66" w:rsidP="00FE75EE">
      <w:pPr>
        <w:rPr>
          <w:szCs w:val="24"/>
        </w:rPr>
      </w:pPr>
    </w:p>
    <w:p w14:paraId="0B6DC161" w14:textId="77777777" w:rsidR="00AB2E66" w:rsidRDefault="00FE75EE" w:rsidP="00FE75EE">
      <w:pPr>
        <w:rPr>
          <w:szCs w:val="24"/>
        </w:rPr>
      </w:pPr>
      <w:r>
        <w:rPr>
          <w:szCs w:val="24"/>
        </w:rPr>
        <w:t>Weitere Chance, die Lage zu verbessern: „</w:t>
      </w:r>
      <w:r w:rsidRPr="00FE75EE">
        <w:rPr>
          <w:szCs w:val="24"/>
        </w:rPr>
        <w:t xml:space="preserve">Mit </w:t>
      </w:r>
      <w:r>
        <w:rPr>
          <w:szCs w:val="24"/>
        </w:rPr>
        <w:t>s</w:t>
      </w:r>
      <w:r w:rsidRPr="00FE75EE">
        <w:rPr>
          <w:szCs w:val="24"/>
        </w:rPr>
        <w:t>eriellem und modularem Bauen dürften merkliche Einsparungen möglich sein</w:t>
      </w:r>
      <w:r>
        <w:rPr>
          <w:szCs w:val="24"/>
        </w:rPr>
        <w:t>“, analysiert Simons.</w:t>
      </w:r>
    </w:p>
    <w:p w14:paraId="0A799FE7" w14:textId="5F639C3D" w:rsidR="003826AD" w:rsidRPr="00FE75EE" w:rsidRDefault="00FE75EE" w:rsidP="00FE75EE">
      <w:pPr>
        <w:rPr>
          <w:szCs w:val="24"/>
        </w:rPr>
      </w:pPr>
      <w:r>
        <w:rPr>
          <w:szCs w:val="24"/>
        </w:rPr>
        <w:t xml:space="preserve"> </w:t>
      </w:r>
    </w:p>
    <w:p w14:paraId="4A3A874C" w14:textId="404D90C0" w:rsidR="00BB101D" w:rsidRDefault="003826AD" w:rsidP="00FD00B2">
      <w:pPr>
        <w:ind w:left="0" w:firstLine="0"/>
        <w:rPr>
          <w:szCs w:val="24"/>
        </w:rPr>
      </w:pPr>
      <w:r w:rsidRPr="00FE75EE">
        <w:rPr>
          <w:szCs w:val="24"/>
        </w:rPr>
        <w:t xml:space="preserve">Die Baugenehmigungen sind 2023 das zweite Jahr in Folge auf vermutlich knapp 270.000 Wohnungen gefallen. Im Vergleich zum Jahr 2021, dem Höhepunkt des </w:t>
      </w:r>
      <w:r w:rsidR="00393EDF">
        <w:rPr>
          <w:szCs w:val="24"/>
        </w:rPr>
        <w:t>vorigen</w:t>
      </w:r>
      <w:r w:rsidRPr="00FE75EE">
        <w:rPr>
          <w:szCs w:val="24"/>
        </w:rPr>
        <w:t xml:space="preserve"> Bauzyklus, entspricht dies einem Rückgang von 30</w:t>
      </w:r>
      <w:r w:rsidR="002E789F">
        <w:rPr>
          <w:szCs w:val="24"/>
        </w:rPr>
        <w:t xml:space="preserve"> Prozent</w:t>
      </w:r>
      <w:r w:rsidRPr="00FE75EE">
        <w:rPr>
          <w:szCs w:val="24"/>
        </w:rPr>
        <w:t xml:space="preserve">. Das Neugeschäftsvolumen für Wohnungsbaukredite hat sich sogar halbiert. </w:t>
      </w:r>
      <w:r w:rsidR="00F43549">
        <w:rPr>
          <w:szCs w:val="24"/>
        </w:rPr>
        <w:t>In diesem Jahr</w:t>
      </w:r>
      <w:r w:rsidRPr="00FE75EE">
        <w:rPr>
          <w:szCs w:val="24"/>
        </w:rPr>
        <w:t xml:space="preserve"> ist </w:t>
      </w:r>
      <w:r w:rsidR="00FE75EE">
        <w:rPr>
          <w:szCs w:val="24"/>
        </w:rPr>
        <w:t xml:space="preserve">aus Sicht des empirica-Experten </w:t>
      </w:r>
      <w:r w:rsidRPr="00FE75EE">
        <w:rPr>
          <w:szCs w:val="24"/>
        </w:rPr>
        <w:t>mit einem weiteren Rückgang der Genehmigungen zu rechnen.</w:t>
      </w:r>
    </w:p>
    <w:p w14:paraId="61BF0C6B" w14:textId="77777777" w:rsidR="00361EB0" w:rsidRPr="00EB4928" w:rsidRDefault="00361EB0" w:rsidP="00FD00B2">
      <w:pPr>
        <w:ind w:left="0" w:firstLine="0"/>
        <w:rPr>
          <w:szCs w:val="24"/>
        </w:rPr>
      </w:pPr>
    </w:p>
    <w:p w14:paraId="1C41DF83" w14:textId="77777777" w:rsidR="00361EB0" w:rsidRDefault="00BB101D" w:rsidP="00361EB0">
      <w:pPr>
        <w:ind w:left="0" w:firstLine="0"/>
        <w:rPr>
          <w:szCs w:val="24"/>
        </w:rPr>
      </w:pPr>
      <w:bookmarkStart w:id="7" w:name="_Hlk127196617"/>
      <w:r w:rsidRPr="00EC194D">
        <w:rPr>
          <w:b/>
          <w:bCs/>
          <w:sz w:val="28"/>
          <w:szCs w:val="28"/>
        </w:rPr>
        <w:t xml:space="preserve">Büro und </w:t>
      </w:r>
      <w:r>
        <w:rPr>
          <w:b/>
          <w:bCs/>
          <w:sz w:val="28"/>
          <w:szCs w:val="28"/>
        </w:rPr>
        <w:t>weitere Wirtschaftsimmobilien</w:t>
      </w:r>
      <w:bookmarkEnd w:id="7"/>
      <w:r>
        <w:rPr>
          <w:b/>
          <w:bCs/>
          <w:sz w:val="28"/>
          <w:szCs w:val="28"/>
        </w:rPr>
        <w:t>:</w:t>
      </w:r>
      <w:r w:rsidRPr="00EC194D">
        <w:rPr>
          <w:b/>
          <w:bCs/>
          <w:sz w:val="28"/>
          <w:szCs w:val="28"/>
        </w:rPr>
        <w:t xml:space="preserve"> Sven Carstensen </w:t>
      </w:r>
      <w:r w:rsidRPr="00F3705D">
        <w:rPr>
          <w:bCs/>
          <w:sz w:val="28"/>
          <w:szCs w:val="28"/>
        </w:rPr>
        <w:t>(</w:t>
      </w:r>
      <w:proofErr w:type="spellStart"/>
      <w:r w:rsidRPr="00F3705D">
        <w:rPr>
          <w:bCs/>
          <w:sz w:val="28"/>
          <w:szCs w:val="28"/>
        </w:rPr>
        <w:t>bulwiengesa</w:t>
      </w:r>
      <w:proofErr w:type="spellEnd"/>
      <w:r w:rsidRPr="00F3705D">
        <w:rPr>
          <w:bCs/>
          <w:sz w:val="28"/>
          <w:szCs w:val="28"/>
        </w:rPr>
        <w:t>)</w:t>
      </w:r>
    </w:p>
    <w:p w14:paraId="1A7766CF" w14:textId="026C9FFA" w:rsidR="000F30AE" w:rsidRDefault="00BB101D" w:rsidP="00361EB0">
      <w:pPr>
        <w:ind w:left="0" w:firstLine="0"/>
        <w:rPr>
          <w:szCs w:val="24"/>
        </w:rPr>
      </w:pPr>
      <w:r>
        <w:rPr>
          <w:szCs w:val="24"/>
        </w:rPr>
        <w:t>„</w:t>
      </w:r>
      <w:r w:rsidR="000F30AE" w:rsidRPr="000F30AE">
        <w:rPr>
          <w:szCs w:val="24"/>
        </w:rPr>
        <w:t>Das Investmentjahr 2023 lässt die Zäsur auf den Immobilienmärkten deutlich erkennen</w:t>
      </w:r>
      <w:r>
        <w:rPr>
          <w:szCs w:val="24"/>
        </w:rPr>
        <w:t xml:space="preserve">“, </w:t>
      </w:r>
      <w:r w:rsidR="009856B7">
        <w:rPr>
          <w:szCs w:val="24"/>
        </w:rPr>
        <w:t>fasst</w:t>
      </w:r>
      <w:r w:rsidR="00ED0397">
        <w:rPr>
          <w:szCs w:val="24"/>
        </w:rPr>
        <w:t xml:space="preserve"> Sven Carstensen</w:t>
      </w:r>
      <w:r w:rsidR="009856B7">
        <w:rPr>
          <w:szCs w:val="24"/>
        </w:rPr>
        <w:t xml:space="preserve"> zusammen</w:t>
      </w:r>
      <w:r w:rsidR="000F30AE" w:rsidRPr="000F30AE">
        <w:rPr>
          <w:szCs w:val="24"/>
        </w:rPr>
        <w:t xml:space="preserve">. Zum Jahresende liegt das Transaktionsvolumen bei den Wirtschaftsimmobilien bei nur knapp 23 </w:t>
      </w:r>
      <w:r w:rsidR="00ED0397">
        <w:rPr>
          <w:szCs w:val="24"/>
        </w:rPr>
        <w:t>Milliarden Euro</w:t>
      </w:r>
      <w:r w:rsidR="000F30AE" w:rsidRPr="000F30AE">
        <w:rPr>
          <w:szCs w:val="24"/>
        </w:rPr>
        <w:t xml:space="preserve"> und damit in etwa auf dem </w:t>
      </w:r>
      <w:r w:rsidR="000F30AE" w:rsidRPr="000F30AE">
        <w:rPr>
          <w:szCs w:val="24"/>
        </w:rPr>
        <w:lastRenderedPageBreak/>
        <w:t xml:space="preserve">Niveau von 2011. Im Vergleich zum Vorjahr (51,8 </w:t>
      </w:r>
      <w:r w:rsidR="009856B7">
        <w:rPr>
          <w:szCs w:val="24"/>
        </w:rPr>
        <w:t>Milliarden</w:t>
      </w:r>
      <w:r w:rsidR="000F30AE" w:rsidRPr="000F30AE">
        <w:rPr>
          <w:szCs w:val="24"/>
        </w:rPr>
        <w:t xml:space="preserve"> Euro) ist ein Rückgang von </w:t>
      </w:r>
      <w:r w:rsidR="009856B7">
        <w:rPr>
          <w:szCs w:val="24"/>
        </w:rPr>
        <w:t>etwa</w:t>
      </w:r>
      <w:r w:rsidR="000F30AE" w:rsidRPr="000F30AE">
        <w:rPr>
          <w:szCs w:val="24"/>
        </w:rPr>
        <w:t xml:space="preserve"> 56</w:t>
      </w:r>
      <w:r w:rsidR="00ED0397">
        <w:rPr>
          <w:szCs w:val="24"/>
        </w:rPr>
        <w:t xml:space="preserve"> Prozent</w:t>
      </w:r>
      <w:r w:rsidR="000F30AE" w:rsidRPr="000F30AE">
        <w:rPr>
          <w:szCs w:val="24"/>
        </w:rPr>
        <w:t xml:space="preserve"> zu verbuchen. </w:t>
      </w:r>
    </w:p>
    <w:p w14:paraId="4C9CCE12" w14:textId="77777777" w:rsidR="00AB2E66" w:rsidRDefault="00AB2E66" w:rsidP="000F30AE">
      <w:pPr>
        <w:rPr>
          <w:szCs w:val="24"/>
        </w:rPr>
      </w:pPr>
    </w:p>
    <w:p w14:paraId="35754031" w14:textId="1BEBA6D9" w:rsidR="009816D2" w:rsidRDefault="009816D2" w:rsidP="000F30AE">
      <w:pPr>
        <w:rPr>
          <w:b/>
          <w:bCs/>
          <w:szCs w:val="24"/>
        </w:rPr>
      </w:pPr>
      <w:r>
        <w:rPr>
          <w:b/>
          <w:bCs/>
          <w:szCs w:val="24"/>
        </w:rPr>
        <w:t xml:space="preserve">Mit </w:t>
      </w:r>
      <w:r w:rsidRPr="009816D2">
        <w:rPr>
          <w:b/>
          <w:bCs/>
          <w:szCs w:val="24"/>
        </w:rPr>
        <w:t>Belebung an den Investmentmärkten zu rechnen</w:t>
      </w:r>
    </w:p>
    <w:p w14:paraId="50249023" w14:textId="77777777" w:rsidR="00AB2E66" w:rsidRPr="009816D2" w:rsidRDefault="00AB2E66" w:rsidP="000F30AE">
      <w:pPr>
        <w:rPr>
          <w:b/>
          <w:bCs/>
          <w:szCs w:val="24"/>
        </w:rPr>
      </w:pPr>
    </w:p>
    <w:p w14:paraId="71AFC626" w14:textId="7DC25C14" w:rsidR="000F30AE" w:rsidRDefault="00E6474E" w:rsidP="000F30AE">
      <w:pPr>
        <w:rPr>
          <w:szCs w:val="24"/>
        </w:rPr>
      </w:pPr>
      <w:r>
        <w:rPr>
          <w:szCs w:val="24"/>
        </w:rPr>
        <w:t>„</w:t>
      </w:r>
      <w:r w:rsidR="000F30AE" w:rsidRPr="000F30AE">
        <w:rPr>
          <w:szCs w:val="24"/>
        </w:rPr>
        <w:t>Aus unserer Perspektive sind die notwendigen Preisanpassungen aufgrund des veränderten Kapitalmarktumfeldes zum Jahresende 2023 weitgehend abgeschlossen. Für 2024 erwarten wir nur noch geringe Renditeanstieg</w:t>
      </w:r>
      <w:r>
        <w:rPr>
          <w:szCs w:val="24"/>
        </w:rPr>
        <w:t xml:space="preserve">e“, kommentiert Carstensen die Lage. </w:t>
      </w:r>
      <w:r w:rsidR="000F30AE" w:rsidRPr="000F30AE">
        <w:rPr>
          <w:szCs w:val="24"/>
        </w:rPr>
        <w:t xml:space="preserve">Aufgrund der Stabilisierung der Marktrahmenparameter ist </w:t>
      </w:r>
      <w:r w:rsidR="003022FC">
        <w:rPr>
          <w:szCs w:val="24"/>
        </w:rPr>
        <w:t xml:space="preserve">in diesem Jahr </w:t>
      </w:r>
      <w:r w:rsidR="000F30AE" w:rsidRPr="000F30AE">
        <w:rPr>
          <w:szCs w:val="24"/>
        </w:rPr>
        <w:t xml:space="preserve">mit einer, </w:t>
      </w:r>
      <w:r w:rsidR="003022FC">
        <w:rPr>
          <w:szCs w:val="24"/>
        </w:rPr>
        <w:t>„</w:t>
      </w:r>
      <w:r w:rsidR="000F30AE" w:rsidRPr="000F30AE">
        <w:rPr>
          <w:szCs w:val="24"/>
        </w:rPr>
        <w:t>wenn auch langsamen, Belebung an den Investmentmärkten zu rechnen</w:t>
      </w:r>
      <w:r w:rsidR="003022FC">
        <w:rPr>
          <w:szCs w:val="24"/>
        </w:rPr>
        <w:t>“</w:t>
      </w:r>
      <w:r w:rsidR="000F30AE" w:rsidRPr="000F30AE">
        <w:rPr>
          <w:szCs w:val="24"/>
        </w:rPr>
        <w:t>.</w:t>
      </w:r>
    </w:p>
    <w:p w14:paraId="532BCCA4" w14:textId="77777777" w:rsidR="00AB2E66" w:rsidRPr="000F30AE" w:rsidRDefault="00AB2E66" w:rsidP="000F30AE">
      <w:pPr>
        <w:rPr>
          <w:szCs w:val="24"/>
        </w:rPr>
      </w:pPr>
    </w:p>
    <w:p w14:paraId="7F518D6C" w14:textId="77777777" w:rsidR="000F30AE" w:rsidRPr="009816D2" w:rsidRDefault="000F30AE" w:rsidP="000F30AE">
      <w:pPr>
        <w:rPr>
          <w:b/>
          <w:bCs/>
          <w:szCs w:val="24"/>
          <w:u w:val="single"/>
        </w:rPr>
      </w:pPr>
      <w:r w:rsidRPr="009816D2">
        <w:rPr>
          <w:b/>
          <w:bCs/>
          <w:szCs w:val="24"/>
          <w:u w:val="single"/>
        </w:rPr>
        <w:t>Büro</w:t>
      </w:r>
    </w:p>
    <w:p w14:paraId="2756F382" w14:textId="13E52106" w:rsidR="000F30AE" w:rsidRPr="000F30AE" w:rsidRDefault="000F30AE" w:rsidP="009816D2">
      <w:pPr>
        <w:rPr>
          <w:szCs w:val="24"/>
        </w:rPr>
      </w:pPr>
      <w:r w:rsidRPr="000F30AE">
        <w:rPr>
          <w:szCs w:val="24"/>
        </w:rPr>
        <w:t xml:space="preserve">Die deutschen Büromärkte bewegen sich weiterhin in einem </w:t>
      </w:r>
      <w:r w:rsidR="009816D2">
        <w:rPr>
          <w:szCs w:val="24"/>
        </w:rPr>
        <w:t xml:space="preserve">schwierigen </w:t>
      </w:r>
      <w:r w:rsidRPr="000F30AE">
        <w:rPr>
          <w:szCs w:val="24"/>
        </w:rPr>
        <w:t>Marktumfeld</w:t>
      </w:r>
      <w:r w:rsidR="009816D2">
        <w:rPr>
          <w:szCs w:val="24"/>
        </w:rPr>
        <w:t xml:space="preserve">. </w:t>
      </w:r>
      <w:r w:rsidRPr="000F30AE">
        <w:rPr>
          <w:szCs w:val="24"/>
        </w:rPr>
        <w:t>Mit einem Rückgang von rund 74</w:t>
      </w:r>
      <w:r w:rsidR="009816D2">
        <w:rPr>
          <w:szCs w:val="24"/>
        </w:rPr>
        <w:t xml:space="preserve"> Prozent</w:t>
      </w:r>
      <w:r w:rsidRPr="000F30AE">
        <w:rPr>
          <w:szCs w:val="24"/>
        </w:rPr>
        <w:t xml:space="preserve"> ist das Transaktionsvolumen </w:t>
      </w:r>
      <w:r w:rsidR="00AB5431">
        <w:rPr>
          <w:szCs w:val="24"/>
        </w:rPr>
        <w:t>bei</w:t>
      </w:r>
      <w:r w:rsidRPr="000F30AE">
        <w:rPr>
          <w:szCs w:val="24"/>
        </w:rPr>
        <w:t xml:space="preserve"> </w:t>
      </w:r>
      <w:r w:rsidR="00AB5431" w:rsidRPr="000F30AE">
        <w:rPr>
          <w:szCs w:val="24"/>
        </w:rPr>
        <w:t>Büro</w:t>
      </w:r>
      <w:r w:rsidR="00B7436B">
        <w:rPr>
          <w:szCs w:val="24"/>
        </w:rPr>
        <w:t>s</w:t>
      </w:r>
      <w:r w:rsidRPr="000F30AE">
        <w:rPr>
          <w:szCs w:val="24"/>
        </w:rPr>
        <w:t xml:space="preserve"> am deutlichsten eingebrochen.</w:t>
      </w:r>
      <w:r w:rsidR="00512D1B">
        <w:rPr>
          <w:szCs w:val="24"/>
        </w:rPr>
        <w:t xml:space="preserve"> „</w:t>
      </w:r>
      <w:r w:rsidRPr="000F30AE">
        <w:rPr>
          <w:szCs w:val="24"/>
        </w:rPr>
        <w:t>Die Verbreitung von Remote Work hat in den letzten Jahren erheblich zugenommen, wodurch die Notwendigkeit traditioneller Büroflächen in gewohntem Umfang in Frage gestellt wird</w:t>
      </w:r>
      <w:r w:rsidR="00512D1B">
        <w:rPr>
          <w:szCs w:val="24"/>
        </w:rPr>
        <w:t>“, schreibt Carstensen.</w:t>
      </w:r>
      <w:r w:rsidRPr="000F30AE">
        <w:rPr>
          <w:szCs w:val="24"/>
        </w:rPr>
        <w:t xml:space="preserve"> </w:t>
      </w:r>
      <w:r w:rsidR="000530CB">
        <w:rPr>
          <w:szCs w:val="24"/>
        </w:rPr>
        <w:t xml:space="preserve">Er warnt </w:t>
      </w:r>
      <w:r w:rsidR="00AB5431">
        <w:rPr>
          <w:szCs w:val="24"/>
        </w:rPr>
        <w:t>zugleich</w:t>
      </w:r>
      <w:r w:rsidR="000530CB">
        <w:rPr>
          <w:szCs w:val="24"/>
        </w:rPr>
        <w:t xml:space="preserve"> vor voreiligen Schlüssen:</w:t>
      </w:r>
      <w:r w:rsidR="00A36F97">
        <w:rPr>
          <w:szCs w:val="24"/>
        </w:rPr>
        <w:t xml:space="preserve"> </w:t>
      </w:r>
      <w:r w:rsidR="000530CB">
        <w:rPr>
          <w:szCs w:val="24"/>
        </w:rPr>
        <w:t>D</w:t>
      </w:r>
      <w:r w:rsidRPr="000F30AE">
        <w:rPr>
          <w:szCs w:val="24"/>
        </w:rPr>
        <w:t>ie Auswirkungen der Flexibilisierung der Arbeitsorganisation auf die künftige Büroflächen</w:t>
      </w:r>
      <w:r w:rsidR="00441181">
        <w:rPr>
          <w:szCs w:val="24"/>
        </w:rPr>
        <w:t>-N</w:t>
      </w:r>
      <w:r w:rsidRPr="000F30AE">
        <w:rPr>
          <w:szCs w:val="24"/>
        </w:rPr>
        <w:t xml:space="preserve">achfrage </w:t>
      </w:r>
      <w:r w:rsidR="000A3B97">
        <w:rPr>
          <w:szCs w:val="24"/>
        </w:rPr>
        <w:t>seien „</w:t>
      </w:r>
      <w:r w:rsidRPr="000F30AE">
        <w:rPr>
          <w:szCs w:val="24"/>
        </w:rPr>
        <w:t>komplex und regional von der Branchenstruktur abhängig</w:t>
      </w:r>
      <w:r w:rsidR="000A3B97">
        <w:rPr>
          <w:szCs w:val="24"/>
        </w:rPr>
        <w:t xml:space="preserve">“. </w:t>
      </w:r>
      <w:r w:rsidRPr="000F30AE">
        <w:rPr>
          <w:szCs w:val="24"/>
        </w:rPr>
        <w:t>Demgegenüber deutet der Trend zu nachhaltigen und modernen Büroflächen sowie eine zunehmend team- und kollaborationsfreundlichere Raumgestaltung auf eine stabile bis steigende Büroflächennachfrage.</w:t>
      </w:r>
    </w:p>
    <w:p w14:paraId="4DC88330" w14:textId="58203CC4" w:rsidR="000F30AE" w:rsidRDefault="004B4BC7" w:rsidP="000F30AE">
      <w:pPr>
        <w:rPr>
          <w:szCs w:val="24"/>
        </w:rPr>
      </w:pPr>
      <w:r>
        <w:rPr>
          <w:szCs w:val="24"/>
        </w:rPr>
        <w:t>„</w:t>
      </w:r>
      <w:r w:rsidR="000F30AE" w:rsidRPr="000F30AE">
        <w:rPr>
          <w:szCs w:val="24"/>
        </w:rPr>
        <w:t>Ausgehend von den konkreten Projektpipelines der A- und B-Städte sind kurzfristig erneut sehr hohe Fertigstellungszahlen zu erwarten</w:t>
      </w:r>
      <w:r>
        <w:rPr>
          <w:szCs w:val="24"/>
        </w:rPr>
        <w:t>“, so Carstensen.</w:t>
      </w:r>
      <w:r w:rsidR="000F30AE" w:rsidRPr="000F30AE">
        <w:rPr>
          <w:szCs w:val="24"/>
        </w:rPr>
        <w:t xml:space="preserve"> Bauträger und Projektentwickler bef</w:t>
      </w:r>
      <w:r>
        <w:rPr>
          <w:szCs w:val="24"/>
        </w:rPr>
        <w:t>ä</w:t>
      </w:r>
      <w:r w:rsidR="000F30AE" w:rsidRPr="000F30AE">
        <w:rPr>
          <w:szCs w:val="24"/>
        </w:rPr>
        <w:t xml:space="preserve">nden sich aber </w:t>
      </w:r>
      <w:r w:rsidR="009864EC">
        <w:rPr>
          <w:szCs w:val="24"/>
        </w:rPr>
        <w:t>weiter</w:t>
      </w:r>
      <w:r w:rsidR="000F30AE" w:rsidRPr="000F30AE">
        <w:rPr>
          <w:szCs w:val="24"/>
        </w:rPr>
        <w:t xml:space="preserve"> im </w:t>
      </w:r>
      <w:r>
        <w:rPr>
          <w:szCs w:val="24"/>
        </w:rPr>
        <w:t>„</w:t>
      </w:r>
      <w:r w:rsidR="000F30AE" w:rsidRPr="000F30AE">
        <w:rPr>
          <w:szCs w:val="24"/>
        </w:rPr>
        <w:t>Krisenmodus</w:t>
      </w:r>
      <w:r>
        <w:rPr>
          <w:szCs w:val="24"/>
        </w:rPr>
        <w:t>“</w:t>
      </w:r>
      <w:r w:rsidR="00DB2BBC">
        <w:rPr>
          <w:szCs w:val="24"/>
        </w:rPr>
        <w:t>.</w:t>
      </w:r>
      <w:r w:rsidR="00580055">
        <w:rPr>
          <w:szCs w:val="24"/>
        </w:rPr>
        <w:t xml:space="preserve"> M</w:t>
      </w:r>
      <w:r w:rsidR="000F30AE" w:rsidRPr="000F30AE">
        <w:rPr>
          <w:szCs w:val="24"/>
        </w:rPr>
        <w:t xml:space="preserve">ittelfristig </w:t>
      </w:r>
      <w:r w:rsidR="00580055">
        <w:rPr>
          <w:szCs w:val="24"/>
        </w:rPr>
        <w:t>sei</w:t>
      </w:r>
      <w:r w:rsidR="000F30AE" w:rsidRPr="000F30AE">
        <w:rPr>
          <w:szCs w:val="24"/>
        </w:rPr>
        <w:t xml:space="preserve"> von einem spürbaren Rückgang der Neubauleistung auszugehen, </w:t>
      </w:r>
      <w:r w:rsidR="00580055">
        <w:rPr>
          <w:szCs w:val="24"/>
        </w:rPr>
        <w:t>„</w:t>
      </w:r>
      <w:r w:rsidR="000F30AE" w:rsidRPr="000F30AE">
        <w:rPr>
          <w:szCs w:val="24"/>
        </w:rPr>
        <w:t>was sich stabilisierend auf die Leerstands</w:t>
      </w:r>
      <w:r w:rsidR="001B0B4C">
        <w:rPr>
          <w:szCs w:val="24"/>
        </w:rPr>
        <w:t>-S</w:t>
      </w:r>
      <w:r w:rsidR="000F30AE" w:rsidRPr="000F30AE">
        <w:rPr>
          <w:szCs w:val="24"/>
        </w:rPr>
        <w:t>ituation auswirken wird</w:t>
      </w:r>
      <w:r w:rsidR="00580055">
        <w:rPr>
          <w:szCs w:val="24"/>
        </w:rPr>
        <w:t>“</w:t>
      </w:r>
      <w:r w:rsidR="000F30AE" w:rsidRPr="000F30AE">
        <w:rPr>
          <w:szCs w:val="24"/>
        </w:rPr>
        <w:t>.</w:t>
      </w:r>
    </w:p>
    <w:p w14:paraId="26139836" w14:textId="77777777" w:rsidR="00AB2E66" w:rsidRPr="000F30AE" w:rsidRDefault="00AB2E66" w:rsidP="000F30AE">
      <w:pPr>
        <w:rPr>
          <w:szCs w:val="24"/>
        </w:rPr>
      </w:pPr>
    </w:p>
    <w:p w14:paraId="205DB4C9" w14:textId="474E458A" w:rsidR="000F30AE" w:rsidRPr="000F30AE" w:rsidRDefault="009864EC" w:rsidP="000F30AE">
      <w:pPr>
        <w:rPr>
          <w:szCs w:val="24"/>
        </w:rPr>
      </w:pPr>
      <w:r>
        <w:rPr>
          <w:szCs w:val="24"/>
        </w:rPr>
        <w:t>Die Erwartungen für die künftige Entwicklung</w:t>
      </w:r>
      <w:r w:rsidR="008F0746">
        <w:rPr>
          <w:szCs w:val="24"/>
        </w:rPr>
        <w:t xml:space="preserve">? </w:t>
      </w:r>
      <w:r w:rsidR="00DB2BBC">
        <w:rPr>
          <w:szCs w:val="24"/>
        </w:rPr>
        <w:t>„</w:t>
      </w:r>
      <w:r w:rsidR="000F30AE" w:rsidRPr="000F30AE">
        <w:rPr>
          <w:szCs w:val="24"/>
        </w:rPr>
        <w:t>Der Trend zu gut positionierten Lagen und Objekten, in Verbindung mit den weiterhin hohen Baukosten und zunehmenden ESG-Anforderungen, wird das Mietpreiswachstum im Spitzensegment weiter antreiben</w:t>
      </w:r>
      <w:r w:rsidR="002C0544">
        <w:rPr>
          <w:szCs w:val="24"/>
        </w:rPr>
        <w:t>“,</w:t>
      </w:r>
      <w:r w:rsidR="008F0746">
        <w:rPr>
          <w:szCs w:val="24"/>
        </w:rPr>
        <w:t xml:space="preserve"> </w:t>
      </w:r>
      <w:r w:rsidR="002C0544">
        <w:rPr>
          <w:szCs w:val="24"/>
        </w:rPr>
        <w:t>heißt es im Gutachten</w:t>
      </w:r>
      <w:r w:rsidR="008F0746">
        <w:rPr>
          <w:szCs w:val="24"/>
        </w:rPr>
        <w:t xml:space="preserve">. </w:t>
      </w:r>
      <w:r w:rsidR="000F30AE" w:rsidRPr="000F30AE">
        <w:rPr>
          <w:szCs w:val="24"/>
        </w:rPr>
        <w:t>Für Lagen und Objekte ohne entsprechende Qualitäten wird die Vermarktung deutlich schwieriger, was erhöhte Leerstands</w:t>
      </w:r>
      <w:r w:rsidR="001B0B4C">
        <w:rPr>
          <w:szCs w:val="24"/>
        </w:rPr>
        <w:t>-Ris</w:t>
      </w:r>
      <w:r w:rsidR="000F30AE" w:rsidRPr="000F30AE">
        <w:rPr>
          <w:szCs w:val="24"/>
        </w:rPr>
        <w:t>iken und deutliche Abschläge auf das erzielbare Mietniveau mit sich bringt.</w:t>
      </w:r>
      <w:r w:rsidR="00BB3A00">
        <w:rPr>
          <w:szCs w:val="24"/>
        </w:rPr>
        <w:t>“</w:t>
      </w:r>
    </w:p>
    <w:p w14:paraId="3C108C9D" w14:textId="77777777" w:rsidR="000F30AE" w:rsidRPr="002778E8" w:rsidRDefault="000F30AE" w:rsidP="000F30AE">
      <w:pPr>
        <w:rPr>
          <w:b/>
          <w:bCs/>
          <w:szCs w:val="24"/>
          <w:u w:val="single"/>
        </w:rPr>
      </w:pPr>
      <w:r w:rsidRPr="002778E8">
        <w:rPr>
          <w:b/>
          <w:bCs/>
          <w:szCs w:val="24"/>
          <w:u w:val="single"/>
        </w:rPr>
        <w:lastRenderedPageBreak/>
        <w:t>Unternehmensimmobilien</w:t>
      </w:r>
    </w:p>
    <w:p w14:paraId="32A027CE" w14:textId="008EA71D" w:rsidR="000F30AE" w:rsidRPr="000F30AE" w:rsidRDefault="00921068" w:rsidP="004957B3">
      <w:pPr>
        <w:rPr>
          <w:szCs w:val="24"/>
        </w:rPr>
      </w:pPr>
      <w:r>
        <w:rPr>
          <w:szCs w:val="24"/>
        </w:rPr>
        <w:t xml:space="preserve">Geht es um die </w:t>
      </w:r>
      <w:r w:rsidR="000F30AE" w:rsidRPr="000F30AE">
        <w:rPr>
          <w:szCs w:val="24"/>
        </w:rPr>
        <w:t>Nachfrage</w:t>
      </w:r>
      <w:r>
        <w:rPr>
          <w:szCs w:val="24"/>
        </w:rPr>
        <w:t>, dann</w:t>
      </w:r>
      <w:r w:rsidR="000F30AE" w:rsidRPr="000F30AE">
        <w:rPr>
          <w:szCs w:val="24"/>
        </w:rPr>
        <w:t xml:space="preserve"> </w:t>
      </w:r>
      <w:r>
        <w:rPr>
          <w:szCs w:val="24"/>
        </w:rPr>
        <w:t xml:space="preserve">ist die </w:t>
      </w:r>
      <w:r w:rsidR="004957B3">
        <w:rPr>
          <w:szCs w:val="24"/>
        </w:rPr>
        <w:t>Entwicklung der</w:t>
      </w:r>
      <w:r w:rsidR="000F30AE" w:rsidRPr="000F30AE">
        <w:rPr>
          <w:szCs w:val="24"/>
        </w:rPr>
        <w:t xml:space="preserve"> Unternehmensimmobilien </w:t>
      </w:r>
      <w:proofErr w:type="gramStart"/>
      <w:r w:rsidR="000F30AE" w:rsidRPr="000F30AE">
        <w:rPr>
          <w:szCs w:val="24"/>
        </w:rPr>
        <w:t>wei</w:t>
      </w:r>
      <w:r>
        <w:rPr>
          <w:szCs w:val="24"/>
        </w:rPr>
        <w:t>t</w:t>
      </w:r>
      <w:r w:rsidR="000F30AE" w:rsidRPr="000F30AE">
        <w:rPr>
          <w:szCs w:val="24"/>
        </w:rPr>
        <w:t>erhin vergleichsweise</w:t>
      </w:r>
      <w:proofErr w:type="gramEnd"/>
      <w:r w:rsidR="000F30AE" w:rsidRPr="000F30AE">
        <w:rPr>
          <w:szCs w:val="24"/>
        </w:rPr>
        <w:t xml:space="preserve"> gut.</w:t>
      </w:r>
      <w:r w:rsidR="00516474">
        <w:rPr>
          <w:szCs w:val="24"/>
        </w:rPr>
        <w:t xml:space="preserve"> </w:t>
      </w:r>
      <w:r w:rsidR="00516474" w:rsidRPr="00516474">
        <w:rPr>
          <w:szCs w:val="24"/>
        </w:rPr>
        <w:t xml:space="preserve">Moderne Bestandsflächen bleiben </w:t>
      </w:r>
      <w:r w:rsidR="00516474">
        <w:rPr>
          <w:szCs w:val="24"/>
        </w:rPr>
        <w:t xml:space="preserve">aber </w:t>
      </w:r>
      <w:r w:rsidR="00516474" w:rsidRPr="00516474">
        <w:rPr>
          <w:szCs w:val="24"/>
        </w:rPr>
        <w:t>knapp und Neubauflächen werden aufgrund steigender Baukosten und höherer Aus</w:t>
      </w:r>
      <w:r w:rsidR="00516474">
        <w:rPr>
          <w:szCs w:val="24"/>
        </w:rPr>
        <w:t>s</w:t>
      </w:r>
      <w:r w:rsidR="00516474" w:rsidRPr="00516474">
        <w:rPr>
          <w:szCs w:val="24"/>
        </w:rPr>
        <w:t>tattungsqualität teurer.</w:t>
      </w:r>
      <w:r w:rsidR="00A36F97">
        <w:rPr>
          <w:szCs w:val="24"/>
        </w:rPr>
        <w:t xml:space="preserve"> </w:t>
      </w:r>
      <w:r w:rsidR="004957B3">
        <w:rPr>
          <w:szCs w:val="24"/>
        </w:rPr>
        <w:t>„</w:t>
      </w:r>
      <w:r w:rsidR="000F30AE" w:rsidRPr="000F30AE">
        <w:rPr>
          <w:szCs w:val="24"/>
        </w:rPr>
        <w:t xml:space="preserve">Die Performance der Unternehmensimmobilien </w:t>
      </w:r>
      <w:proofErr w:type="gramStart"/>
      <w:r w:rsidR="000F30AE" w:rsidRPr="000F30AE">
        <w:rPr>
          <w:szCs w:val="24"/>
        </w:rPr>
        <w:t>hängt vergleichsweise</w:t>
      </w:r>
      <w:proofErr w:type="gramEnd"/>
      <w:r w:rsidR="000F30AE" w:rsidRPr="000F30AE">
        <w:rPr>
          <w:szCs w:val="24"/>
        </w:rPr>
        <w:t xml:space="preserve"> stark von der gesamtkonjunkturellen Lage ab</w:t>
      </w:r>
      <w:r w:rsidR="004957B3">
        <w:rPr>
          <w:szCs w:val="24"/>
        </w:rPr>
        <w:t>“, resümiert Carstensen.</w:t>
      </w:r>
    </w:p>
    <w:p w14:paraId="4523E2A0" w14:textId="77777777" w:rsidR="000F30AE" w:rsidRPr="000F30AE" w:rsidRDefault="000F30AE" w:rsidP="000F30AE">
      <w:pPr>
        <w:rPr>
          <w:szCs w:val="24"/>
        </w:rPr>
      </w:pPr>
    </w:p>
    <w:p w14:paraId="0CB9F755" w14:textId="77777777" w:rsidR="000F30AE" w:rsidRPr="004957B3" w:rsidRDefault="000F30AE" w:rsidP="000F30AE">
      <w:pPr>
        <w:rPr>
          <w:b/>
          <w:bCs/>
          <w:szCs w:val="24"/>
          <w:u w:val="single"/>
        </w:rPr>
      </w:pPr>
      <w:r w:rsidRPr="004957B3">
        <w:rPr>
          <w:b/>
          <w:bCs/>
          <w:szCs w:val="24"/>
          <w:u w:val="single"/>
        </w:rPr>
        <w:t>Logistikimmobilien</w:t>
      </w:r>
    </w:p>
    <w:p w14:paraId="55523E3C" w14:textId="3CEAEB8C" w:rsidR="000F30AE" w:rsidRDefault="0027149D" w:rsidP="000F30AE">
      <w:pPr>
        <w:rPr>
          <w:szCs w:val="24"/>
        </w:rPr>
      </w:pPr>
      <w:r>
        <w:rPr>
          <w:szCs w:val="24"/>
        </w:rPr>
        <w:t>„</w:t>
      </w:r>
      <w:r w:rsidR="006371C2">
        <w:rPr>
          <w:szCs w:val="24"/>
        </w:rPr>
        <w:t>Eine</w:t>
      </w:r>
      <w:r w:rsidR="000F30AE" w:rsidRPr="000F30AE">
        <w:rPr>
          <w:szCs w:val="24"/>
        </w:rPr>
        <w:t xml:space="preserve"> bevorzugte Strategie zur Erhöhung der Resilienz der Lieferketten ist die Aufstockung von Lagerbeständen</w:t>
      </w:r>
      <w:r>
        <w:rPr>
          <w:szCs w:val="24"/>
        </w:rPr>
        <w:t>“, schreibt Carstensen</w:t>
      </w:r>
      <w:r w:rsidR="000F30AE" w:rsidRPr="000F30AE">
        <w:rPr>
          <w:szCs w:val="24"/>
        </w:rPr>
        <w:t xml:space="preserve">, </w:t>
      </w:r>
      <w:r>
        <w:rPr>
          <w:szCs w:val="24"/>
        </w:rPr>
        <w:t>„</w:t>
      </w:r>
      <w:r w:rsidR="000F30AE" w:rsidRPr="000F30AE">
        <w:rPr>
          <w:szCs w:val="24"/>
        </w:rPr>
        <w:t>davon profitieren Logistikimmobilien</w:t>
      </w:r>
      <w:r>
        <w:rPr>
          <w:szCs w:val="24"/>
        </w:rPr>
        <w:t>“</w:t>
      </w:r>
      <w:r w:rsidR="00DB2BBC">
        <w:rPr>
          <w:szCs w:val="24"/>
        </w:rPr>
        <w:t>.</w:t>
      </w:r>
    </w:p>
    <w:p w14:paraId="1553D575" w14:textId="77777777" w:rsidR="00AB2E66" w:rsidRPr="000F30AE" w:rsidRDefault="00AB2E66" w:rsidP="000F30AE">
      <w:pPr>
        <w:rPr>
          <w:szCs w:val="24"/>
        </w:rPr>
      </w:pPr>
    </w:p>
    <w:p w14:paraId="4F2A7324" w14:textId="3CF1E654" w:rsidR="000F30AE" w:rsidRDefault="000F30AE" w:rsidP="000F30AE">
      <w:pPr>
        <w:rPr>
          <w:szCs w:val="24"/>
        </w:rPr>
      </w:pPr>
      <w:r w:rsidRPr="000F30AE">
        <w:rPr>
          <w:szCs w:val="24"/>
        </w:rPr>
        <w:t xml:space="preserve">Ein bedeutender Einfluss aus dem Bereich der Automobilindustrie wird durch die bevorstehenden Umstrukturierungen </w:t>
      </w:r>
      <w:r w:rsidR="00EA61B2">
        <w:rPr>
          <w:szCs w:val="24"/>
        </w:rPr>
        <w:t xml:space="preserve">durch die </w:t>
      </w:r>
      <w:r w:rsidRPr="000F30AE">
        <w:rPr>
          <w:szCs w:val="24"/>
        </w:rPr>
        <w:t xml:space="preserve">Umstellung auf Elektromobilität erwartet. </w:t>
      </w:r>
      <w:r w:rsidR="00EA61B2">
        <w:rPr>
          <w:szCs w:val="24"/>
        </w:rPr>
        <w:t>„</w:t>
      </w:r>
      <w:r w:rsidRPr="000F30AE">
        <w:rPr>
          <w:szCs w:val="24"/>
        </w:rPr>
        <w:t>Die Werke der Automobilhersteller in Deutschland werden größtenteils bestehen bleiben, allerdings werden sich die Zulieferunternehmen aufgrund der deutlich unterschiedlichen Komponentenanforderungen neu ausrichten müssen</w:t>
      </w:r>
      <w:r w:rsidR="00EA61B2">
        <w:rPr>
          <w:szCs w:val="24"/>
        </w:rPr>
        <w:t xml:space="preserve">“, glaubt der </w:t>
      </w:r>
      <w:proofErr w:type="spellStart"/>
      <w:r w:rsidR="00EA61B2">
        <w:rPr>
          <w:szCs w:val="24"/>
        </w:rPr>
        <w:t>bulwiengesa</w:t>
      </w:r>
      <w:proofErr w:type="spellEnd"/>
      <w:r w:rsidR="00EA61B2">
        <w:rPr>
          <w:szCs w:val="24"/>
        </w:rPr>
        <w:t xml:space="preserve">-Experte. </w:t>
      </w:r>
      <w:r w:rsidRPr="000F30AE">
        <w:rPr>
          <w:szCs w:val="24"/>
        </w:rPr>
        <w:t>Die Lagerung von Batterien für Elektrofahrzeuge w</w:t>
      </w:r>
      <w:r w:rsidR="00EA61B2">
        <w:rPr>
          <w:szCs w:val="24"/>
        </w:rPr>
        <w:t>e</w:t>
      </w:r>
      <w:r w:rsidRPr="000F30AE">
        <w:rPr>
          <w:szCs w:val="24"/>
        </w:rPr>
        <w:t>rd</w:t>
      </w:r>
      <w:r w:rsidR="00EA61B2">
        <w:rPr>
          <w:szCs w:val="24"/>
        </w:rPr>
        <w:t>e</w:t>
      </w:r>
      <w:r w:rsidRPr="000F30AE">
        <w:rPr>
          <w:szCs w:val="24"/>
        </w:rPr>
        <w:t xml:space="preserve"> </w:t>
      </w:r>
      <w:r w:rsidR="00EA61B2">
        <w:rPr>
          <w:szCs w:val="24"/>
        </w:rPr>
        <w:t>hier zu einer</w:t>
      </w:r>
      <w:r w:rsidRPr="000F30AE">
        <w:rPr>
          <w:szCs w:val="24"/>
        </w:rPr>
        <w:t xml:space="preserve"> der großen Herausforderungen für die Logistikbranche.</w:t>
      </w:r>
    </w:p>
    <w:p w14:paraId="28159614" w14:textId="77777777" w:rsidR="00886FA9" w:rsidRPr="000F30AE" w:rsidRDefault="00886FA9" w:rsidP="000F30AE">
      <w:pPr>
        <w:rPr>
          <w:szCs w:val="24"/>
        </w:rPr>
      </w:pPr>
    </w:p>
    <w:p w14:paraId="2A9002C6" w14:textId="13554030" w:rsidR="000F30AE" w:rsidRPr="000F30AE" w:rsidRDefault="00585110" w:rsidP="000F30AE">
      <w:pPr>
        <w:rPr>
          <w:szCs w:val="24"/>
        </w:rPr>
      </w:pPr>
      <w:r>
        <w:rPr>
          <w:szCs w:val="24"/>
        </w:rPr>
        <w:t>Carstensen sieht Anlass zu Optimismus: „</w:t>
      </w:r>
      <w:r w:rsidR="000F30AE" w:rsidRPr="000F30AE">
        <w:rPr>
          <w:szCs w:val="24"/>
        </w:rPr>
        <w:t>Ein anziehendes Transaktionsgeschäft zum Jahresende sowie die Aussicht auf das Erreichen des Zinsgipfels lassen ein positives Stimmungsbild für das kommende Jahr zeichnen</w:t>
      </w:r>
      <w:r>
        <w:rPr>
          <w:szCs w:val="24"/>
        </w:rPr>
        <w:t>.“</w:t>
      </w:r>
    </w:p>
    <w:p w14:paraId="7F0F51F9" w14:textId="77777777" w:rsidR="000F30AE" w:rsidRPr="00517206" w:rsidRDefault="000F30AE" w:rsidP="000F30AE">
      <w:pPr>
        <w:rPr>
          <w:b/>
          <w:bCs/>
          <w:szCs w:val="24"/>
          <w:u w:val="single"/>
        </w:rPr>
      </w:pPr>
      <w:r w:rsidRPr="00517206">
        <w:rPr>
          <w:b/>
          <w:bCs/>
          <w:szCs w:val="24"/>
          <w:u w:val="single"/>
        </w:rPr>
        <w:t>Hotelimmobilien</w:t>
      </w:r>
    </w:p>
    <w:p w14:paraId="76CA3B00" w14:textId="5499E1FA" w:rsidR="000F30AE" w:rsidRPr="000F30AE" w:rsidRDefault="007259EA" w:rsidP="007259EA">
      <w:pPr>
        <w:rPr>
          <w:szCs w:val="24"/>
        </w:rPr>
      </w:pPr>
      <w:r>
        <w:rPr>
          <w:szCs w:val="24"/>
        </w:rPr>
        <w:t>Der Befund:</w:t>
      </w:r>
      <w:r w:rsidR="00516474">
        <w:rPr>
          <w:szCs w:val="24"/>
        </w:rPr>
        <w:t xml:space="preserve"> Die </w:t>
      </w:r>
      <w:r w:rsidR="00516474" w:rsidRPr="00516474">
        <w:rPr>
          <w:szCs w:val="24"/>
        </w:rPr>
        <w:t>touristische Nachfrage steigt wieder</w:t>
      </w:r>
      <w:r w:rsidR="00516474">
        <w:rPr>
          <w:szCs w:val="24"/>
        </w:rPr>
        <w:t>, die</w:t>
      </w:r>
      <w:r w:rsidR="00516474" w:rsidRPr="00516474">
        <w:rPr>
          <w:szCs w:val="24"/>
        </w:rPr>
        <w:t xml:space="preserve"> Betriebskosten </w:t>
      </w:r>
      <w:r w:rsidR="00516474">
        <w:rPr>
          <w:szCs w:val="24"/>
        </w:rPr>
        <w:t>steigen aber</w:t>
      </w:r>
      <w:r w:rsidR="00B46BF5">
        <w:rPr>
          <w:szCs w:val="24"/>
        </w:rPr>
        <w:t xml:space="preserve"> ebenso</w:t>
      </w:r>
      <w:r w:rsidR="001A7E31">
        <w:rPr>
          <w:szCs w:val="24"/>
        </w:rPr>
        <w:t>,</w:t>
      </w:r>
      <w:r w:rsidR="00516474">
        <w:rPr>
          <w:szCs w:val="24"/>
        </w:rPr>
        <w:t xml:space="preserve"> </w:t>
      </w:r>
      <w:r w:rsidR="00516474" w:rsidRPr="00516474">
        <w:rPr>
          <w:szCs w:val="24"/>
        </w:rPr>
        <w:t xml:space="preserve">und </w:t>
      </w:r>
      <w:r w:rsidR="00516474">
        <w:rPr>
          <w:szCs w:val="24"/>
        </w:rPr>
        <w:t xml:space="preserve">die </w:t>
      </w:r>
      <w:r w:rsidR="00516474" w:rsidRPr="00516474">
        <w:rPr>
          <w:szCs w:val="24"/>
        </w:rPr>
        <w:t>Personalnot</w:t>
      </w:r>
      <w:r w:rsidR="00516474">
        <w:rPr>
          <w:szCs w:val="24"/>
        </w:rPr>
        <w:t xml:space="preserve"> hält an.</w:t>
      </w:r>
      <w:r>
        <w:rPr>
          <w:szCs w:val="24"/>
        </w:rPr>
        <w:t xml:space="preserve"> „</w:t>
      </w:r>
      <w:r w:rsidR="000F30AE" w:rsidRPr="000F30AE">
        <w:rPr>
          <w:szCs w:val="24"/>
        </w:rPr>
        <w:t xml:space="preserve">Der Hotelimmobilienmarkt verändert sein Profil zu Lasten der </w:t>
      </w:r>
      <w:proofErr w:type="spellStart"/>
      <w:r w:rsidR="000F30AE" w:rsidRPr="000F30AE">
        <w:rPr>
          <w:szCs w:val="24"/>
        </w:rPr>
        <w:t>unprofilierten</w:t>
      </w:r>
      <w:proofErr w:type="spellEnd"/>
      <w:r w:rsidR="000F30AE" w:rsidRPr="000F30AE">
        <w:rPr>
          <w:szCs w:val="24"/>
        </w:rPr>
        <w:t xml:space="preserve"> Mitte und kapitalschwacher, meist familiengeführter Unternehmen und zu Gunsten profilscharfer, nachhaltiger Konzepte.</w:t>
      </w:r>
      <w:r>
        <w:rPr>
          <w:szCs w:val="24"/>
        </w:rPr>
        <w:t>“</w:t>
      </w:r>
      <w:r w:rsidR="00A36F97">
        <w:rPr>
          <w:szCs w:val="24"/>
        </w:rPr>
        <w:t xml:space="preserve"> </w:t>
      </w:r>
      <w:r>
        <w:rPr>
          <w:szCs w:val="24"/>
        </w:rPr>
        <w:t xml:space="preserve">Carstensen weiter: </w:t>
      </w:r>
      <w:r w:rsidR="00240EBF">
        <w:rPr>
          <w:szCs w:val="24"/>
        </w:rPr>
        <w:t>„</w:t>
      </w:r>
      <w:r w:rsidR="000F30AE" w:rsidRPr="000F30AE">
        <w:rPr>
          <w:szCs w:val="24"/>
        </w:rPr>
        <w:t>Der Hotelimmobilienmarkt wird auch zunehmend von Serviced Apartments geprägt, die stark wohnwirtschaftlichen Konzepten ähneln.</w:t>
      </w:r>
      <w:r w:rsidR="00240EBF">
        <w:rPr>
          <w:szCs w:val="24"/>
        </w:rPr>
        <w:t>“</w:t>
      </w:r>
      <w:r w:rsidR="000F30AE" w:rsidRPr="000F30AE">
        <w:rPr>
          <w:szCs w:val="24"/>
        </w:rPr>
        <w:t xml:space="preserve"> Kennzeichnend </w:t>
      </w:r>
      <w:r w:rsidR="00240EBF">
        <w:rPr>
          <w:szCs w:val="24"/>
        </w:rPr>
        <w:t>seien</w:t>
      </w:r>
      <w:r w:rsidR="000F30AE" w:rsidRPr="000F30AE">
        <w:rPr>
          <w:szCs w:val="24"/>
        </w:rPr>
        <w:t xml:space="preserve"> größere</w:t>
      </w:r>
      <w:r w:rsidR="00240EBF">
        <w:rPr>
          <w:szCs w:val="24"/>
        </w:rPr>
        <w:t xml:space="preserve">, </w:t>
      </w:r>
      <w:r w:rsidR="000F30AE" w:rsidRPr="000F30AE">
        <w:rPr>
          <w:szCs w:val="24"/>
        </w:rPr>
        <w:t xml:space="preserve">zur Selbstversorgung ausgestattete Apartments, die sich </w:t>
      </w:r>
      <w:r w:rsidR="00240EBF">
        <w:rPr>
          <w:szCs w:val="24"/>
        </w:rPr>
        <w:t>unter anderem</w:t>
      </w:r>
      <w:r w:rsidR="000F30AE" w:rsidRPr="000F30AE">
        <w:rPr>
          <w:szCs w:val="24"/>
        </w:rPr>
        <w:t xml:space="preserve"> an Personen wenden, die </w:t>
      </w:r>
      <w:r w:rsidR="00240EBF">
        <w:rPr>
          <w:szCs w:val="24"/>
        </w:rPr>
        <w:t>in der Regel</w:t>
      </w:r>
      <w:r w:rsidR="000F30AE" w:rsidRPr="000F30AE">
        <w:rPr>
          <w:szCs w:val="24"/>
        </w:rPr>
        <w:t xml:space="preserve"> von Sharing</w:t>
      </w:r>
      <w:r w:rsidR="00AE0937">
        <w:rPr>
          <w:szCs w:val="24"/>
        </w:rPr>
        <w:t>-A</w:t>
      </w:r>
      <w:r w:rsidR="000F30AE" w:rsidRPr="000F30AE">
        <w:rPr>
          <w:szCs w:val="24"/>
        </w:rPr>
        <w:t>nbietern umworben werden und die für mehrere Tage und Wochen eine Unterkunft suchen.</w:t>
      </w:r>
    </w:p>
    <w:p w14:paraId="28F16D8D" w14:textId="77777777" w:rsidR="000F30AE" w:rsidRPr="00EB4928" w:rsidRDefault="000F30AE" w:rsidP="00131F48">
      <w:pPr>
        <w:rPr>
          <w:szCs w:val="24"/>
        </w:rPr>
      </w:pPr>
    </w:p>
    <w:p w14:paraId="26C8AA93" w14:textId="1FD7D8A6" w:rsidR="00886FA9" w:rsidRDefault="00725DFB" w:rsidP="00725DFB">
      <w:pPr>
        <w:rPr>
          <w:b/>
          <w:bCs/>
          <w:sz w:val="28"/>
          <w:szCs w:val="28"/>
        </w:rPr>
      </w:pPr>
      <w:bookmarkStart w:id="8" w:name="_Hlk127196653"/>
      <w:r w:rsidRPr="00CF284F">
        <w:rPr>
          <w:b/>
          <w:bCs/>
          <w:sz w:val="28"/>
          <w:szCs w:val="28"/>
          <w:u w:val="single"/>
        </w:rPr>
        <w:lastRenderedPageBreak/>
        <w:t>Einzelhandelsimmobilien:</w:t>
      </w:r>
      <w:r w:rsidR="00A36F97">
        <w:rPr>
          <w:b/>
          <w:bCs/>
          <w:sz w:val="28"/>
          <w:szCs w:val="28"/>
        </w:rPr>
        <w:t xml:space="preserve"> </w:t>
      </w:r>
      <w:r w:rsidRPr="00CF284F">
        <w:rPr>
          <w:b/>
          <w:bCs/>
          <w:sz w:val="28"/>
          <w:szCs w:val="28"/>
        </w:rPr>
        <w:t>Michael Gerling</w:t>
      </w:r>
      <w:r w:rsidRPr="00F3705D">
        <w:rPr>
          <w:bCs/>
          <w:sz w:val="28"/>
          <w:szCs w:val="28"/>
        </w:rPr>
        <w:t xml:space="preserve"> (EHI Retail Institute)</w:t>
      </w:r>
      <w:r>
        <w:rPr>
          <w:b/>
          <w:bCs/>
          <w:sz w:val="28"/>
          <w:szCs w:val="28"/>
        </w:rPr>
        <w:t xml:space="preserve"> </w:t>
      </w:r>
    </w:p>
    <w:p w14:paraId="462531DD" w14:textId="2E7F25A3" w:rsidR="00282EA2" w:rsidRPr="00282EA2" w:rsidRDefault="00B54F45" w:rsidP="00282EA2">
      <w:pPr>
        <w:rPr>
          <w:szCs w:val="24"/>
        </w:rPr>
      </w:pPr>
      <w:r>
        <w:rPr>
          <w:szCs w:val="24"/>
        </w:rPr>
        <w:t xml:space="preserve">Michael Gerling </w:t>
      </w:r>
      <w:r w:rsidR="00202230">
        <w:rPr>
          <w:szCs w:val="24"/>
        </w:rPr>
        <w:t>berichtet von einer gespaltenen Lage: „</w:t>
      </w:r>
      <w:r w:rsidR="00282EA2" w:rsidRPr="00282EA2">
        <w:rPr>
          <w:szCs w:val="24"/>
        </w:rPr>
        <w:t xml:space="preserve">Während der Blick auf die Umsätze ein eher positives Bild von der Lage des Einzelhandels gibt, </w:t>
      </w:r>
      <w:r w:rsidR="00AE038C">
        <w:rPr>
          <w:szCs w:val="24"/>
        </w:rPr>
        <w:t>offenbaren</w:t>
      </w:r>
      <w:r w:rsidR="00AE038C" w:rsidRPr="00282EA2">
        <w:rPr>
          <w:szCs w:val="24"/>
        </w:rPr>
        <w:t xml:space="preserve"> </w:t>
      </w:r>
      <w:r w:rsidR="00282EA2" w:rsidRPr="00282EA2">
        <w:rPr>
          <w:szCs w:val="24"/>
        </w:rPr>
        <w:t>sich dramatische Veränderungen bei den Margen und Kosten.</w:t>
      </w:r>
      <w:r w:rsidR="00202230">
        <w:rPr>
          <w:szCs w:val="24"/>
        </w:rPr>
        <w:t xml:space="preserve">“ </w:t>
      </w:r>
      <w:r w:rsidR="00282EA2" w:rsidRPr="00282EA2">
        <w:rPr>
          <w:szCs w:val="24"/>
        </w:rPr>
        <w:t xml:space="preserve">Deutliche Veränderungen der Nachfrage zeigen sich </w:t>
      </w:r>
      <w:r w:rsidR="00202230">
        <w:rPr>
          <w:szCs w:val="24"/>
        </w:rPr>
        <w:t xml:space="preserve">nach Einschätzung des Experten </w:t>
      </w:r>
      <w:r w:rsidR="00282EA2" w:rsidRPr="00282EA2">
        <w:rPr>
          <w:szCs w:val="24"/>
        </w:rPr>
        <w:t>in einem zunehmenden Verkauf von preiswerteren Eigenmarken und in einem starken Zuwachs des Aktionsgeschäftes</w:t>
      </w:r>
      <w:r w:rsidR="001316BA">
        <w:rPr>
          <w:szCs w:val="24"/>
        </w:rPr>
        <w:t>.</w:t>
      </w:r>
    </w:p>
    <w:p w14:paraId="1BF6B64A" w14:textId="20BA4F51" w:rsidR="00282EA2" w:rsidRDefault="001316BA" w:rsidP="00282EA2">
      <w:pPr>
        <w:rPr>
          <w:szCs w:val="24"/>
        </w:rPr>
      </w:pPr>
      <w:r>
        <w:rPr>
          <w:szCs w:val="24"/>
        </w:rPr>
        <w:t>„</w:t>
      </w:r>
      <w:r w:rsidR="00282EA2" w:rsidRPr="00282EA2">
        <w:rPr>
          <w:szCs w:val="24"/>
        </w:rPr>
        <w:t>Dennoch gibt es auch beim Blick in das Jahr 2024 Anlass zu verhaltenem Optimismus in der Handelsbranche</w:t>
      </w:r>
      <w:r>
        <w:rPr>
          <w:szCs w:val="24"/>
        </w:rPr>
        <w:t xml:space="preserve">“, blickt Gerling in die Zukunft. </w:t>
      </w:r>
      <w:r w:rsidR="00854D7D">
        <w:rPr>
          <w:szCs w:val="24"/>
        </w:rPr>
        <w:t>„</w:t>
      </w:r>
      <w:r w:rsidR="00282EA2" w:rsidRPr="00282EA2">
        <w:rPr>
          <w:szCs w:val="24"/>
        </w:rPr>
        <w:t>Der Rückgang der Inflation wird sich wohl fortsetzen und in Kombination mit deutlich gestiegenen Löhnen werden sich die Reallöhne deutlich positiv entwickeln. Das dürfte am Ende auch die Konsumstimmung und die Umsätze im Einzelhandel begünstigen.</w:t>
      </w:r>
      <w:r w:rsidR="00854D7D">
        <w:rPr>
          <w:szCs w:val="24"/>
        </w:rPr>
        <w:t>“</w:t>
      </w:r>
    </w:p>
    <w:p w14:paraId="2E29D5F6" w14:textId="77777777" w:rsidR="00886FA9" w:rsidRPr="00282EA2" w:rsidRDefault="00886FA9" w:rsidP="00282EA2">
      <w:pPr>
        <w:rPr>
          <w:szCs w:val="24"/>
        </w:rPr>
      </w:pPr>
    </w:p>
    <w:p w14:paraId="62BC07E7" w14:textId="40B247FA" w:rsidR="00282EA2" w:rsidRDefault="00282EA2" w:rsidP="00282EA2">
      <w:pPr>
        <w:rPr>
          <w:szCs w:val="24"/>
        </w:rPr>
      </w:pPr>
      <w:r w:rsidRPr="00282EA2">
        <w:rPr>
          <w:szCs w:val="24"/>
        </w:rPr>
        <w:t xml:space="preserve">Nach jahrelangem Rückgang nahmen die </w:t>
      </w:r>
      <w:r w:rsidR="0046135D">
        <w:rPr>
          <w:szCs w:val="24"/>
        </w:rPr>
        <w:t xml:space="preserve">Insolvenzen aber </w:t>
      </w:r>
      <w:r w:rsidRPr="00282EA2">
        <w:rPr>
          <w:szCs w:val="24"/>
        </w:rPr>
        <w:t>auch im Handel</w:t>
      </w:r>
      <w:r w:rsidR="00854D7D">
        <w:rPr>
          <w:szCs w:val="24"/>
        </w:rPr>
        <w:t>,</w:t>
      </w:r>
      <w:r w:rsidRPr="00282EA2">
        <w:rPr>
          <w:szCs w:val="24"/>
        </w:rPr>
        <w:t xml:space="preserve"> mit einem Plus von 26</w:t>
      </w:r>
      <w:r w:rsidR="00854D7D">
        <w:rPr>
          <w:szCs w:val="24"/>
        </w:rPr>
        <w:t xml:space="preserve"> Prozent,</w:t>
      </w:r>
      <w:r w:rsidRPr="00282EA2">
        <w:rPr>
          <w:szCs w:val="24"/>
        </w:rPr>
        <w:t xml:space="preserve"> im Vergleich zum Vorjahr zu.</w:t>
      </w:r>
    </w:p>
    <w:p w14:paraId="6F38F4D0" w14:textId="77777777" w:rsidR="00886FA9" w:rsidRPr="00282EA2" w:rsidRDefault="00886FA9" w:rsidP="00282EA2">
      <w:pPr>
        <w:rPr>
          <w:szCs w:val="24"/>
        </w:rPr>
      </w:pPr>
    </w:p>
    <w:p w14:paraId="6DD825BA" w14:textId="6755EE7F" w:rsidR="00282EA2" w:rsidRDefault="00282EA2" w:rsidP="00282EA2">
      <w:pPr>
        <w:rPr>
          <w:szCs w:val="24"/>
        </w:rPr>
      </w:pPr>
      <w:r w:rsidRPr="00282EA2">
        <w:rPr>
          <w:szCs w:val="24"/>
        </w:rPr>
        <w:t xml:space="preserve">Die Schließung eines innerstädtischen Warenhauses </w:t>
      </w:r>
      <w:r w:rsidR="001C5BBD">
        <w:rPr>
          <w:szCs w:val="24"/>
        </w:rPr>
        <w:t>war</w:t>
      </w:r>
      <w:r w:rsidRPr="00282EA2">
        <w:rPr>
          <w:szCs w:val="24"/>
        </w:rPr>
        <w:t xml:space="preserve"> für viele Städte </w:t>
      </w:r>
      <w:r w:rsidR="001C5BBD">
        <w:rPr>
          <w:szCs w:val="24"/>
        </w:rPr>
        <w:t>lange ein</w:t>
      </w:r>
      <w:r w:rsidR="00FE69AA">
        <w:rPr>
          <w:szCs w:val="24"/>
        </w:rPr>
        <w:t>e</w:t>
      </w:r>
      <w:r w:rsidR="001C5BBD">
        <w:rPr>
          <w:szCs w:val="24"/>
        </w:rPr>
        <w:t xml:space="preserve"> </w:t>
      </w:r>
      <w:r w:rsidR="004A3E97">
        <w:rPr>
          <w:szCs w:val="24"/>
        </w:rPr>
        <w:t xml:space="preserve">eher theoretische Möglichkeit, </w:t>
      </w:r>
      <w:r w:rsidRPr="00282EA2">
        <w:rPr>
          <w:szCs w:val="24"/>
        </w:rPr>
        <w:t xml:space="preserve">in den letzten Jahren </w:t>
      </w:r>
      <w:r w:rsidR="004A3E97">
        <w:rPr>
          <w:szCs w:val="24"/>
        </w:rPr>
        <w:t xml:space="preserve">wurde sie vielerorts </w:t>
      </w:r>
      <w:r w:rsidRPr="00282EA2">
        <w:rPr>
          <w:szCs w:val="24"/>
        </w:rPr>
        <w:t xml:space="preserve">Realität. </w:t>
      </w:r>
      <w:r w:rsidR="004A3E97">
        <w:rPr>
          <w:szCs w:val="24"/>
        </w:rPr>
        <w:t>„</w:t>
      </w:r>
      <w:r w:rsidRPr="00282EA2">
        <w:rPr>
          <w:szCs w:val="24"/>
        </w:rPr>
        <w:t>Es stellt sich die komplexe Frage der Nachnutzung dieser zentral gelegenen</w:t>
      </w:r>
      <w:r w:rsidR="00D92D09">
        <w:rPr>
          <w:szCs w:val="24"/>
        </w:rPr>
        <w:t>,</w:t>
      </w:r>
      <w:r w:rsidRPr="00282EA2">
        <w:rPr>
          <w:szCs w:val="24"/>
        </w:rPr>
        <w:t xml:space="preserve"> großflächigen Handelsimmobilien</w:t>
      </w:r>
      <w:r w:rsidR="004A3E97">
        <w:rPr>
          <w:szCs w:val="24"/>
        </w:rPr>
        <w:t xml:space="preserve">“, </w:t>
      </w:r>
      <w:r w:rsidR="007117E2">
        <w:rPr>
          <w:szCs w:val="24"/>
        </w:rPr>
        <w:t>schreibt</w:t>
      </w:r>
      <w:r w:rsidR="004A3E97">
        <w:rPr>
          <w:szCs w:val="24"/>
        </w:rPr>
        <w:t xml:space="preserve"> Gerling. </w:t>
      </w:r>
      <w:r w:rsidR="007117E2">
        <w:rPr>
          <w:szCs w:val="24"/>
        </w:rPr>
        <w:t>„</w:t>
      </w:r>
      <w:r w:rsidRPr="00282EA2">
        <w:rPr>
          <w:szCs w:val="24"/>
        </w:rPr>
        <w:t>Wenngleich Mixed-Use-Konzepte für die Städte anspruchsvoll in der Planung und Umsetzung sind, sind genau diese Konzepte oft im Hinblick auf langfristige positive Impulse für lebendige Innenstädte als besonders erfolgversprechend anzusehen</w:t>
      </w:r>
      <w:r w:rsidR="00135771">
        <w:rPr>
          <w:szCs w:val="24"/>
        </w:rPr>
        <w:t>.</w:t>
      </w:r>
      <w:r w:rsidR="007117E2">
        <w:rPr>
          <w:szCs w:val="24"/>
        </w:rPr>
        <w:t>“</w:t>
      </w:r>
    </w:p>
    <w:p w14:paraId="6B17AEED" w14:textId="77777777" w:rsidR="00135771" w:rsidRPr="00EB4928" w:rsidRDefault="00135771" w:rsidP="00135771">
      <w:pPr>
        <w:jc w:val="left"/>
        <w:rPr>
          <w:b/>
          <w:bCs/>
          <w:szCs w:val="24"/>
          <w:u w:val="single"/>
        </w:rPr>
      </w:pPr>
      <w:bookmarkStart w:id="9" w:name="_Hlk127196737"/>
    </w:p>
    <w:p w14:paraId="45CD5852" w14:textId="6870908E" w:rsidR="00982C3D" w:rsidRPr="00135771" w:rsidRDefault="00135771" w:rsidP="00135771">
      <w:pPr>
        <w:jc w:val="left"/>
        <w:rPr>
          <w:b/>
          <w:bCs/>
          <w:sz w:val="28"/>
          <w:szCs w:val="28"/>
        </w:rPr>
      </w:pPr>
      <w:r w:rsidRPr="00F3705D">
        <w:rPr>
          <w:b/>
          <w:bCs/>
          <w:sz w:val="28"/>
          <w:szCs w:val="28"/>
          <w:u w:val="single"/>
        </w:rPr>
        <w:t>Gesundheits- und Sozialimmobilien, Innenstadtentwicklung:</w:t>
      </w:r>
      <w:r>
        <w:rPr>
          <w:b/>
          <w:bCs/>
          <w:sz w:val="28"/>
          <w:szCs w:val="28"/>
        </w:rPr>
        <w:t xml:space="preserve"> </w:t>
      </w:r>
      <w:bookmarkEnd w:id="9"/>
      <w:r w:rsidRPr="004C579F">
        <w:rPr>
          <w:b/>
          <w:bCs/>
          <w:sz w:val="28"/>
          <w:szCs w:val="28"/>
        </w:rPr>
        <w:t xml:space="preserve">Carolin </w:t>
      </w:r>
      <w:proofErr w:type="spellStart"/>
      <w:r w:rsidRPr="004C579F">
        <w:rPr>
          <w:b/>
          <w:bCs/>
          <w:sz w:val="28"/>
          <w:szCs w:val="28"/>
        </w:rPr>
        <w:t>Wandzik</w:t>
      </w:r>
      <w:proofErr w:type="spellEnd"/>
      <w:r>
        <w:rPr>
          <w:b/>
          <w:bCs/>
          <w:sz w:val="28"/>
          <w:szCs w:val="28"/>
        </w:rPr>
        <w:t xml:space="preserve"> </w:t>
      </w:r>
      <w:r w:rsidRPr="00F3705D">
        <w:rPr>
          <w:bCs/>
          <w:sz w:val="28"/>
          <w:szCs w:val="28"/>
        </w:rPr>
        <w:t>(GOS)</w:t>
      </w:r>
      <w:bookmarkEnd w:id="8"/>
    </w:p>
    <w:p w14:paraId="53E9270D" w14:textId="5F3AAABF" w:rsidR="00982C3D" w:rsidRDefault="00982C3D" w:rsidP="007117E2">
      <w:pPr>
        <w:rPr>
          <w:szCs w:val="24"/>
        </w:rPr>
      </w:pPr>
      <w:r w:rsidRPr="00982C3D">
        <w:rPr>
          <w:szCs w:val="24"/>
        </w:rPr>
        <w:t xml:space="preserve">Für die weiterhin angespannte Versorgungslage auf dem Pflegemarkt </w:t>
      </w:r>
      <w:r w:rsidR="00135771">
        <w:rPr>
          <w:szCs w:val="24"/>
        </w:rPr>
        <w:t>ist wegen</w:t>
      </w:r>
      <w:r w:rsidRPr="00982C3D">
        <w:rPr>
          <w:szCs w:val="24"/>
        </w:rPr>
        <w:t xml:space="preserve"> der fortschreitenden Alterung der Gesellschaft </w:t>
      </w:r>
      <w:r w:rsidR="007117E2">
        <w:rPr>
          <w:szCs w:val="24"/>
        </w:rPr>
        <w:t xml:space="preserve">offenbar </w:t>
      </w:r>
      <w:r w:rsidRPr="00982C3D">
        <w:rPr>
          <w:szCs w:val="24"/>
        </w:rPr>
        <w:t xml:space="preserve">auch künftig </w:t>
      </w:r>
      <w:r w:rsidR="00135771">
        <w:rPr>
          <w:szCs w:val="24"/>
        </w:rPr>
        <w:t>keine</w:t>
      </w:r>
      <w:r w:rsidRPr="00982C3D">
        <w:rPr>
          <w:szCs w:val="24"/>
        </w:rPr>
        <w:t xml:space="preserve"> Entlastung </w:t>
      </w:r>
      <w:r w:rsidR="00135771">
        <w:rPr>
          <w:szCs w:val="24"/>
        </w:rPr>
        <w:t>zu erwarten.</w:t>
      </w:r>
      <w:r w:rsidR="007117E2">
        <w:rPr>
          <w:szCs w:val="24"/>
        </w:rPr>
        <w:t xml:space="preserve"> </w:t>
      </w:r>
      <w:r w:rsidR="008951C2">
        <w:rPr>
          <w:szCs w:val="24"/>
        </w:rPr>
        <w:t xml:space="preserve">Carolin </w:t>
      </w:r>
      <w:proofErr w:type="spellStart"/>
      <w:r w:rsidR="008951C2">
        <w:rPr>
          <w:szCs w:val="24"/>
        </w:rPr>
        <w:t>Wandzik</w:t>
      </w:r>
      <w:proofErr w:type="spellEnd"/>
      <w:r w:rsidR="008951C2">
        <w:rPr>
          <w:szCs w:val="24"/>
        </w:rPr>
        <w:t xml:space="preserve">, </w:t>
      </w:r>
      <w:r w:rsidR="008951C2" w:rsidRPr="008951C2">
        <w:rPr>
          <w:szCs w:val="24"/>
        </w:rPr>
        <w:t>Autorin des Kapitels „Gesundheits- und Sozialimmobilien“</w:t>
      </w:r>
      <w:r w:rsidR="00E160F0">
        <w:rPr>
          <w:szCs w:val="24"/>
        </w:rPr>
        <w:t>,</w:t>
      </w:r>
      <w:r w:rsidR="008951C2" w:rsidRPr="008951C2">
        <w:rPr>
          <w:szCs w:val="24"/>
        </w:rPr>
        <w:t xml:space="preserve"> </w:t>
      </w:r>
      <w:r w:rsidR="008951C2">
        <w:rPr>
          <w:szCs w:val="24"/>
        </w:rPr>
        <w:t>sieht an mehreren Punkten eindeutig Handlungsbedarf</w:t>
      </w:r>
      <w:r w:rsidRPr="00982C3D">
        <w:rPr>
          <w:szCs w:val="24"/>
        </w:rPr>
        <w:t xml:space="preserve">: </w:t>
      </w:r>
      <w:r w:rsidR="008951C2">
        <w:rPr>
          <w:szCs w:val="24"/>
        </w:rPr>
        <w:t>„</w:t>
      </w:r>
      <w:r w:rsidRPr="00982C3D">
        <w:rPr>
          <w:szCs w:val="24"/>
        </w:rPr>
        <w:t xml:space="preserve">Neben der bundesweit erforderlichen energetischen Modernisierung und qualitativen Anpassung der Bestandspflegeheime ist vielerorts auch der Neubau klassischer Pflegeheime </w:t>
      </w:r>
      <w:r w:rsidR="00996E51">
        <w:rPr>
          <w:szCs w:val="24"/>
        </w:rPr>
        <w:t xml:space="preserve">unabdingbar, um den </w:t>
      </w:r>
      <w:r w:rsidRPr="00982C3D">
        <w:rPr>
          <w:szCs w:val="24"/>
        </w:rPr>
        <w:t>Bedarf</w:t>
      </w:r>
      <w:r w:rsidR="00996E51">
        <w:rPr>
          <w:szCs w:val="24"/>
        </w:rPr>
        <w:t xml:space="preserve"> zu decken.“ </w:t>
      </w:r>
      <w:r w:rsidRPr="00982C3D">
        <w:rPr>
          <w:szCs w:val="24"/>
        </w:rPr>
        <w:t xml:space="preserve">Besonders stark betroffen </w:t>
      </w:r>
      <w:r w:rsidR="008951C2">
        <w:rPr>
          <w:szCs w:val="24"/>
        </w:rPr>
        <w:t>seien</w:t>
      </w:r>
      <w:r w:rsidRPr="00982C3D">
        <w:rPr>
          <w:szCs w:val="24"/>
        </w:rPr>
        <w:t xml:space="preserve"> die westdeutschen Flächenländer sowie die Stadtstaaten</w:t>
      </w:r>
      <w:r w:rsidR="008951C2">
        <w:rPr>
          <w:szCs w:val="24"/>
        </w:rPr>
        <w:t>.</w:t>
      </w:r>
      <w:r w:rsidRPr="00982C3D">
        <w:rPr>
          <w:szCs w:val="24"/>
        </w:rPr>
        <w:t xml:space="preserve"> </w:t>
      </w:r>
      <w:r w:rsidR="002A18CF">
        <w:rPr>
          <w:szCs w:val="24"/>
        </w:rPr>
        <w:t xml:space="preserve">Zudem, so </w:t>
      </w:r>
      <w:proofErr w:type="spellStart"/>
      <w:r w:rsidR="002A18CF">
        <w:rPr>
          <w:szCs w:val="24"/>
        </w:rPr>
        <w:t>Wandzik</w:t>
      </w:r>
      <w:proofErr w:type="spellEnd"/>
      <w:r w:rsidR="002A18CF">
        <w:rPr>
          <w:szCs w:val="24"/>
        </w:rPr>
        <w:t>,</w:t>
      </w:r>
      <w:r w:rsidR="00A36F97">
        <w:rPr>
          <w:szCs w:val="24"/>
        </w:rPr>
        <w:t xml:space="preserve"> </w:t>
      </w:r>
      <w:r w:rsidR="00886FA9">
        <w:rPr>
          <w:szCs w:val="24"/>
        </w:rPr>
        <w:t>sei</w:t>
      </w:r>
      <w:r w:rsidR="00886FA9" w:rsidRPr="00982C3D">
        <w:rPr>
          <w:szCs w:val="24"/>
        </w:rPr>
        <w:t xml:space="preserve"> </w:t>
      </w:r>
      <w:r w:rsidRPr="00982C3D">
        <w:rPr>
          <w:szCs w:val="24"/>
        </w:rPr>
        <w:lastRenderedPageBreak/>
        <w:t>bundesweit ein starker Ausbau barrierefreier Wohneinheiten und der ambulanten Pflege erforderlich.</w:t>
      </w:r>
    </w:p>
    <w:p w14:paraId="067C9C01" w14:textId="77777777" w:rsidR="00886FA9" w:rsidRPr="00982C3D" w:rsidRDefault="00886FA9" w:rsidP="007117E2">
      <w:pPr>
        <w:rPr>
          <w:szCs w:val="24"/>
        </w:rPr>
      </w:pPr>
    </w:p>
    <w:p w14:paraId="57E2BD60" w14:textId="68B55885" w:rsidR="00982C3D" w:rsidRPr="006B3144" w:rsidRDefault="002A18CF" w:rsidP="00982C3D">
      <w:pPr>
        <w:rPr>
          <w:szCs w:val="24"/>
        </w:rPr>
      </w:pPr>
      <w:r>
        <w:rPr>
          <w:szCs w:val="24"/>
        </w:rPr>
        <w:t xml:space="preserve">Nur: </w:t>
      </w:r>
      <w:r w:rsidR="00982C3D" w:rsidRPr="00982C3D">
        <w:rPr>
          <w:szCs w:val="24"/>
        </w:rPr>
        <w:t xml:space="preserve">Der Bau neuer Pflegeheime in Deutschland stagniert seit Jahren und wird </w:t>
      </w:r>
      <w:r w:rsidR="004F2A6D">
        <w:rPr>
          <w:szCs w:val="24"/>
        </w:rPr>
        <w:t>mit diesem „Tempo“</w:t>
      </w:r>
      <w:r w:rsidR="00982C3D" w:rsidRPr="00982C3D">
        <w:rPr>
          <w:szCs w:val="24"/>
        </w:rPr>
        <w:t xml:space="preserve"> nicht </w:t>
      </w:r>
      <w:r w:rsidR="005C16C3">
        <w:rPr>
          <w:szCs w:val="24"/>
        </w:rPr>
        <w:t>genug Angebote liefern</w:t>
      </w:r>
      <w:r w:rsidR="00982C3D" w:rsidRPr="00982C3D">
        <w:rPr>
          <w:szCs w:val="24"/>
        </w:rPr>
        <w:t xml:space="preserve">, um die rasant steigende Zahl </w:t>
      </w:r>
      <w:r>
        <w:rPr>
          <w:szCs w:val="24"/>
        </w:rPr>
        <w:t>an</w:t>
      </w:r>
      <w:r w:rsidR="00E20585">
        <w:rPr>
          <w:szCs w:val="24"/>
        </w:rPr>
        <w:t xml:space="preserve"> </w:t>
      </w:r>
      <w:r w:rsidR="00982C3D" w:rsidRPr="00982C3D">
        <w:rPr>
          <w:szCs w:val="24"/>
        </w:rPr>
        <w:t>Pflegebedürftigen in den kommenden Jahrzehnten aufnehmen zu können.</w:t>
      </w:r>
      <w:r w:rsidR="00E20585">
        <w:rPr>
          <w:szCs w:val="24"/>
        </w:rPr>
        <w:t xml:space="preserve"> „</w:t>
      </w:r>
      <w:r w:rsidR="00982C3D" w:rsidRPr="00982C3D">
        <w:rPr>
          <w:szCs w:val="24"/>
        </w:rPr>
        <w:t xml:space="preserve">Die Versorgungslücke im Pflegebereich wird sich auch im Segment der </w:t>
      </w:r>
      <w:proofErr w:type="spellStart"/>
      <w:r w:rsidR="0046135D">
        <w:rPr>
          <w:szCs w:val="24"/>
        </w:rPr>
        <w:t>b</w:t>
      </w:r>
      <w:r w:rsidR="00E20585" w:rsidRPr="00982C3D">
        <w:rPr>
          <w:szCs w:val="24"/>
        </w:rPr>
        <w:t>arrierereduzierten</w:t>
      </w:r>
      <w:proofErr w:type="spellEnd"/>
      <w:r w:rsidR="00982C3D" w:rsidRPr="00982C3D">
        <w:rPr>
          <w:szCs w:val="24"/>
        </w:rPr>
        <w:t xml:space="preserve"> Wohnungen weiter vergrößern</w:t>
      </w:r>
      <w:r w:rsidR="00392320">
        <w:rPr>
          <w:szCs w:val="24"/>
        </w:rPr>
        <w:t>“, befürchtet die Expertin.</w:t>
      </w:r>
    </w:p>
    <w:p w14:paraId="08C670F1" w14:textId="2E101925" w:rsidR="00A67857" w:rsidRPr="00F93986" w:rsidRDefault="00F1353A" w:rsidP="00F1353A">
      <w:pPr>
        <w:pStyle w:val="StandardWeb"/>
        <w:tabs>
          <w:tab w:val="left" w:pos="2948"/>
        </w:tabs>
        <w:spacing w:after="0" w:line="360" w:lineRule="auto"/>
        <w:textAlignment w:val="baseline"/>
        <w:rPr>
          <w:rFonts w:ascii="Arial" w:eastAsia="Arial" w:hAnsi="Arial" w:cs="Arial"/>
          <w:b/>
          <w:u w:val="single"/>
        </w:rPr>
      </w:pPr>
      <w:r w:rsidRPr="00F93986">
        <w:rPr>
          <w:rFonts w:ascii="Arial" w:eastAsia="Arial" w:hAnsi="Arial" w:cs="Arial"/>
          <w:b/>
          <w:u w:val="single"/>
        </w:rPr>
        <w:t xml:space="preserve">Innenstadtentwicklung: </w:t>
      </w:r>
    </w:p>
    <w:p w14:paraId="5F6FB2BE" w14:textId="1011DF2E" w:rsidR="00F1353A" w:rsidRPr="00BC422B" w:rsidRDefault="004B3F69" w:rsidP="00BC422B">
      <w:pPr>
        <w:rPr>
          <w:rFonts w:ascii="Aptos" w:eastAsiaTheme="minorHAnsi" w:hAnsi="Aptos" w:cs="Calibri"/>
          <w:color w:val="auto"/>
          <w:sz w:val="22"/>
        </w:rPr>
      </w:pPr>
      <w:r>
        <w:t>„Die Herausforderungen zur Transformation unserer Innenstädte halten an, da sich die finanziellen Rahmenbedingungen für die Umbauprozesse weiter verschärft haben“, betont</w:t>
      </w:r>
      <w:r w:rsidRPr="004B3F69">
        <w:t xml:space="preserve"> Carolin </w:t>
      </w:r>
      <w:proofErr w:type="spellStart"/>
      <w:r w:rsidRPr="004B3F69">
        <w:t>Wandzik</w:t>
      </w:r>
      <w:proofErr w:type="spellEnd"/>
      <w:r>
        <w:t xml:space="preserve">. </w:t>
      </w:r>
      <w:r w:rsidR="00710E42">
        <w:t>Das Ziel</w:t>
      </w:r>
      <w:r>
        <w:t xml:space="preserve">, einen neuen, vielfältigeren Nutzungsmix in den Zentren zu etablieren, </w:t>
      </w:r>
      <w:r w:rsidR="00886FA9">
        <w:t xml:space="preserve">sei </w:t>
      </w:r>
      <w:r>
        <w:t>klar</w:t>
      </w:r>
      <w:r w:rsidR="00710E42">
        <w:t xml:space="preserve"> –</w:t>
      </w:r>
      <w:r w:rsidR="00A36F97">
        <w:t xml:space="preserve"> </w:t>
      </w:r>
      <w:r>
        <w:t xml:space="preserve">einzelne Sofortmaßnahmen </w:t>
      </w:r>
      <w:r w:rsidR="00710E42">
        <w:t xml:space="preserve">reichen da </w:t>
      </w:r>
      <w:r>
        <w:t xml:space="preserve">nicht aus, um die unter Druck geratenen Innenstädte nachhaltig zu beleben und krisenresilienter zu machen. </w:t>
      </w:r>
      <w:r w:rsidR="00744B78">
        <w:t>„</w:t>
      </w:r>
      <w:r>
        <w:t xml:space="preserve">Vielmehr geht es darum, neben den konzeptionellen, strukturellen und baulichen Defiziten </w:t>
      </w:r>
      <w:r w:rsidR="00F23D5A">
        <w:t xml:space="preserve">auch </w:t>
      </w:r>
      <w:r w:rsidR="00B876FB">
        <w:t>die</w:t>
      </w:r>
      <w:r>
        <w:t xml:space="preserve"> Zusammenarbeit aller Innenstadtakteure, der Bewohnerschaft und Nutzer zu optimieren </w:t>
      </w:r>
      <w:r w:rsidR="00F23D5A">
        <w:t>– Option einer</w:t>
      </w:r>
      <w:r>
        <w:t xml:space="preserve"> Änderung des Rechtsrahmens </w:t>
      </w:r>
      <w:r w:rsidR="00F23D5A">
        <w:t xml:space="preserve">inklusive“, </w:t>
      </w:r>
      <w:r w:rsidR="00224E35">
        <w:t>so die Expertin</w:t>
      </w:r>
      <w:r>
        <w:t xml:space="preserve">. Dies </w:t>
      </w:r>
      <w:r w:rsidR="00224E35">
        <w:t xml:space="preserve">erweise sich </w:t>
      </w:r>
      <w:r>
        <w:t xml:space="preserve">vier Jahre nach </w:t>
      </w:r>
      <w:r w:rsidR="00224E35">
        <w:t xml:space="preserve">Ausbruch </w:t>
      </w:r>
      <w:r>
        <w:t xml:space="preserve">der Pandemie </w:t>
      </w:r>
      <w:r w:rsidR="00224E35">
        <w:t>als</w:t>
      </w:r>
      <w:r>
        <w:t xml:space="preserve"> </w:t>
      </w:r>
      <w:r w:rsidR="00224E35">
        <w:t>langwierige</w:t>
      </w:r>
      <w:r>
        <w:t xml:space="preserve"> Aufgabe. </w:t>
      </w:r>
      <w:r w:rsidR="00224E35">
        <w:rPr>
          <w:rFonts w:ascii="Aptos" w:eastAsiaTheme="minorHAnsi" w:hAnsi="Aptos" w:cs="Calibri"/>
          <w:color w:val="auto"/>
          <w:sz w:val="22"/>
        </w:rPr>
        <w:t>„</w:t>
      </w:r>
      <w:r>
        <w:t>Innenstadtentwicklung ist ein Dauer</w:t>
      </w:r>
      <w:r w:rsidR="00224E35">
        <w:t>projekt</w:t>
      </w:r>
      <w:r>
        <w:t xml:space="preserve"> für Politik und Wirtschaft, </w:t>
      </w:r>
      <w:proofErr w:type="gramStart"/>
      <w:r w:rsidR="00877F4C">
        <w:t>das</w:t>
      </w:r>
      <w:proofErr w:type="gramEnd"/>
      <w:r>
        <w:t xml:space="preserve"> die ständige Anpassung der Rahmenbedingungen notwendig macht</w:t>
      </w:r>
      <w:r w:rsidR="00224E35">
        <w:t xml:space="preserve">“, sagt </w:t>
      </w:r>
      <w:proofErr w:type="spellStart"/>
      <w:r w:rsidR="00224E35">
        <w:t>Wandzik</w:t>
      </w:r>
      <w:proofErr w:type="spellEnd"/>
      <w:r w:rsidR="00224E35">
        <w:t>.</w:t>
      </w:r>
      <w:r w:rsidR="00BC422B">
        <w:rPr>
          <w:rFonts w:ascii="Aptos" w:eastAsiaTheme="minorHAnsi" w:hAnsi="Aptos" w:cs="Calibri"/>
          <w:color w:val="auto"/>
          <w:sz w:val="22"/>
        </w:rPr>
        <w:t xml:space="preserve"> </w:t>
      </w:r>
      <w:r w:rsidR="00877F4C">
        <w:t>Es habe sich</w:t>
      </w:r>
      <w:r>
        <w:t xml:space="preserve"> gezeigt, </w:t>
      </w:r>
      <w:r w:rsidR="00AD4073">
        <w:t>„</w:t>
      </w:r>
      <w:r>
        <w:t>dass derart komplexe Aufgaben wie die Transformation der Innenstädte mit einer Vielzahl an beteiligten Akteursgruppen, die häufig unterschiedliche Interessen verfol</w:t>
      </w:r>
      <w:r w:rsidR="00BC422B">
        <w:t>g</w:t>
      </w:r>
      <w:r>
        <w:t>en, kein Selbst</w:t>
      </w:r>
      <w:r w:rsidR="00BC422B">
        <w:t>läufer</w:t>
      </w:r>
      <w:r w:rsidR="00AD4073">
        <w:t xml:space="preserve"> </w:t>
      </w:r>
      <w:r>
        <w:t>sind</w:t>
      </w:r>
      <w:r w:rsidR="00AD4073">
        <w:t>“.</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7809AC33" w:rsidR="002F12C0" w:rsidRPr="003C5414" w:rsidRDefault="002F12C0" w:rsidP="003C5414">
      <w:pPr>
        <w:pStyle w:val="StandardWeb"/>
        <w:tabs>
          <w:tab w:val="left" w:pos="2948"/>
        </w:tabs>
        <w:spacing w:before="0" w:beforeAutospacing="0" w:after="0" w:afterAutospacing="0"/>
        <w:jc w:val="both"/>
        <w:textAlignment w:val="baseline"/>
      </w:pP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w:t>
      </w:r>
      <w:r w:rsidR="00A36F97">
        <w:rPr>
          <w:rFonts w:ascii="Arial" w:hAnsi="Arial" w:cs="Arial"/>
          <w:bCs/>
          <w:sz w:val="18"/>
          <w:szCs w:val="18"/>
        </w:rPr>
        <w:t xml:space="preserve"> </w:t>
      </w:r>
      <w:r w:rsidR="005F60A4" w:rsidRPr="005F60A4">
        <w:rPr>
          <w:rFonts w:ascii="Arial" w:hAnsi="Arial" w:cs="Arial"/>
          <w:bCs/>
          <w:sz w:val="18"/>
          <w:szCs w:val="18"/>
        </w:rPr>
        <w:t xml:space="preserve">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33171D8D"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3" w:history="1">
        <w:r w:rsidRPr="00D543C7">
          <w:rPr>
            <w:rStyle w:val="Hyperlink"/>
            <w:sz w:val="18"/>
            <w:szCs w:val="20"/>
          </w:rPr>
          <w:t>presse@zia-deutschland.de</w:t>
        </w:r>
      </w:hyperlink>
      <w:r w:rsidR="00A36F97">
        <w:rPr>
          <w:color w:val="000000" w:themeColor="text1"/>
          <w:sz w:val="18"/>
          <w:szCs w:val="20"/>
        </w:rPr>
        <w:t xml:space="preserve"> </w:t>
      </w:r>
      <w:r w:rsidRPr="00D543C7">
        <w:rPr>
          <w:sz w:val="18"/>
          <w:szCs w:val="20"/>
        </w:rPr>
        <w:t xml:space="preserve">Internet: </w:t>
      </w:r>
      <w:hyperlink r:id="rId14">
        <w:r w:rsidRPr="00D543C7">
          <w:rPr>
            <w:color w:val="0000FF"/>
            <w:sz w:val="18"/>
            <w:szCs w:val="20"/>
            <w:u w:val="single" w:color="0000FF"/>
          </w:rPr>
          <w:t>www.zia</w:t>
        </w:r>
      </w:hyperlink>
      <w:hyperlink r:id="rId15">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B5110C">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F5573"/>
    <w:multiLevelType w:val="hybridMultilevel"/>
    <w:tmpl w:val="C3DA3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4"/>
  </w:num>
  <w:num w:numId="2" w16cid:durableId="415590738">
    <w:abstractNumId w:val="18"/>
  </w:num>
  <w:num w:numId="3" w16cid:durableId="2146122325">
    <w:abstractNumId w:val="11"/>
  </w:num>
  <w:num w:numId="4" w16cid:durableId="1461071620">
    <w:abstractNumId w:val="3"/>
  </w:num>
  <w:num w:numId="5" w16cid:durableId="1009916385">
    <w:abstractNumId w:val="8"/>
  </w:num>
  <w:num w:numId="6" w16cid:durableId="1624002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6"/>
  </w:num>
  <w:num w:numId="8" w16cid:durableId="24525621">
    <w:abstractNumId w:val="9"/>
  </w:num>
  <w:num w:numId="9" w16cid:durableId="594750438">
    <w:abstractNumId w:val="22"/>
  </w:num>
  <w:num w:numId="10" w16cid:durableId="65539674">
    <w:abstractNumId w:val="19"/>
  </w:num>
  <w:num w:numId="11" w16cid:durableId="862132865">
    <w:abstractNumId w:val="4"/>
  </w:num>
  <w:num w:numId="12" w16cid:durableId="122576113">
    <w:abstractNumId w:val="2"/>
  </w:num>
  <w:num w:numId="13" w16cid:durableId="570583070">
    <w:abstractNumId w:val="17"/>
  </w:num>
  <w:num w:numId="14" w16cid:durableId="1814521895">
    <w:abstractNumId w:val="6"/>
  </w:num>
  <w:num w:numId="15" w16cid:durableId="51975277">
    <w:abstractNumId w:val="7"/>
  </w:num>
  <w:num w:numId="16" w16cid:durableId="332268063">
    <w:abstractNumId w:val="21"/>
  </w:num>
  <w:num w:numId="17" w16cid:durableId="2051494276">
    <w:abstractNumId w:val="10"/>
  </w:num>
  <w:num w:numId="18" w16cid:durableId="1761372059">
    <w:abstractNumId w:val="20"/>
  </w:num>
  <w:num w:numId="19" w16cid:durableId="435254258">
    <w:abstractNumId w:val="5"/>
  </w:num>
  <w:num w:numId="20" w16cid:durableId="1055474343">
    <w:abstractNumId w:val="12"/>
  </w:num>
  <w:num w:numId="21" w16cid:durableId="563025213">
    <w:abstractNumId w:val="13"/>
  </w:num>
  <w:num w:numId="22" w16cid:durableId="1338849526">
    <w:abstractNumId w:val="0"/>
  </w:num>
  <w:num w:numId="23" w16cid:durableId="878787763">
    <w:abstractNumId w:val="15"/>
  </w:num>
  <w:num w:numId="24" w16cid:durableId="202324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1244D"/>
    <w:rsid w:val="00022E29"/>
    <w:rsid w:val="00023E2F"/>
    <w:rsid w:val="0002440F"/>
    <w:rsid w:val="0002451D"/>
    <w:rsid w:val="000248A5"/>
    <w:rsid w:val="00030D62"/>
    <w:rsid w:val="000317F1"/>
    <w:rsid w:val="00033465"/>
    <w:rsid w:val="00033842"/>
    <w:rsid w:val="0003626A"/>
    <w:rsid w:val="0004045E"/>
    <w:rsid w:val="00041037"/>
    <w:rsid w:val="000418D4"/>
    <w:rsid w:val="0004243A"/>
    <w:rsid w:val="00045DA2"/>
    <w:rsid w:val="000465AE"/>
    <w:rsid w:val="000506BE"/>
    <w:rsid w:val="000523B9"/>
    <w:rsid w:val="000530CB"/>
    <w:rsid w:val="00053967"/>
    <w:rsid w:val="000604AA"/>
    <w:rsid w:val="00061224"/>
    <w:rsid w:val="000613EB"/>
    <w:rsid w:val="000660C7"/>
    <w:rsid w:val="00067FD0"/>
    <w:rsid w:val="00071F26"/>
    <w:rsid w:val="000769BE"/>
    <w:rsid w:val="0007782E"/>
    <w:rsid w:val="00082A2B"/>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D0503"/>
    <w:rsid w:val="000D068B"/>
    <w:rsid w:val="000D1292"/>
    <w:rsid w:val="000D1601"/>
    <w:rsid w:val="000D51BD"/>
    <w:rsid w:val="000D5FE7"/>
    <w:rsid w:val="000D7E65"/>
    <w:rsid w:val="000E0505"/>
    <w:rsid w:val="000E2759"/>
    <w:rsid w:val="000E2CC8"/>
    <w:rsid w:val="000E33AF"/>
    <w:rsid w:val="000E468C"/>
    <w:rsid w:val="000E4935"/>
    <w:rsid w:val="000E5C95"/>
    <w:rsid w:val="000F1945"/>
    <w:rsid w:val="000F30A4"/>
    <w:rsid w:val="000F30AE"/>
    <w:rsid w:val="000F4898"/>
    <w:rsid w:val="000F506B"/>
    <w:rsid w:val="000F5FF8"/>
    <w:rsid w:val="00101AB6"/>
    <w:rsid w:val="00102EFC"/>
    <w:rsid w:val="001050EB"/>
    <w:rsid w:val="001056FE"/>
    <w:rsid w:val="001109DA"/>
    <w:rsid w:val="00111D9F"/>
    <w:rsid w:val="00113A6C"/>
    <w:rsid w:val="00114951"/>
    <w:rsid w:val="00115AD5"/>
    <w:rsid w:val="001179F9"/>
    <w:rsid w:val="00121927"/>
    <w:rsid w:val="0012316F"/>
    <w:rsid w:val="00123675"/>
    <w:rsid w:val="00125CC4"/>
    <w:rsid w:val="00126AAC"/>
    <w:rsid w:val="001270E2"/>
    <w:rsid w:val="00127D17"/>
    <w:rsid w:val="00130F22"/>
    <w:rsid w:val="00131345"/>
    <w:rsid w:val="001316BA"/>
    <w:rsid w:val="00131F48"/>
    <w:rsid w:val="00135771"/>
    <w:rsid w:val="00135C38"/>
    <w:rsid w:val="00136B1F"/>
    <w:rsid w:val="00137641"/>
    <w:rsid w:val="001415AC"/>
    <w:rsid w:val="00142ABE"/>
    <w:rsid w:val="00150470"/>
    <w:rsid w:val="00151E60"/>
    <w:rsid w:val="00152B87"/>
    <w:rsid w:val="00153B3F"/>
    <w:rsid w:val="00155B20"/>
    <w:rsid w:val="001573E2"/>
    <w:rsid w:val="00157A6F"/>
    <w:rsid w:val="001606B4"/>
    <w:rsid w:val="001678C1"/>
    <w:rsid w:val="00170388"/>
    <w:rsid w:val="00172683"/>
    <w:rsid w:val="001726C7"/>
    <w:rsid w:val="001751CE"/>
    <w:rsid w:val="00175336"/>
    <w:rsid w:val="001758E7"/>
    <w:rsid w:val="0017754D"/>
    <w:rsid w:val="00181D06"/>
    <w:rsid w:val="00182AE1"/>
    <w:rsid w:val="00183801"/>
    <w:rsid w:val="001950EE"/>
    <w:rsid w:val="00195382"/>
    <w:rsid w:val="001954E7"/>
    <w:rsid w:val="00195CC9"/>
    <w:rsid w:val="001967F7"/>
    <w:rsid w:val="00196B02"/>
    <w:rsid w:val="00196D0F"/>
    <w:rsid w:val="001A2845"/>
    <w:rsid w:val="001A4EEE"/>
    <w:rsid w:val="001A7E31"/>
    <w:rsid w:val="001B0B4C"/>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3E6A"/>
    <w:rsid w:val="001D45DD"/>
    <w:rsid w:val="001D57E6"/>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2136B"/>
    <w:rsid w:val="00223280"/>
    <w:rsid w:val="00224E35"/>
    <w:rsid w:val="00225570"/>
    <w:rsid w:val="00225AB0"/>
    <w:rsid w:val="00226CFD"/>
    <w:rsid w:val="002318FF"/>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57A21"/>
    <w:rsid w:val="00265595"/>
    <w:rsid w:val="00266578"/>
    <w:rsid w:val="0027149D"/>
    <w:rsid w:val="00275EF4"/>
    <w:rsid w:val="002778E8"/>
    <w:rsid w:val="002801B9"/>
    <w:rsid w:val="0028091B"/>
    <w:rsid w:val="00280E74"/>
    <w:rsid w:val="00282EA2"/>
    <w:rsid w:val="00286D9B"/>
    <w:rsid w:val="00287D1F"/>
    <w:rsid w:val="00292F50"/>
    <w:rsid w:val="002951A2"/>
    <w:rsid w:val="002960B1"/>
    <w:rsid w:val="00296A50"/>
    <w:rsid w:val="00296FB8"/>
    <w:rsid w:val="00297BAF"/>
    <w:rsid w:val="002A18CF"/>
    <w:rsid w:val="002A3B9C"/>
    <w:rsid w:val="002A3BDA"/>
    <w:rsid w:val="002A4286"/>
    <w:rsid w:val="002A5D5C"/>
    <w:rsid w:val="002B3107"/>
    <w:rsid w:val="002B64C6"/>
    <w:rsid w:val="002C0544"/>
    <w:rsid w:val="002C4B57"/>
    <w:rsid w:val="002C648A"/>
    <w:rsid w:val="002D0679"/>
    <w:rsid w:val="002D143A"/>
    <w:rsid w:val="002D1FED"/>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1EB0"/>
    <w:rsid w:val="00364767"/>
    <w:rsid w:val="00365B77"/>
    <w:rsid w:val="00366160"/>
    <w:rsid w:val="00366AC1"/>
    <w:rsid w:val="00370D4B"/>
    <w:rsid w:val="003712C3"/>
    <w:rsid w:val="0037305B"/>
    <w:rsid w:val="00373F65"/>
    <w:rsid w:val="00375CF7"/>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914"/>
    <w:rsid w:val="003D4062"/>
    <w:rsid w:val="003D44A9"/>
    <w:rsid w:val="003D44CC"/>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8E5"/>
    <w:rsid w:val="00442953"/>
    <w:rsid w:val="00442D77"/>
    <w:rsid w:val="00443C4B"/>
    <w:rsid w:val="00443EE0"/>
    <w:rsid w:val="004446D7"/>
    <w:rsid w:val="004453BC"/>
    <w:rsid w:val="0044552E"/>
    <w:rsid w:val="00447BFF"/>
    <w:rsid w:val="00451312"/>
    <w:rsid w:val="004516B0"/>
    <w:rsid w:val="004519DA"/>
    <w:rsid w:val="004534FB"/>
    <w:rsid w:val="004567C9"/>
    <w:rsid w:val="00456EC0"/>
    <w:rsid w:val="00456FDB"/>
    <w:rsid w:val="0046135D"/>
    <w:rsid w:val="004623F1"/>
    <w:rsid w:val="00462779"/>
    <w:rsid w:val="00466373"/>
    <w:rsid w:val="00470353"/>
    <w:rsid w:val="0047069C"/>
    <w:rsid w:val="0047284C"/>
    <w:rsid w:val="0047358C"/>
    <w:rsid w:val="00473B3F"/>
    <w:rsid w:val="004743C3"/>
    <w:rsid w:val="004774E4"/>
    <w:rsid w:val="00482BB1"/>
    <w:rsid w:val="00485381"/>
    <w:rsid w:val="00486B60"/>
    <w:rsid w:val="00486DE6"/>
    <w:rsid w:val="004878C5"/>
    <w:rsid w:val="00487A71"/>
    <w:rsid w:val="004910BD"/>
    <w:rsid w:val="00491F6C"/>
    <w:rsid w:val="00491F7B"/>
    <w:rsid w:val="00492B9B"/>
    <w:rsid w:val="00492EA8"/>
    <w:rsid w:val="004957B3"/>
    <w:rsid w:val="00496CEB"/>
    <w:rsid w:val="004979C3"/>
    <w:rsid w:val="004A2CBB"/>
    <w:rsid w:val="004A3E97"/>
    <w:rsid w:val="004A49C1"/>
    <w:rsid w:val="004A7310"/>
    <w:rsid w:val="004B35C8"/>
    <w:rsid w:val="004B3F69"/>
    <w:rsid w:val="004B4BC7"/>
    <w:rsid w:val="004B7294"/>
    <w:rsid w:val="004C12D8"/>
    <w:rsid w:val="004C51C3"/>
    <w:rsid w:val="004D16F0"/>
    <w:rsid w:val="004D4D2C"/>
    <w:rsid w:val="004D4ED2"/>
    <w:rsid w:val="004D5C89"/>
    <w:rsid w:val="004D5CE0"/>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206"/>
    <w:rsid w:val="00517A38"/>
    <w:rsid w:val="00520F10"/>
    <w:rsid w:val="0052346F"/>
    <w:rsid w:val="0053015E"/>
    <w:rsid w:val="00532907"/>
    <w:rsid w:val="0053445E"/>
    <w:rsid w:val="00535A79"/>
    <w:rsid w:val="00535F75"/>
    <w:rsid w:val="00536FFE"/>
    <w:rsid w:val="00542DEF"/>
    <w:rsid w:val="00543AE1"/>
    <w:rsid w:val="0054423C"/>
    <w:rsid w:val="005477BE"/>
    <w:rsid w:val="00550553"/>
    <w:rsid w:val="00551120"/>
    <w:rsid w:val="00553358"/>
    <w:rsid w:val="005541E7"/>
    <w:rsid w:val="00554B10"/>
    <w:rsid w:val="00554BDD"/>
    <w:rsid w:val="005568EB"/>
    <w:rsid w:val="0056093B"/>
    <w:rsid w:val="0056345A"/>
    <w:rsid w:val="00563485"/>
    <w:rsid w:val="00563B21"/>
    <w:rsid w:val="005655E1"/>
    <w:rsid w:val="0057296C"/>
    <w:rsid w:val="00573119"/>
    <w:rsid w:val="00573CB0"/>
    <w:rsid w:val="00575CAE"/>
    <w:rsid w:val="00580055"/>
    <w:rsid w:val="00581A33"/>
    <w:rsid w:val="00582506"/>
    <w:rsid w:val="005840DF"/>
    <w:rsid w:val="00585110"/>
    <w:rsid w:val="00586D6B"/>
    <w:rsid w:val="0059000C"/>
    <w:rsid w:val="005917FD"/>
    <w:rsid w:val="00592E02"/>
    <w:rsid w:val="0059525A"/>
    <w:rsid w:val="00596574"/>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42DC"/>
    <w:rsid w:val="005E55AB"/>
    <w:rsid w:val="005E7D56"/>
    <w:rsid w:val="005F179B"/>
    <w:rsid w:val="005F1FB9"/>
    <w:rsid w:val="005F26CC"/>
    <w:rsid w:val="005F31C6"/>
    <w:rsid w:val="005F4A9B"/>
    <w:rsid w:val="005F60A4"/>
    <w:rsid w:val="006023DA"/>
    <w:rsid w:val="00602B88"/>
    <w:rsid w:val="00603FD4"/>
    <w:rsid w:val="00604678"/>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51AF"/>
    <w:rsid w:val="00635D2B"/>
    <w:rsid w:val="0063667F"/>
    <w:rsid w:val="0063683E"/>
    <w:rsid w:val="006371C2"/>
    <w:rsid w:val="00642DFC"/>
    <w:rsid w:val="00644B4C"/>
    <w:rsid w:val="00645127"/>
    <w:rsid w:val="00645B5F"/>
    <w:rsid w:val="00646717"/>
    <w:rsid w:val="00647EB2"/>
    <w:rsid w:val="006509E5"/>
    <w:rsid w:val="006518BB"/>
    <w:rsid w:val="0065311B"/>
    <w:rsid w:val="0066135E"/>
    <w:rsid w:val="0066376B"/>
    <w:rsid w:val="00664D47"/>
    <w:rsid w:val="00665598"/>
    <w:rsid w:val="00665737"/>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3144"/>
    <w:rsid w:val="006B4C3D"/>
    <w:rsid w:val="006C3775"/>
    <w:rsid w:val="006C3CAB"/>
    <w:rsid w:val="006C476A"/>
    <w:rsid w:val="006C6101"/>
    <w:rsid w:val="006C646B"/>
    <w:rsid w:val="006C7EBB"/>
    <w:rsid w:val="006D2488"/>
    <w:rsid w:val="006D29B2"/>
    <w:rsid w:val="006D3508"/>
    <w:rsid w:val="006D5C5E"/>
    <w:rsid w:val="006E03FF"/>
    <w:rsid w:val="006E2FF1"/>
    <w:rsid w:val="006E4655"/>
    <w:rsid w:val="006E59F9"/>
    <w:rsid w:val="006E5D97"/>
    <w:rsid w:val="006E6665"/>
    <w:rsid w:val="006E6D2D"/>
    <w:rsid w:val="006F2CF2"/>
    <w:rsid w:val="006F33E4"/>
    <w:rsid w:val="006F38D3"/>
    <w:rsid w:val="006F729C"/>
    <w:rsid w:val="006F7471"/>
    <w:rsid w:val="007000DA"/>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5D27"/>
    <w:rsid w:val="007A1574"/>
    <w:rsid w:val="007A1B65"/>
    <w:rsid w:val="007A294C"/>
    <w:rsid w:val="007A3090"/>
    <w:rsid w:val="007A5B22"/>
    <w:rsid w:val="007A5DCD"/>
    <w:rsid w:val="007B4094"/>
    <w:rsid w:val="007B6371"/>
    <w:rsid w:val="007C1BE2"/>
    <w:rsid w:val="007C234F"/>
    <w:rsid w:val="007C2B95"/>
    <w:rsid w:val="007C4204"/>
    <w:rsid w:val="007C5234"/>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33C71"/>
    <w:rsid w:val="00834C2F"/>
    <w:rsid w:val="008357E4"/>
    <w:rsid w:val="00842586"/>
    <w:rsid w:val="008436AE"/>
    <w:rsid w:val="00845C6A"/>
    <w:rsid w:val="008472FD"/>
    <w:rsid w:val="0084795C"/>
    <w:rsid w:val="0085493B"/>
    <w:rsid w:val="00854C09"/>
    <w:rsid w:val="00854D7D"/>
    <w:rsid w:val="00857239"/>
    <w:rsid w:val="008604BE"/>
    <w:rsid w:val="0086101E"/>
    <w:rsid w:val="00861B56"/>
    <w:rsid w:val="008627A5"/>
    <w:rsid w:val="00864E7D"/>
    <w:rsid w:val="00870731"/>
    <w:rsid w:val="00870E4C"/>
    <w:rsid w:val="00870EDB"/>
    <w:rsid w:val="008716DF"/>
    <w:rsid w:val="00871F71"/>
    <w:rsid w:val="00874E9F"/>
    <w:rsid w:val="00875CF4"/>
    <w:rsid w:val="00877F4C"/>
    <w:rsid w:val="008825F4"/>
    <w:rsid w:val="00886FA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6AAA"/>
    <w:rsid w:val="008D00C7"/>
    <w:rsid w:val="008D027A"/>
    <w:rsid w:val="008D0B00"/>
    <w:rsid w:val="008D18A3"/>
    <w:rsid w:val="008D2174"/>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30A28"/>
    <w:rsid w:val="00931DA1"/>
    <w:rsid w:val="00932860"/>
    <w:rsid w:val="00932A8C"/>
    <w:rsid w:val="0093357C"/>
    <w:rsid w:val="0093421B"/>
    <w:rsid w:val="00934251"/>
    <w:rsid w:val="009355A8"/>
    <w:rsid w:val="009432A5"/>
    <w:rsid w:val="00943C9B"/>
    <w:rsid w:val="00944689"/>
    <w:rsid w:val="00951666"/>
    <w:rsid w:val="00951E67"/>
    <w:rsid w:val="00952299"/>
    <w:rsid w:val="009553BA"/>
    <w:rsid w:val="00956A52"/>
    <w:rsid w:val="009576A2"/>
    <w:rsid w:val="00961390"/>
    <w:rsid w:val="00962789"/>
    <w:rsid w:val="009629CD"/>
    <w:rsid w:val="00962ABE"/>
    <w:rsid w:val="009729F8"/>
    <w:rsid w:val="00974619"/>
    <w:rsid w:val="00974A38"/>
    <w:rsid w:val="00981504"/>
    <w:rsid w:val="009816D2"/>
    <w:rsid w:val="009817A7"/>
    <w:rsid w:val="00982C3D"/>
    <w:rsid w:val="00982CB4"/>
    <w:rsid w:val="00982DDA"/>
    <w:rsid w:val="009856B7"/>
    <w:rsid w:val="009864EC"/>
    <w:rsid w:val="00987D0E"/>
    <w:rsid w:val="00990830"/>
    <w:rsid w:val="00990C0A"/>
    <w:rsid w:val="00993C82"/>
    <w:rsid w:val="00996162"/>
    <w:rsid w:val="0099675C"/>
    <w:rsid w:val="00996E51"/>
    <w:rsid w:val="009A286A"/>
    <w:rsid w:val="009B09DC"/>
    <w:rsid w:val="009B18D4"/>
    <w:rsid w:val="009B2CE8"/>
    <w:rsid w:val="009B40BE"/>
    <w:rsid w:val="009C084B"/>
    <w:rsid w:val="009C1A48"/>
    <w:rsid w:val="009C1D3E"/>
    <w:rsid w:val="009C3F67"/>
    <w:rsid w:val="009C6A65"/>
    <w:rsid w:val="009C6EC4"/>
    <w:rsid w:val="009D03D8"/>
    <w:rsid w:val="009D2412"/>
    <w:rsid w:val="009D6DE3"/>
    <w:rsid w:val="009E01E2"/>
    <w:rsid w:val="009E30A5"/>
    <w:rsid w:val="009E6EB0"/>
    <w:rsid w:val="009F5008"/>
    <w:rsid w:val="009F6270"/>
    <w:rsid w:val="00A00993"/>
    <w:rsid w:val="00A03700"/>
    <w:rsid w:val="00A037BD"/>
    <w:rsid w:val="00A07477"/>
    <w:rsid w:val="00A07D80"/>
    <w:rsid w:val="00A12D1E"/>
    <w:rsid w:val="00A17E5D"/>
    <w:rsid w:val="00A2101A"/>
    <w:rsid w:val="00A23A97"/>
    <w:rsid w:val="00A23D7F"/>
    <w:rsid w:val="00A25D5D"/>
    <w:rsid w:val="00A25EF3"/>
    <w:rsid w:val="00A2799A"/>
    <w:rsid w:val="00A302DC"/>
    <w:rsid w:val="00A346CC"/>
    <w:rsid w:val="00A36F97"/>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FC7"/>
    <w:rsid w:val="00A93D8E"/>
    <w:rsid w:val="00A94885"/>
    <w:rsid w:val="00A96114"/>
    <w:rsid w:val="00A96C31"/>
    <w:rsid w:val="00AA0129"/>
    <w:rsid w:val="00AA106E"/>
    <w:rsid w:val="00AA3E72"/>
    <w:rsid w:val="00AA4287"/>
    <w:rsid w:val="00AA4B4E"/>
    <w:rsid w:val="00AA577B"/>
    <w:rsid w:val="00AA6239"/>
    <w:rsid w:val="00AB0235"/>
    <w:rsid w:val="00AB2E66"/>
    <w:rsid w:val="00AB5431"/>
    <w:rsid w:val="00AC1E48"/>
    <w:rsid w:val="00AC3CC0"/>
    <w:rsid w:val="00AD20CB"/>
    <w:rsid w:val="00AD248B"/>
    <w:rsid w:val="00AD4073"/>
    <w:rsid w:val="00AD68A3"/>
    <w:rsid w:val="00AE01BE"/>
    <w:rsid w:val="00AE038C"/>
    <w:rsid w:val="00AE063F"/>
    <w:rsid w:val="00AE0937"/>
    <w:rsid w:val="00AE1209"/>
    <w:rsid w:val="00AE163E"/>
    <w:rsid w:val="00AE2C1A"/>
    <w:rsid w:val="00AE40FF"/>
    <w:rsid w:val="00AE4A58"/>
    <w:rsid w:val="00AE6B90"/>
    <w:rsid w:val="00AE7D23"/>
    <w:rsid w:val="00AF1CD2"/>
    <w:rsid w:val="00AF1F6C"/>
    <w:rsid w:val="00AF2D76"/>
    <w:rsid w:val="00AF5898"/>
    <w:rsid w:val="00AF6BAE"/>
    <w:rsid w:val="00B02299"/>
    <w:rsid w:val="00B0349E"/>
    <w:rsid w:val="00B05897"/>
    <w:rsid w:val="00B0755F"/>
    <w:rsid w:val="00B0791B"/>
    <w:rsid w:val="00B145C9"/>
    <w:rsid w:val="00B147EA"/>
    <w:rsid w:val="00B15D79"/>
    <w:rsid w:val="00B22EA2"/>
    <w:rsid w:val="00B30EB2"/>
    <w:rsid w:val="00B35CB7"/>
    <w:rsid w:val="00B36575"/>
    <w:rsid w:val="00B44814"/>
    <w:rsid w:val="00B46BF5"/>
    <w:rsid w:val="00B46CAC"/>
    <w:rsid w:val="00B472E6"/>
    <w:rsid w:val="00B47425"/>
    <w:rsid w:val="00B47AD0"/>
    <w:rsid w:val="00B5110C"/>
    <w:rsid w:val="00B5178B"/>
    <w:rsid w:val="00B521C3"/>
    <w:rsid w:val="00B52574"/>
    <w:rsid w:val="00B54623"/>
    <w:rsid w:val="00B54E96"/>
    <w:rsid w:val="00B54F45"/>
    <w:rsid w:val="00B6259E"/>
    <w:rsid w:val="00B62B22"/>
    <w:rsid w:val="00B635EC"/>
    <w:rsid w:val="00B66415"/>
    <w:rsid w:val="00B66B01"/>
    <w:rsid w:val="00B724D3"/>
    <w:rsid w:val="00B73452"/>
    <w:rsid w:val="00B7406D"/>
    <w:rsid w:val="00B7436B"/>
    <w:rsid w:val="00B74431"/>
    <w:rsid w:val="00B74C15"/>
    <w:rsid w:val="00B7538E"/>
    <w:rsid w:val="00B76823"/>
    <w:rsid w:val="00B76A54"/>
    <w:rsid w:val="00B82623"/>
    <w:rsid w:val="00B83310"/>
    <w:rsid w:val="00B84FE7"/>
    <w:rsid w:val="00B876FB"/>
    <w:rsid w:val="00B91E78"/>
    <w:rsid w:val="00B942C5"/>
    <w:rsid w:val="00B96F6D"/>
    <w:rsid w:val="00BA0F0F"/>
    <w:rsid w:val="00BA18CC"/>
    <w:rsid w:val="00BA2ED0"/>
    <w:rsid w:val="00BA5D3B"/>
    <w:rsid w:val="00BA6499"/>
    <w:rsid w:val="00BA7014"/>
    <w:rsid w:val="00BA7792"/>
    <w:rsid w:val="00BB0DD8"/>
    <w:rsid w:val="00BB101D"/>
    <w:rsid w:val="00BB183E"/>
    <w:rsid w:val="00BB2F0C"/>
    <w:rsid w:val="00BB3A00"/>
    <w:rsid w:val="00BB3C7F"/>
    <w:rsid w:val="00BB5368"/>
    <w:rsid w:val="00BB5F1F"/>
    <w:rsid w:val="00BB66A3"/>
    <w:rsid w:val="00BB7DD0"/>
    <w:rsid w:val="00BC0358"/>
    <w:rsid w:val="00BC0BB5"/>
    <w:rsid w:val="00BC197D"/>
    <w:rsid w:val="00BC368F"/>
    <w:rsid w:val="00BC422B"/>
    <w:rsid w:val="00BC4264"/>
    <w:rsid w:val="00BC4CA4"/>
    <w:rsid w:val="00BC50A3"/>
    <w:rsid w:val="00BC6109"/>
    <w:rsid w:val="00BD4D1C"/>
    <w:rsid w:val="00BE0C87"/>
    <w:rsid w:val="00BE2492"/>
    <w:rsid w:val="00BE46B0"/>
    <w:rsid w:val="00BE5E77"/>
    <w:rsid w:val="00BE65A0"/>
    <w:rsid w:val="00BE7943"/>
    <w:rsid w:val="00BE7B8E"/>
    <w:rsid w:val="00BF4476"/>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30DDA"/>
    <w:rsid w:val="00C40DE7"/>
    <w:rsid w:val="00C4172D"/>
    <w:rsid w:val="00C41EB7"/>
    <w:rsid w:val="00C45E5A"/>
    <w:rsid w:val="00C46AF0"/>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5E65"/>
    <w:rsid w:val="00CF19A5"/>
    <w:rsid w:val="00CF2DB2"/>
    <w:rsid w:val="00CF5BDC"/>
    <w:rsid w:val="00CF604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136"/>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3C7C"/>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92D09"/>
    <w:rsid w:val="00DA1221"/>
    <w:rsid w:val="00DA1CDF"/>
    <w:rsid w:val="00DA4E5C"/>
    <w:rsid w:val="00DB216A"/>
    <w:rsid w:val="00DB2BBC"/>
    <w:rsid w:val="00DB44FC"/>
    <w:rsid w:val="00DB5025"/>
    <w:rsid w:val="00DB7664"/>
    <w:rsid w:val="00DC1734"/>
    <w:rsid w:val="00DC4149"/>
    <w:rsid w:val="00DC4F9B"/>
    <w:rsid w:val="00DC6E1B"/>
    <w:rsid w:val="00DC7468"/>
    <w:rsid w:val="00DD0ED4"/>
    <w:rsid w:val="00DD1621"/>
    <w:rsid w:val="00DD3167"/>
    <w:rsid w:val="00DD541E"/>
    <w:rsid w:val="00DD68A7"/>
    <w:rsid w:val="00DD77E5"/>
    <w:rsid w:val="00DD7A36"/>
    <w:rsid w:val="00DD7FAE"/>
    <w:rsid w:val="00DE2618"/>
    <w:rsid w:val="00DE3EB2"/>
    <w:rsid w:val="00DF49E6"/>
    <w:rsid w:val="00E027C2"/>
    <w:rsid w:val="00E0326E"/>
    <w:rsid w:val="00E03D2D"/>
    <w:rsid w:val="00E044E1"/>
    <w:rsid w:val="00E04AFC"/>
    <w:rsid w:val="00E04EE8"/>
    <w:rsid w:val="00E11F6C"/>
    <w:rsid w:val="00E12304"/>
    <w:rsid w:val="00E12747"/>
    <w:rsid w:val="00E15CA4"/>
    <w:rsid w:val="00E15FE9"/>
    <w:rsid w:val="00E160F0"/>
    <w:rsid w:val="00E20585"/>
    <w:rsid w:val="00E234A6"/>
    <w:rsid w:val="00E26682"/>
    <w:rsid w:val="00E30190"/>
    <w:rsid w:val="00E31494"/>
    <w:rsid w:val="00E36FC3"/>
    <w:rsid w:val="00E414CB"/>
    <w:rsid w:val="00E44CD2"/>
    <w:rsid w:val="00E450B7"/>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41E7"/>
    <w:rsid w:val="00E955DD"/>
    <w:rsid w:val="00E95BFF"/>
    <w:rsid w:val="00EA1997"/>
    <w:rsid w:val="00EA1D44"/>
    <w:rsid w:val="00EA4283"/>
    <w:rsid w:val="00EA61B2"/>
    <w:rsid w:val="00EA6FE8"/>
    <w:rsid w:val="00EB0BC2"/>
    <w:rsid w:val="00EB4562"/>
    <w:rsid w:val="00EB4928"/>
    <w:rsid w:val="00EB5047"/>
    <w:rsid w:val="00EB5E75"/>
    <w:rsid w:val="00EC0846"/>
    <w:rsid w:val="00ED0397"/>
    <w:rsid w:val="00ED4607"/>
    <w:rsid w:val="00ED4CDF"/>
    <w:rsid w:val="00ED540E"/>
    <w:rsid w:val="00ED54E4"/>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10973"/>
    <w:rsid w:val="00F113CC"/>
    <w:rsid w:val="00F122B9"/>
    <w:rsid w:val="00F1353A"/>
    <w:rsid w:val="00F1417C"/>
    <w:rsid w:val="00F15008"/>
    <w:rsid w:val="00F17F8E"/>
    <w:rsid w:val="00F20681"/>
    <w:rsid w:val="00F212FC"/>
    <w:rsid w:val="00F2399F"/>
    <w:rsid w:val="00F23D5A"/>
    <w:rsid w:val="00F2671C"/>
    <w:rsid w:val="00F313F4"/>
    <w:rsid w:val="00F319C0"/>
    <w:rsid w:val="00F35F14"/>
    <w:rsid w:val="00F41A74"/>
    <w:rsid w:val="00F42ABD"/>
    <w:rsid w:val="00F431A0"/>
    <w:rsid w:val="00F43549"/>
    <w:rsid w:val="00F43BBC"/>
    <w:rsid w:val="00F45488"/>
    <w:rsid w:val="00F462A2"/>
    <w:rsid w:val="00F4719B"/>
    <w:rsid w:val="00F477AB"/>
    <w:rsid w:val="00F561B5"/>
    <w:rsid w:val="00F601A9"/>
    <w:rsid w:val="00F64E91"/>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4FCF"/>
    <w:rsid w:val="00FB6440"/>
    <w:rsid w:val="00FC184D"/>
    <w:rsid w:val="00FC2522"/>
    <w:rsid w:val="00FC35DB"/>
    <w:rsid w:val="00FC5DCC"/>
    <w:rsid w:val="00FC7E8D"/>
    <w:rsid w:val="00FD00B2"/>
    <w:rsid w:val="00FD230D"/>
    <w:rsid w:val="00FD4385"/>
    <w:rsid w:val="00FD534B"/>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 w:type="character" w:styleId="NichtaufgelsteErwhnung">
    <w:name w:val="Unresolved Mention"/>
    <w:basedOn w:val="Absatz-Standardschriftart"/>
    <w:uiPriority w:val="99"/>
    <w:semiHidden/>
    <w:unhideWhenUsed/>
    <w:rsid w:val="00961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87191890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72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zia-deutschlan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ia-deutschland.de/wp-content/uploads/2024/02/Fruehjahrsgutachten-2024-kurz-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ia-deutschland.de/wp-content/uploads/2024/02/Fruehjahrsgutachten-2024-kurz.pdf" TargetMode="External"/><Relationship Id="rId5" Type="http://schemas.openxmlformats.org/officeDocument/2006/relationships/numbering" Target="numbering.xml"/><Relationship Id="rId15" Type="http://schemas.openxmlformats.org/officeDocument/2006/relationships/hyperlink" Target="http://www.zia-deutschland.de/" TargetMode="External"/><Relationship Id="rId10" Type="http://schemas.openxmlformats.org/officeDocument/2006/relationships/hyperlink" Target="https://zia-deutschland.de/wp-content/uploads/2024/02/fruehjahrsgutachten_2024.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zia-deutsch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16645</Characters>
  <Application>Microsoft Office Word</Application>
  <DocSecurity>0</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Svenja Keipert</cp:lastModifiedBy>
  <cp:revision>6</cp:revision>
  <cp:lastPrinted>2024-02-14T14:51:00Z</cp:lastPrinted>
  <dcterms:created xsi:type="dcterms:W3CDTF">2024-02-19T16:45:00Z</dcterms:created>
  <dcterms:modified xsi:type="dcterms:W3CDTF">2024-02-20T09:47:00Z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