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471E" w14:textId="77777777" w:rsidR="00FE3BF6" w:rsidRPr="00950078" w:rsidRDefault="007F1E5D" w:rsidP="00675A51">
      <w:pPr>
        <w:spacing w:after="0" w:line="259" w:lineRule="auto"/>
        <w:ind w:left="6351" w:right="0" w:firstLine="0"/>
      </w:pPr>
      <w:r w:rsidRPr="00950078">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Pr="00950078" w:rsidRDefault="007F1E5D" w:rsidP="00675A51">
      <w:pPr>
        <w:spacing w:after="105" w:line="259" w:lineRule="auto"/>
        <w:ind w:left="0" w:right="230" w:firstLine="0"/>
      </w:pPr>
      <w:r w:rsidRPr="00950078">
        <w:rPr>
          <w:b/>
          <w:sz w:val="22"/>
        </w:rPr>
        <w:t xml:space="preserve"> </w:t>
      </w:r>
    </w:p>
    <w:p w14:paraId="751109A9" w14:textId="4960A483" w:rsidR="00027913" w:rsidRDefault="00021DAC" w:rsidP="00675A51">
      <w:pPr>
        <w:spacing w:after="105" w:line="259" w:lineRule="auto"/>
        <w:ind w:left="0" w:right="0" w:firstLine="0"/>
        <w:rPr>
          <w:b/>
          <w:sz w:val="22"/>
        </w:rPr>
      </w:pPr>
      <w:bookmarkStart w:id="0" w:name="_Hlk81900176"/>
      <w:bookmarkStart w:id="1" w:name="_Hlk66208327"/>
      <w:bookmarkStart w:id="2" w:name="_Hlk64901521"/>
      <w:r w:rsidRPr="00950078">
        <w:rPr>
          <w:b/>
          <w:sz w:val="22"/>
        </w:rPr>
        <w:t>Pressemitteilung</w:t>
      </w:r>
    </w:p>
    <w:p w14:paraId="1B940D1C" w14:textId="69169865" w:rsidR="00AA677D" w:rsidRDefault="00AA677D" w:rsidP="00675A51">
      <w:pPr>
        <w:spacing w:after="105" w:line="259" w:lineRule="auto"/>
        <w:ind w:left="0" w:right="0" w:firstLine="0"/>
        <w:rPr>
          <w:b/>
          <w:sz w:val="22"/>
        </w:rPr>
      </w:pPr>
    </w:p>
    <w:p w14:paraId="22E14757" w14:textId="593EDEAE" w:rsidR="00A36093" w:rsidRDefault="00A36093" w:rsidP="00675A51">
      <w:pPr>
        <w:spacing w:after="105" w:line="259" w:lineRule="auto"/>
        <w:ind w:left="0" w:right="0" w:firstLine="0"/>
        <w:rPr>
          <w:b/>
          <w:sz w:val="22"/>
        </w:rPr>
      </w:pPr>
      <w:r>
        <w:rPr>
          <w:b/>
          <w:sz w:val="22"/>
        </w:rPr>
        <w:t>Reform des Energiewirtschaftsgesetzes (EnWG-Novelle)</w:t>
      </w:r>
    </w:p>
    <w:p w14:paraId="55508FB1" w14:textId="568534AA" w:rsidR="00A36093" w:rsidRDefault="00B85B9E" w:rsidP="00675A51">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r w:rsidRPr="00B85B9E">
        <w:rPr>
          <w:rFonts w:ascii="Arial" w:eastAsiaTheme="minorHAnsi" w:hAnsi="Arial" w:cs="Arial"/>
          <w:b/>
          <w:bCs/>
          <w:sz w:val="32"/>
          <w:szCs w:val="32"/>
        </w:rPr>
        <w:t xml:space="preserve">ZIA: </w:t>
      </w:r>
      <w:bookmarkStart w:id="3" w:name="_GoBack"/>
      <w:r w:rsidRPr="00B85B9E">
        <w:rPr>
          <w:rFonts w:ascii="Arial" w:eastAsiaTheme="minorHAnsi" w:hAnsi="Arial" w:cs="Arial"/>
          <w:b/>
          <w:bCs/>
          <w:sz w:val="32"/>
          <w:szCs w:val="32"/>
        </w:rPr>
        <w:t>Fokussierung auf Gebäudehülle schafft Probleme und löst sie nicht</w:t>
      </w:r>
    </w:p>
    <w:bookmarkEnd w:id="3"/>
    <w:p w14:paraId="4F423546" w14:textId="77777777" w:rsidR="00B85B9E" w:rsidRPr="00950078" w:rsidRDefault="00B85B9E" w:rsidP="00675A51">
      <w:pPr>
        <w:pStyle w:val="StandardWeb"/>
        <w:shd w:val="clear" w:color="auto" w:fill="FFFFFF"/>
        <w:spacing w:before="0" w:beforeAutospacing="0" w:after="0" w:afterAutospacing="0" w:line="360" w:lineRule="auto"/>
        <w:jc w:val="both"/>
        <w:textAlignment w:val="baseline"/>
        <w:rPr>
          <w:rFonts w:ascii="Arial" w:hAnsi="Arial" w:cs="Arial"/>
          <w:b/>
          <w:bCs/>
        </w:rPr>
      </w:pPr>
    </w:p>
    <w:p w14:paraId="597AB138" w14:textId="77777777" w:rsidR="00B85B9E" w:rsidRPr="00B85B9E" w:rsidRDefault="00BB20DD" w:rsidP="00675A51">
      <w:pPr>
        <w:shd w:val="clear" w:color="auto" w:fill="FFFFFF"/>
      </w:pPr>
      <w:r w:rsidRPr="00950078">
        <w:rPr>
          <w:b/>
          <w:bCs/>
        </w:rPr>
        <w:t>Berlin</w:t>
      </w:r>
      <w:r w:rsidR="004E060E" w:rsidRPr="00950078">
        <w:rPr>
          <w:b/>
          <w:bCs/>
        </w:rPr>
        <w:t xml:space="preserve">, </w:t>
      </w:r>
      <w:r w:rsidR="003803B5">
        <w:rPr>
          <w:b/>
          <w:bCs/>
        </w:rPr>
        <w:t>12</w:t>
      </w:r>
      <w:r w:rsidR="002F075C" w:rsidRPr="00950078">
        <w:rPr>
          <w:b/>
          <w:bCs/>
        </w:rPr>
        <w:t>.0</w:t>
      </w:r>
      <w:r w:rsidR="00C91270" w:rsidRPr="00950078">
        <w:rPr>
          <w:b/>
          <w:bCs/>
        </w:rPr>
        <w:t>5</w:t>
      </w:r>
      <w:r w:rsidR="00C53FF7" w:rsidRPr="00950078">
        <w:rPr>
          <w:b/>
          <w:bCs/>
        </w:rPr>
        <w:t>.2022</w:t>
      </w:r>
      <w:r w:rsidR="004E060E" w:rsidRPr="00950078">
        <w:t xml:space="preserve"> </w:t>
      </w:r>
      <w:r w:rsidR="00F14CDF" w:rsidRPr="00950078">
        <w:t>–</w:t>
      </w:r>
      <w:bookmarkEnd w:id="1"/>
      <w:bookmarkEnd w:id="2"/>
      <w:r w:rsidR="005B4D96" w:rsidRPr="00950078">
        <w:t xml:space="preserve"> </w:t>
      </w:r>
      <w:r w:rsidR="00B85B9E" w:rsidRPr="00B85B9E">
        <w:t xml:space="preserve">Der ZIA begrüßt grundsätzlich, dass </w:t>
      </w:r>
      <w:r w:rsidR="00B85B9E" w:rsidRPr="00993738">
        <w:rPr>
          <w:b/>
        </w:rPr>
        <w:t>die Bundesregierung das Gebäudeenergiegesetz modernisieren</w:t>
      </w:r>
      <w:r w:rsidR="00B85B9E" w:rsidRPr="00B85B9E">
        <w:t xml:space="preserve"> will. So bedarf beispielsweise das starre System der Referenzgebäude in Hinblick auf CO2 als künftig wichtige „Klima-Zielgröße“ einer Überarbeitung. </w:t>
      </w:r>
    </w:p>
    <w:p w14:paraId="52ED93F3" w14:textId="77777777" w:rsidR="00B85B9E" w:rsidRPr="00B85B9E" w:rsidRDefault="00B85B9E" w:rsidP="00675A51">
      <w:pPr>
        <w:shd w:val="clear" w:color="auto" w:fill="FFFFFF"/>
      </w:pPr>
      <w:r w:rsidRPr="00B85B9E">
        <w:t> </w:t>
      </w:r>
    </w:p>
    <w:p w14:paraId="7F51AC9D" w14:textId="200C4829" w:rsidR="00B85B9E" w:rsidRPr="00B85B9E" w:rsidRDefault="00B85B9E" w:rsidP="00675A51">
      <w:pPr>
        <w:shd w:val="clear" w:color="auto" w:fill="FFFFFF"/>
      </w:pPr>
      <w:r w:rsidRPr="00B85B9E">
        <w:t>Am gestrigen 11. Mai</w:t>
      </w:r>
      <w:r w:rsidR="00993738">
        <w:t xml:space="preserve"> 2022</w:t>
      </w:r>
      <w:r w:rsidRPr="00B85B9E">
        <w:t xml:space="preserve"> hat das Bundeskabinett kurzfristig eine Formulierungshilfe für die Ampel-Fraktionen</w:t>
      </w:r>
      <w:r w:rsidR="00993738">
        <w:t xml:space="preserve"> </w:t>
      </w:r>
      <w:r w:rsidRPr="00B85B9E">
        <w:t>zur</w:t>
      </w:r>
      <w:r w:rsidR="00C91361">
        <w:t xml:space="preserve"> </w:t>
      </w:r>
      <w:r w:rsidRPr="00993738">
        <w:rPr>
          <w:b/>
        </w:rPr>
        <w:t>laufenden Energiewirtschaftsgesetz (EnWG)-Novelle</w:t>
      </w:r>
      <w:r w:rsidR="00993738">
        <w:t xml:space="preserve"> </w:t>
      </w:r>
      <w:r w:rsidRPr="00B85B9E">
        <w:t xml:space="preserve">beschlossen. Diese sieht die Erhöhung des GEG-Standards auf EH 55 vor. Damit verschärfen sich die Anforderungen auch an die Gebäudehülle. </w:t>
      </w:r>
      <w:r w:rsidRPr="00C91361">
        <w:rPr>
          <w:b/>
        </w:rPr>
        <w:t>Der ZIA lehnt eine einseitige Fokussierung auf die Gebäudehülle ab</w:t>
      </w:r>
      <w:r w:rsidRPr="00B85B9E">
        <w:t xml:space="preserve">, da </w:t>
      </w:r>
      <w:r w:rsidR="00C91361">
        <w:t>erwiesenermaßen</w:t>
      </w:r>
      <w:r w:rsidRPr="00B85B9E">
        <w:t xml:space="preserve"> Gewerbeimmobilien aufgrund von mehr Dämmung </w:t>
      </w:r>
      <w:r w:rsidR="00C91361">
        <w:t xml:space="preserve">auch </w:t>
      </w:r>
      <w:r w:rsidRPr="00B85B9E">
        <w:t>mehr Kühlung benötigen</w:t>
      </w:r>
      <w:r w:rsidR="00C91361">
        <w:t>. D</w:t>
      </w:r>
      <w:r w:rsidRPr="00B85B9E">
        <w:t xml:space="preserve">ie Energiebilanz </w:t>
      </w:r>
      <w:r w:rsidR="00C91361">
        <w:t xml:space="preserve">wird </w:t>
      </w:r>
      <w:r w:rsidRPr="00B85B9E">
        <w:t>damit negativ</w:t>
      </w:r>
      <w:r w:rsidR="00C91361">
        <w:t>, auch</w:t>
      </w:r>
      <w:r w:rsidRPr="00B85B9E">
        <w:t xml:space="preserve"> bei Wohnimmobilien </w:t>
      </w:r>
      <w:r w:rsidR="00C91361">
        <w:t xml:space="preserve">ist </w:t>
      </w:r>
      <w:r w:rsidRPr="00B85B9E">
        <w:t>der CO2-Effekt kaum messbar</w:t>
      </w:r>
      <w:r w:rsidR="00C91361">
        <w:t xml:space="preserve">, </w:t>
      </w:r>
      <w:r w:rsidRPr="00B85B9E">
        <w:t>während die Baukosten stark steigen. </w:t>
      </w:r>
    </w:p>
    <w:p w14:paraId="7B57ECFB" w14:textId="77777777" w:rsidR="00B85B9E" w:rsidRPr="00B85B9E" w:rsidRDefault="00B85B9E" w:rsidP="00675A51">
      <w:pPr>
        <w:shd w:val="clear" w:color="auto" w:fill="FFFFFF"/>
      </w:pPr>
      <w:r w:rsidRPr="00B85B9E">
        <w:t> </w:t>
      </w:r>
    </w:p>
    <w:p w14:paraId="772B5363" w14:textId="77777777" w:rsidR="00B85B9E" w:rsidRPr="00B85B9E" w:rsidRDefault="00B85B9E" w:rsidP="00675A51">
      <w:pPr>
        <w:shd w:val="clear" w:color="auto" w:fill="FFFFFF"/>
      </w:pPr>
      <w:r w:rsidRPr="00B85B9E">
        <w:t>Daher sollte vielmehr der </w:t>
      </w:r>
      <w:r w:rsidRPr="002B6810">
        <w:rPr>
          <w:b/>
        </w:rPr>
        <w:t>Fokus auf Effizienz in der Anlagentechnik, Nutzung erneuerbarer Energien im Gebäude und dem effizienten Gebäudebetrieb</w:t>
      </w:r>
      <w:r w:rsidRPr="00B85B9E">
        <w:t>, das über ein Energie- und CO2-Monitoring nachgewiesen werden kann, liegen. </w:t>
      </w:r>
    </w:p>
    <w:p w14:paraId="542B070F" w14:textId="77777777" w:rsidR="00B85B9E" w:rsidRPr="00B85B9E" w:rsidRDefault="00B85B9E" w:rsidP="00675A51">
      <w:pPr>
        <w:shd w:val="clear" w:color="auto" w:fill="FFFFFF"/>
      </w:pPr>
      <w:r w:rsidRPr="00B85B9E">
        <w:t> </w:t>
      </w:r>
    </w:p>
    <w:p w14:paraId="11BA9B4D" w14:textId="77777777" w:rsidR="00B85B9E" w:rsidRPr="00B85B9E" w:rsidRDefault="00B85B9E" w:rsidP="00675A51">
      <w:pPr>
        <w:shd w:val="clear" w:color="auto" w:fill="FFFFFF"/>
      </w:pPr>
      <w:r w:rsidRPr="00B85B9E">
        <w:t>Die </w:t>
      </w:r>
      <w:r w:rsidRPr="002B6810">
        <w:t>Ausgestaltung des GEG und die Festlegung von Gebäudestandards haben immense Auswirkung auf die Branche</w:t>
      </w:r>
      <w:r w:rsidRPr="00B85B9E">
        <w:t>. Dennoch </w:t>
      </w:r>
      <w:r w:rsidRPr="002B6810">
        <w:rPr>
          <w:b/>
        </w:rPr>
        <w:t>wurde keine Verbändeanhörung seitens der Ministerien</w:t>
      </w:r>
      <w:r w:rsidRPr="00B85B9E">
        <w:t xml:space="preserve"> durchgeführt.</w:t>
      </w:r>
    </w:p>
    <w:p w14:paraId="3EE48C13" w14:textId="77777777" w:rsidR="00B85B9E" w:rsidRPr="00B85B9E" w:rsidRDefault="00B85B9E" w:rsidP="00675A51">
      <w:pPr>
        <w:shd w:val="clear" w:color="auto" w:fill="FFFFFF"/>
      </w:pPr>
      <w:r w:rsidRPr="00B85B9E">
        <w:t> </w:t>
      </w:r>
    </w:p>
    <w:p w14:paraId="60DE8A18" w14:textId="081C5931" w:rsidR="00B85B9E" w:rsidRPr="00B85B9E" w:rsidRDefault="00B85B9E" w:rsidP="00675A51">
      <w:pPr>
        <w:shd w:val="clear" w:color="auto" w:fill="FFFFFF"/>
      </w:pPr>
      <w:r w:rsidRPr="00B85B9E">
        <w:lastRenderedPageBreak/>
        <w:t>„</w:t>
      </w:r>
      <w:r w:rsidRPr="002B6810">
        <w:rPr>
          <w:b/>
        </w:rPr>
        <w:t xml:space="preserve">Wir haben immer wieder das Gespräch mit Politik und Ministerien gesucht. Das zuständige Wirtschaftsministerium steckt </w:t>
      </w:r>
      <w:r w:rsidR="002B6810">
        <w:rPr>
          <w:b/>
        </w:rPr>
        <w:t xml:space="preserve">jedoch </w:t>
      </w:r>
      <w:r w:rsidRPr="002B6810">
        <w:rPr>
          <w:b/>
        </w:rPr>
        <w:t>den Kopf in den Sand</w:t>
      </w:r>
      <w:r w:rsidRPr="00B85B9E">
        <w:t>. Es ist daher enttäuschend, dass eine so wichtige Änderung wie die Neubaustandards im Stil der Camouflage kurzfristig in einem anderen Gesetzgebungsverfahren versteckt werden soll“, so Dr. Mattner. „Zudem hat unsere Klimastudie vom letzten November bereits gezeigt: </w:t>
      </w:r>
      <w:r w:rsidRPr="002B6810">
        <w:rPr>
          <w:b/>
        </w:rPr>
        <w:t xml:space="preserve">Zusätzliche Anforderungen an die Gebäudehülle </w:t>
      </w:r>
      <w:r w:rsidR="00C86EC2">
        <w:rPr>
          <w:b/>
        </w:rPr>
        <w:t xml:space="preserve">sind </w:t>
      </w:r>
      <w:r w:rsidRPr="002B6810">
        <w:rPr>
          <w:b/>
        </w:rPr>
        <w:t>nicht nur wirtschaftlich sinnlos, die Produktion und Entsorgung von zusätzlichem Dämmmaterial verbietet der Gedanke des Lebenszyklus</w:t>
      </w:r>
      <w:r w:rsidR="002B6810">
        <w:t>.“</w:t>
      </w:r>
    </w:p>
    <w:p w14:paraId="5464A8B6" w14:textId="77777777" w:rsidR="00B85B9E" w:rsidRPr="00B85B9E" w:rsidRDefault="00B85B9E" w:rsidP="00675A51">
      <w:pPr>
        <w:shd w:val="clear" w:color="auto" w:fill="FFFFFF"/>
      </w:pPr>
      <w:r w:rsidRPr="00B85B9E">
        <w:t> </w:t>
      </w:r>
    </w:p>
    <w:p w14:paraId="74C0E54D" w14:textId="77777777" w:rsidR="002B6810" w:rsidRDefault="00B85B9E" w:rsidP="00675A51">
      <w:pPr>
        <w:shd w:val="clear" w:color="auto" w:fill="FFFFFF"/>
      </w:pPr>
      <w:r w:rsidRPr="00B85B9E">
        <w:t xml:space="preserve">Nach Berechnungen des ZIA führt die Erhöhung des jetzigen Standards auf ein EH 55 Niveau lediglich zu einer </w:t>
      </w:r>
      <w:r w:rsidRPr="002B6810">
        <w:rPr>
          <w:b/>
        </w:rPr>
        <w:t>CO2-Reduktion von zirka 0,5 Millionen Tonnen jährlich</w:t>
      </w:r>
      <w:r w:rsidRPr="00B85B9E">
        <w:t xml:space="preserve">. Dem gegenüber entstehen laut Gesetzentwurf </w:t>
      </w:r>
      <w:r w:rsidRPr="002B6810">
        <w:rPr>
          <w:b/>
        </w:rPr>
        <w:t>zusätzliche Kosten von rund 430 Millionen Euro</w:t>
      </w:r>
      <w:r w:rsidRPr="00B85B9E">
        <w:t xml:space="preserve"> jährlich für Bürger und Wirtschaft. </w:t>
      </w:r>
    </w:p>
    <w:p w14:paraId="079F77DB" w14:textId="77777777" w:rsidR="002B6810" w:rsidRDefault="002B6810" w:rsidP="00675A51">
      <w:pPr>
        <w:shd w:val="clear" w:color="auto" w:fill="FFFFFF"/>
      </w:pPr>
    </w:p>
    <w:p w14:paraId="34A940D5" w14:textId="2729BF5F" w:rsidR="00B85B9E" w:rsidRPr="00B85B9E" w:rsidRDefault="00B85B9E" w:rsidP="00675A51">
      <w:pPr>
        <w:shd w:val="clear" w:color="auto" w:fill="FFFFFF"/>
      </w:pPr>
      <w:r w:rsidRPr="00D3132B">
        <w:rPr>
          <w:b/>
        </w:rPr>
        <w:t>„Wie sollen so 400.000 Wohnungen jährlich neu errichtet werden?“</w:t>
      </w:r>
      <w:r w:rsidRPr="00B85B9E">
        <w:t>, so Dr. Mattner.</w:t>
      </w:r>
    </w:p>
    <w:p w14:paraId="367F4F1D" w14:textId="5C558FCE" w:rsidR="00A36093" w:rsidRDefault="00A36093" w:rsidP="00675A51">
      <w:pPr>
        <w:shd w:val="clear" w:color="auto" w:fill="FFFFFF"/>
      </w:pPr>
    </w:p>
    <w:p w14:paraId="35EBE71A" w14:textId="06F1A527" w:rsidR="00A36093" w:rsidRDefault="00A36093" w:rsidP="00675A51">
      <w:pPr>
        <w:shd w:val="clear" w:color="auto" w:fill="FFFFFF"/>
      </w:pPr>
      <w:r>
        <w:t>Bitte beachten Sie die Ziele der Novellierung und die</w:t>
      </w:r>
      <w:r w:rsidR="003720B5">
        <w:t xml:space="preserve"> dazugehörige</w:t>
      </w:r>
      <w:r>
        <w:t xml:space="preserve"> Einschätzung durch den ZIA</w:t>
      </w:r>
      <w:r w:rsidR="00F25E60">
        <w:t xml:space="preserve"> auf der nachfolgenden Seite:</w:t>
      </w:r>
    </w:p>
    <w:p w14:paraId="5CB65CD7" w14:textId="5B1481D7" w:rsidR="00E340D1" w:rsidRDefault="00E340D1" w:rsidP="00675A51">
      <w:pPr>
        <w:shd w:val="clear" w:color="auto" w:fill="FFFFFF"/>
      </w:pPr>
    </w:p>
    <w:p w14:paraId="100D647B" w14:textId="5FBF6472" w:rsidR="00E340D1" w:rsidRDefault="00E340D1" w:rsidP="00675A51">
      <w:pPr>
        <w:shd w:val="clear" w:color="auto" w:fill="FFFFFF"/>
      </w:pPr>
      <w:r w:rsidRPr="003C257E">
        <w:rPr>
          <w:color w:val="70AD47" w:themeColor="accent6"/>
        </w:rPr>
        <w:t>Grüne Markierung:</w:t>
      </w:r>
      <w:r>
        <w:t xml:space="preserve"> positive Einschätzung</w:t>
      </w:r>
    </w:p>
    <w:p w14:paraId="5293A829" w14:textId="4A26DDE3" w:rsidR="00E340D1" w:rsidRDefault="00E340D1" w:rsidP="00675A51">
      <w:pPr>
        <w:shd w:val="clear" w:color="auto" w:fill="FFFFFF"/>
      </w:pPr>
      <w:r w:rsidRPr="003C257E">
        <w:rPr>
          <w:color w:val="FF0000"/>
        </w:rPr>
        <w:t xml:space="preserve">Rote Markierung: </w:t>
      </w:r>
      <w:r>
        <w:t>negative Einschätzung</w:t>
      </w:r>
    </w:p>
    <w:p w14:paraId="501B20B6" w14:textId="3BC2B864" w:rsidR="00F25E60" w:rsidRDefault="00F25E60" w:rsidP="00675A51">
      <w:pPr>
        <w:shd w:val="clear" w:color="auto" w:fill="FFFFFF"/>
      </w:pPr>
    </w:p>
    <w:p w14:paraId="382898BD" w14:textId="08785E49" w:rsidR="00F25E60" w:rsidRDefault="00F25E60" w:rsidP="00675A51">
      <w:pPr>
        <w:shd w:val="clear" w:color="auto" w:fill="FFFFFF"/>
      </w:pPr>
    </w:p>
    <w:p w14:paraId="0CC5BEE9" w14:textId="1939A074" w:rsidR="00F25E60" w:rsidRDefault="00F25E60" w:rsidP="00675A51">
      <w:pPr>
        <w:shd w:val="clear" w:color="auto" w:fill="FFFFFF"/>
      </w:pPr>
    </w:p>
    <w:p w14:paraId="52CD3145" w14:textId="24E80793" w:rsidR="00F25E60" w:rsidRDefault="00F25E60" w:rsidP="00675A51">
      <w:pPr>
        <w:shd w:val="clear" w:color="auto" w:fill="FFFFFF"/>
      </w:pPr>
    </w:p>
    <w:p w14:paraId="74774E44" w14:textId="20028BEE" w:rsidR="00F25E60" w:rsidRDefault="00F25E60" w:rsidP="00675A51">
      <w:pPr>
        <w:shd w:val="clear" w:color="auto" w:fill="FFFFFF"/>
      </w:pPr>
    </w:p>
    <w:p w14:paraId="1CBEDB71" w14:textId="60F53772" w:rsidR="00F25E60" w:rsidRDefault="00F25E60" w:rsidP="00675A51">
      <w:pPr>
        <w:shd w:val="clear" w:color="auto" w:fill="FFFFFF"/>
      </w:pPr>
    </w:p>
    <w:p w14:paraId="3A5CEF80" w14:textId="1A5CC83C" w:rsidR="00F25E60" w:rsidRDefault="00F25E60" w:rsidP="00675A51">
      <w:pPr>
        <w:shd w:val="clear" w:color="auto" w:fill="FFFFFF"/>
      </w:pPr>
    </w:p>
    <w:p w14:paraId="747A6B41" w14:textId="17718511" w:rsidR="00F25E60" w:rsidRDefault="00F25E60" w:rsidP="00675A51">
      <w:pPr>
        <w:shd w:val="clear" w:color="auto" w:fill="FFFFFF"/>
      </w:pPr>
    </w:p>
    <w:p w14:paraId="790A98BE" w14:textId="77777777" w:rsidR="00F25E60" w:rsidRDefault="00F25E60" w:rsidP="00675A51">
      <w:pPr>
        <w:shd w:val="clear" w:color="auto" w:fill="FFFFFF"/>
      </w:pPr>
    </w:p>
    <w:tbl>
      <w:tblPr>
        <w:tblW w:w="8931" w:type="dxa"/>
        <w:tblInd w:w="-10" w:type="dxa"/>
        <w:tblCellMar>
          <w:left w:w="0" w:type="dxa"/>
          <w:right w:w="0" w:type="dxa"/>
        </w:tblCellMar>
        <w:tblLook w:val="04A0" w:firstRow="1" w:lastRow="0" w:firstColumn="1" w:lastColumn="0" w:noHBand="0" w:noVBand="1"/>
      </w:tblPr>
      <w:tblGrid>
        <w:gridCol w:w="2970"/>
        <w:gridCol w:w="5961"/>
      </w:tblGrid>
      <w:tr w:rsidR="00740F3A" w:rsidRPr="000378F3" w14:paraId="39D8D6AA" w14:textId="77777777" w:rsidTr="00740F3A">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198CB" w14:textId="77777777" w:rsidR="00740F3A" w:rsidRPr="000378F3" w:rsidRDefault="00740F3A" w:rsidP="000429FD">
            <w:pPr>
              <w:spacing w:before="240"/>
              <w:jc w:val="left"/>
              <w:rPr>
                <w:rFonts w:eastAsiaTheme="minorHAnsi"/>
                <w:b/>
                <w:bCs/>
                <w:color w:val="auto"/>
                <w:sz w:val="20"/>
                <w:szCs w:val="20"/>
                <w:u w:val="single"/>
              </w:rPr>
            </w:pPr>
            <w:r w:rsidRPr="000378F3">
              <w:rPr>
                <w:b/>
                <w:bCs/>
                <w:color w:val="auto"/>
                <w:sz w:val="20"/>
                <w:szCs w:val="20"/>
              </w:rPr>
              <w:lastRenderedPageBreak/>
              <w:t>Gebäudestandard</w:t>
            </w:r>
            <w:r w:rsidRPr="000378F3">
              <w:rPr>
                <w:color w:val="auto"/>
                <w:sz w:val="20"/>
                <w:szCs w:val="20"/>
              </w:rPr>
              <w:t>:</w:t>
            </w:r>
          </w:p>
        </w:tc>
        <w:tc>
          <w:tcPr>
            <w:tcW w:w="5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7439C3" w14:textId="3608F4A8" w:rsidR="00740F3A" w:rsidRPr="00675A51" w:rsidRDefault="00740F3A" w:rsidP="00675A51">
            <w:pPr>
              <w:spacing w:before="240"/>
              <w:rPr>
                <w:bCs/>
                <w:color w:val="auto"/>
                <w:sz w:val="20"/>
                <w:szCs w:val="20"/>
                <w:u w:val="single"/>
              </w:rPr>
            </w:pPr>
            <w:r w:rsidRPr="00675A51">
              <w:rPr>
                <w:color w:val="FF0000"/>
                <w:sz w:val="20"/>
                <w:szCs w:val="20"/>
              </w:rPr>
              <w:t>Festlegung EH55-Standard und Verschärfung der Hüllanforderungen</w:t>
            </w:r>
          </w:p>
        </w:tc>
      </w:tr>
      <w:tr w:rsidR="00740F3A" w:rsidRPr="000378F3" w14:paraId="01D80722" w14:textId="77777777" w:rsidTr="00740F3A">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01604" w14:textId="77777777" w:rsidR="00740F3A" w:rsidRPr="000378F3" w:rsidRDefault="00740F3A" w:rsidP="000429FD">
            <w:pPr>
              <w:spacing w:before="240"/>
              <w:jc w:val="left"/>
              <w:rPr>
                <w:b/>
                <w:bCs/>
                <w:sz w:val="20"/>
                <w:szCs w:val="20"/>
                <w:u w:val="single"/>
              </w:rPr>
            </w:pPr>
            <w:r w:rsidRPr="000378F3">
              <w:rPr>
                <w:b/>
                <w:bCs/>
                <w:sz w:val="20"/>
                <w:szCs w:val="20"/>
              </w:rPr>
              <w:t>Systematik Dämmung</w:t>
            </w:r>
            <w:r w:rsidRPr="000378F3">
              <w:rPr>
                <w:sz w:val="20"/>
                <w:szCs w:val="20"/>
              </w:rPr>
              <w:t>:</w:t>
            </w:r>
          </w:p>
        </w:tc>
        <w:tc>
          <w:tcPr>
            <w:tcW w:w="5961" w:type="dxa"/>
            <w:tcBorders>
              <w:top w:val="nil"/>
              <w:left w:val="nil"/>
              <w:bottom w:val="single" w:sz="8" w:space="0" w:color="auto"/>
              <w:right w:val="single" w:sz="8" w:space="0" w:color="auto"/>
            </w:tcBorders>
            <w:tcMar>
              <w:top w:w="0" w:type="dxa"/>
              <w:left w:w="108" w:type="dxa"/>
              <w:bottom w:w="0" w:type="dxa"/>
              <w:right w:w="108" w:type="dxa"/>
            </w:tcMar>
          </w:tcPr>
          <w:p w14:paraId="5449849F" w14:textId="77777777" w:rsidR="00740F3A" w:rsidRPr="00675A51" w:rsidRDefault="00740F3A" w:rsidP="00675A51">
            <w:pPr>
              <w:spacing w:before="240"/>
              <w:rPr>
                <w:color w:val="70AD47"/>
                <w:sz w:val="20"/>
                <w:szCs w:val="20"/>
              </w:rPr>
            </w:pPr>
            <w:r w:rsidRPr="00675A51">
              <w:rPr>
                <w:color w:val="70AD47"/>
                <w:sz w:val="20"/>
                <w:szCs w:val="20"/>
              </w:rPr>
              <w:t>Die bisherige Dämmanforderung (HT</w:t>
            </w:r>
            <w:r w:rsidRPr="00675A51">
              <w:rPr>
                <w:bCs/>
                <w:color w:val="70AD47"/>
                <w:sz w:val="20"/>
                <w:szCs w:val="20"/>
              </w:rPr>
              <w:t>‘</w:t>
            </w:r>
            <w:r w:rsidRPr="00675A51">
              <w:rPr>
                <w:color w:val="70AD47"/>
                <w:sz w:val="20"/>
                <w:szCs w:val="20"/>
              </w:rPr>
              <w:t>) soll durch eine andere, weiter gefasste Effizienzgröße ersetzt und auf dem jetzt einzuführenden Anforderungsniveau fortgeschrieben werden.</w:t>
            </w:r>
          </w:p>
          <w:p w14:paraId="13D8DE62" w14:textId="0FE7432E" w:rsidR="00740F3A" w:rsidRPr="00675A51" w:rsidRDefault="00740F3A" w:rsidP="00675A51">
            <w:pPr>
              <w:spacing w:before="240"/>
              <w:rPr>
                <w:bCs/>
                <w:color w:val="auto"/>
                <w:sz w:val="20"/>
                <w:szCs w:val="20"/>
                <w:u w:val="single"/>
              </w:rPr>
            </w:pPr>
            <w:r w:rsidRPr="00675A51">
              <w:rPr>
                <w:color w:val="FF0000"/>
                <w:sz w:val="20"/>
                <w:szCs w:val="20"/>
              </w:rPr>
              <w:t>Die genaue Methodik ist aber noch unklar.</w:t>
            </w:r>
          </w:p>
        </w:tc>
      </w:tr>
      <w:tr w:rsidR="00740F3A" w:rsidRPr="000378F3" w14:paraId="5CAD3D63" w14:textId="77777777" w:rsidTr="00740F3A">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6594C" w14:textId="77777777" w:rsidR="00740F3A" w:rsidRPr="000378F3" w:rsidRDefault="00740F3A" w:rsidP="000429FD">
            <w:pPr>
              <w:spacing w:before="240"/>
              <w:jc w:val="left"/>
              <w:rPr>
                <w:b/>
                <w:bCs/>
                <w:sz w:val="20"/>
                <w:szCs w:val="20"/>
                <w:u w:val="single"/>
              </w:rPr>
            </w:pPr>
            <w:r w:rsidRPr="000378F3">
              <w:rPr>
                <w:b/>
                <w:bCs/>
                <w:sz w:val="20"/>
                <w:szCs w:val="20"/>
              </w:rPr>
              <w:t>CO2-Gutschrift</w:t>
            </w:r>
            <w:r w:rsidRPr="000378F3">
              <w:rPr>
                <w:sz w:val="20"/>
                <w:szCs w:val="20"/>
              </w:rPr>
              <w:t xml:space="preserve">: </w:t>
            </w:r>
          </w:p>
        </w:tc>
        <w:tc>
          <w:tcPr>
            <w:tcW w:w="5961" w:type="dxa"/>
            <w:tcBorders>
              <w:top w:val="nil"/>
              <w:left w:val="nil"/>
              <w:bottom w:val="single" w:sz="8" w:space="0" w:color="auto"/>
              <w:right w:val="single" w:sz="8" w:space="0" w:color="auto"/>
            </w:tcBorders>
            <w:tcMar>
              <w:top w:w="0" w:type="dxa"/>
              <w:left w:w="108" w:type="dxa"/>
              <w:bottom w:w="0" w:type="dxa"/>
              <w:right w:w="108" w:type="dxa"/>
            </w:tcMar>
          </w:tcPr>
          <w:p w14:paraId="3DECB06C" w14:textId="77777777" w:rsidR="00740F3A" w:rsidRPr="00675A51" w:rsidRDefault="00740F3A" w:rsidP="00675A51">
            <w:pPr>
              <w:spacing w:before="240"/>
              <w:rPr>
                <w:sz w:val="20"/>
                <w:szCs w:val="20"/>
              </w:rPr>
            </w:pPr>
            <w:r w:rsidRPr="00675A51">
              <w:rPr>
                <w:color w:val="70AD47"/>
                <w:sz w:val="20"/>
                <w:szCs w:val="20"/>
              </w:rPr>
              <w:t>Es soll künftig eine Gutschrift für die eingesparte Tonne CO2 eingeführt werden</w:t>
            </w:r>
            <w:r w:rsidRPr="00675A51">
              <w:rPr>
                <w:sz w:val="20"/>
                <w:szCs w:val="20"/>
              </w:rPr>
              <w:t>.</w:t>
            </w:r>
          </w:p>
          <w:p w14:paraId="70F75CBA" w14:textId="77777777" w:rsidR="00740F3A" w:rsidRPr="00675A51" w:rsidRDefault="00740F3A" w:rsidP="00675A51">
            <w:pPr>
              <w:spacing w:before="240"/>
              <w:rPr>
                <w:bCs/>
                <w:color w:val="auto"/>
                <w:sz w:val="20"/>
                <w:szCs w:val="20"/>
                <w:u w:val="single"/>
              </w:rPr>
            </w:pPr>
            <w:r w:rsidRPr="00675A51">
              <w:rPr>
                <w:color w:val="FF0000"/>
                <w:sz w:val="20"/>
                <w:szCs w:val="20"/>
              </w:rPr>
              <w:t>Die genaue Methodik ist aber noch unklar.</w:t>
            </w:r>
          </w:p>
        </w:tc>
      </w:tr>
      <w:tr w:rsidR="00740F3A" w:rsidRPr="000378F3" w14:paraId="4A80006C" w14:textId="77777777" w:rsidTr="00740F3A">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8D581" w14:textId="77777777" w:rsidR="00740F3A" w:rsidRPr="000378F3" w:rsidRDefault="00740F3A" w:rsidP="000429FD">
            <w:pPr>
              <w:spacing w:before="240"/>
              <w:jc w:val="left"/>
              <w:rPr>
                <w:b/>
                <w:bCs/>
                <w:sz w:val="20"/>
                <w:szCs w:val="20"/>
                <w:u w:val="single"/>
              </w:rPr>
            </w:pPr>
            <w:r w:rsidRPr="000378F3">
              <w:rPr>
                <w:b/>
                <w:bCs/>
                <w:sz w:val="20"/>
                <w:szCs w:val="20"/>
              </w:rPr>
              <w:t>Primärenergiefaktor für Großwärmepumpen</w:t>
            </w:r>
            <w:r w:rsidRPr="000378F3">
              <w:rPr>
                <w:sz w:val="20"/>
                <w:szCs w:val="20"/>
              </w:rPr>
              <w:t>:</w:t>
            </w:r>
          </w:p>
        </w:tc>
        <w:tc>
          <w:tcPr>
            <w:tcW w:w="5961" w:type="dxa"/>
            <w:tcBorders>
              <w:top w:val="nil"/>
              <w:left w:val="nil"/>
              <w:bottom w:val="single" w:sz="8" w:space="0" w:color="auto"/>
              <w:right w:val="single" w:sz="8" w:space="0" w:color="auto"/>
            </w:tcBorders>
            <w:tcMar>
              <w:top w:w="0" w:type="dxa"/>
              <w:left w:w="108" w:type="dxa"/>
              <w:bottom w:w="0" w:type="dxa"/>
              <w:right w:w="108" w:type="dxa"/>
            </w:tcMar>
          </w:tcPr>
          <w:p w14:paraId="3CC3AE33" w14:textId="77777777" w:rsidR="00740F3A" w:rsidRPr="00675A51" w:rsidRDefault="00740F3A" w:rsidP="00675A51">
            <w:pPr>
              <w:spacing w:before="240"/>
              <w:rPr>
                <w:sz w:val="20"/>
                <w:szCs w:val="20"/>
              </w:rPr>
            </w:pPr>
            <w:r w:rsidRPr="00675A51">
              <w:rPr>
                <w:color w:val="70AD47"/>
                <w:sz w:val="20"/>
                <w:szCs w:val="20"/>
              </w:rPr>
              <w:t>Der Primärenergiefaktor von Großwärmepumpen soll von 1,8 auf 1,2 verbessert werden</w:t>
            </w:r>
            <w:r w:rsidRPr="00675A51">
              <w:rPr>
                <w:sz w:val="20"/>
                <w:szCs w:val="20"/>
              </w:rPr>
              <w:t>.</w:t>
            </w:r>
          </w:p>
          <w:p w14:paraId="79BC5E71" w14:textId="77777777" w:rsidR="00740F3A" w:rsidRPr="00675A51" w:rsidRDefault="00740F3A" w:rsidP="00675A51">
            <w:pPr>
              <w:spacing w:before="240"/>
              <w:rPr>
                <w:bCs/>
                <w:color w:val="auto"/>
                <w:sz w:val="20"/>
                <w:szCs w:val="20"/>
                <w:u w:val="single"/>
              </w:rPr>
            </w:pPr>
            <w:r w:rsidRPr="00675A51">
              <w:rPr>
                <w:color w:val="FF0000"/>
                <w:sz w:val="20"/>
                <w:szCs w:val="20"/>
              </w:rPr>
              <w:t>Aber in Hinblick auf das 80%-EE-Ziel im Stromnetz 2030 ist das zu kurz gegriffen. Es sollte der Wert schon jetzt vorausschauend in Hinblick auf die erwartete CO2-Last im Strommix im Jahr 2030 bei einem geplanten EE-Anteil von 80% angepasst werden.</w:t>
            </w:r>
          </w:p>
        </w:tc>
      </w:tr>
    </w:tbl>
    <w:p w14:paraId="47F8F167" w14:textId="77777777" w:rsidR="005326C9" w:rsidRDefault="005326C9" w:rsidP="00675A51">
      <w:pPr>
        <w:shd w:val="clear" w:color="auto" w:fill="FFFFFF"/>
      </w:pPr>
    </w:p>
    <w:p w14:paraId="6DD7D92D" w14:textId="064827CA" w:rsidR="003803B5" w:rsidRDefault="00ED6065" w:rsidP="00675A51">
      <w:pPr>
        <w:shd w:val="clear" w:color="auto" w:fill="FFFFFF"/>
      </w:pPr>
      <w:r>
        <w:t>Der Zentrale Immobilien Aus</w:t>
      </w:r>
      <w:r w:rsidR="00D73E78">
        <w:t>s</w:t>
      </w:r>
      <w:r>
        <w:t xml:space="preserve">chuss </w:t>
      </w:r>
      <w:r w:rsidR="00D73E78">
        <w:t>e. V. wird sich als Spitzenverband der Immobilienwirtschaft weiterhin ins parlamentarische Verfahren einbringen.</w:t>
      </w:r>
    </w:p>
    <w:p w14:paraId="23D2206A" w14:textId="4F324664" w:rsidR="003803B5" w:rsidRDefault="003803B5" w:rsidP="00675A51">
      <w:pPr>
        <w:shd w:val="clear" w:color="auto" w:fill="FFFFFF"/>
      </w:pPr>
    </w:p>
    <w:bookmarkEnd w:id="0"/>
    <w:p w14:paraId="3988C991" w14:textId="3D5E1615" w:rsidR="006956A1" w:rsidRPr="00950078" w:rsidRDefault="006956A1" w:rsidP="00675A51">
      <w:pPr>
        <w:autoSpaceDE w:val="0"/>
        <w:autoSpaceDN w:val="0"/>
        <w:adjustRightInd w:val="0"/>
        <w:spacing w:line="276" w:lineRule="auto"/>
        <w:ind w:left="0" w:firstLine="0"/>
        <w:rPr>
          <w:b/>
          <w:sz w:val="20"/>
          <w:szCs w:val="20"/>
        </w:rPr>
      </w:pPr>
      <w:r w:rsidRPr="00950078">
        <w:rPr>
          <w:b/>
          <w:sz w:val="20"/>
          <w:szCs w:val="20"/>
        </w:rPr>
        <w:t>Der ZIA</w:t>
      </w:r>
    </w:p>
    <w:p w14:paraId="4FA9970B" w14:textId="525A7E2D" w:rsidR="006956A1" w:rsidRPr="00950078" w:rsidRDefault="006956A1" w:rsidP="00675A51">
      <w:pPr>
        <w:autoSpaceDE w:val="0"/>
        <w:autoSpaceDN w:val="0"/>
        <w:adjustRightInd w:val="0"/>
        <w:spacing w:line="276" w:lineRule="auto"/>
        <w:rPr>
          <w:bCs/>
          <w:sz w:val="20"/>
          <w:szCs w:val="20"/>
        </w:rPr>
      </w:pPr>
      <w:r w:rsidRPr="00950078">
        <w:rPr>
          <w:bCs/>
          <w:sz w:val="20"/>
          <w:szCs w:val="20"/>
        </w:rPr>
        <w:t xml:space="preserve">Der Zentrale Immobilien Ausschuss e.V. (ZIA) ist der Spitzenverband der Immobilienwirtschaft. Er spricht durch seine Mitglieder, darunter </w:t>
      </w:r>
      <w:r w:rsidR="000C1CA3" w:rsidRPr="00950078">
        <w:rPr>
          <w:bCs/>
          <w:sz w:val="20"/>
          <w:szCs w:val="20"/>
        </w:rPr>
        <w:t>30</w:t>
      </w:r>
      <w:r w:rsidRPr="00950078">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381452E5" w14:textId="77777777" w:rsidR="00FE3BF6" w:rsidRPr="00950078" w:rsidRDefault="007F1E5D" w:rsidP="00675A51">
      <w:pPr>
        <w:spacing w:after="17" w:line="259" w:lineRule="auto"/>
        <w:ind w:left="0" w:right="0" w:firstLine="0"/>
        <w:rPr>
          <w:color w:val="000000" w:themeColor="text1"/>
        </w:rPr>
      </w:pPr>
      <w:r w:rsidRPr="00950078">
        <w:rPr>
          <w:b/>
          <w:color w:val="000000" w:themeColor="text1"/>
          <w:sz w:val="20"/>
        </w:rPr>
        <w:t xml:space="preserve"> </w:t>
      </w:r>
    </w:p>
    <w:p w14:paraId="7EBCE31E" w14:textId="77777777" w:rsidR="00FE3BF6" w:rsidRPr="00950078" w:rsidRDefault="007F1E5D" w:rsidP="00675A51">
      <w:pPr>
        <w:spacing w:after="19" w:line="259" w:lineRule="auto"/>
        <w:ind w:left="-5" w:right="0"/>
        <w:rPr>
          <w:color w:val="000000" w:themeColor="text1"/>
        </w:rPr>
      </w:pPr>
      <w:r w:rsidRPr="00950078">
        <w:rPr>
          <w:b/>
          <w:color w:val="000000" w:themeColor="text1"/>
          <w:sz w:val="20"/>
        </w:rPr>
        <w:t xml:space="preserve">Kontakt </w:t>
      </w:r>
    </w:p>
    <w:p w14:paraId="2F62047D" w14:textId="7D2A7E06" w:rsidR="00FE3BF6" w:rsidRPr="00950078" w:rsidRDefault="004E320C" w:rsidP="00675A51">
      <w:pPr>
        <w:spacing w:after="10" w:line="268" w:lineRule="auto"/>
        <w:ind w:left="-5" w:right="54"/>
        <w:rPr>
          <w:color w:val="000000" w:themeColor="text1"/>
        </w:rPr>
      </w:pPr>
      <w:r w:rsidRPr="00950078">
        <w:rPr>
          <w:color w:val="000000" w:themeColor="text1"/>
          <w:sz w:val="20"/>
        </w:rPr>
        <w:t>Philipp Gräfe (Pressereferent)</w:t>
      </w:r>
    </w:p>
    <w:p w14:paraId="5E52FC5C" w14:textId="77777777" w:rsidR="00FE3BF6" w:rsidRPr="00950078" w:rsidRDefault="007F1E5D" w:rsidP="00675A51">
      <w:pPr>
        <w:spacing w:after="10" w:line="268" w:lineRule="auto"/>
        <w:ind w:left="-5" w:right="54"/>
        <w:rPr>
          <w:color w:val="000000" w:themeColor="text1"/>
        </w:rPr>
      </w:pPr>
      <w:r w:rsidRPr="00950078">
        <w:rPr>
          <w:color w:val="000000" w:themeColor="text1"/>
          <w:sz w:val="20"/>
        </w:rPr>
        <w:t xml:space="preserve">ZIA Zentraler Immobilien Ausschuss e.V. </w:t>
      </w:r>
    </w:p>
    <w:p w14:paraId="30A8442B" w14:textId="77777777" w:rsidR="00FE3BF6" w:rsidRPr="00950078" w:rsidRDefault="007F1E5D" w:rsidP="00675A51">
      <w:pPr>
        <w:spacing w:after="10" w:line="268" w:lineRule="auto"/>
        <w:ind w:left="-5" w:right="54"/>
        <w:rPr>
          <w:color w:val="000000" w:themeColor="text1"/>
        </w:rPr>
      </w:pPr>
      <w:r w:rsidRPr="00950078">
        <w:rPr>
          <w:color w:val="000000" w:themeColor="text1"/>
          <w:sz w:val="20"/>
        </w:rPr>
        <w:t xml:space="preserve">Leipziger Platz 9 </w:t>
      </w:r>
    </w:p>
    <w:p w14:paraId="424BEAEE" w14:textId="77777777" w:rsidR="00FE3BF6" w:rsidRPr="00950078" w:rsidRDefault="007F1E5D" w:rsidP="00675A51">
      <w:pPr>
        <w:spacing w:after="10" w:line="268" w:lineRule="auto"/>
        <w:ind w:left="-5" w:right="54"/>
        <w:rPr>
          <w:color w:val="000000" w:themeColor="text1"/>
        </w:rPr>
      </w:pPr>
      <w:r w:rsidRPr="00950078">
        <w:rPr>
          <w:color w:val="000000" w:themeColor="text1"/>
          <w:sz w:val="20"/>
        </w:rPr>
        <w:t xml:space="preserve">10117 Berlin </w:t>
      </w:r>
    </w:p>
    <w:p w14:paraId="758086F9" w14:textId="77777777" w:rsidR="00FE3BF6" w:rsidRPr="00950078" w:rsidRDefault="007F1E5D" w:rsidP="00675A51">
      <w:pPr>
        <w:spacing w:after="10" w:line="268" w:lineRule="auto"/>
        <w:ind w:left="-5" w:right="54"/>
        <w:rPr>
          <w:color w:val="000000" w:themeColor="text1"/>
        </w:rPr>
      </w:pPr>
      <w:r w:rsidRPr="00950078">
        <w:rPr>
          <w:color w:val="000000" w:themeColor="text1"/>
          <w:sz w:val="20"/>
        </w:rPr>
        <w:t xml:space="preserve">Tel.: 030/20 21 585 </w:t>
      </w:r>
      <w:r w:rsidR="00A4688A" w:rsidRPr="00950078">
        <w:rPr>
          <w:color w:val="000000" w:themeColor="text1"/>
          <w:sz w:val="20"/>
        </w:rPr>
        <w:t>23</w:t>
      </w:r>
    </w:p>
    <w:p w14:paraId="5EC6E87B" w14:textId="1109D1A0" w:rsidR="00FE3BF6" w:rsidRPr="00950078" w:rsidRDefault="007F1E5D" w:rsidP="00675A51">
      <w:pPr>
        <w:spacing w:after="12" w:line="265" w:lineRule="auto"/>
        <w:ind w:left="-5" w:right="0"/>
        <w:rPr>
          <w:color w:val="000000" w:themeColor="text1"/>
        </w:rPr>
      </w:pPr>
      <w:r w:rsidRPr="00950078">
        <w:rPr>
          <w:color w:val="000000" w:themeColor="text1"/>
          <w:sz w:val="20"/>
        </w:rPr>
        <w:t xml:space="preserve">E-Mail: </w:t>
      </w:r>
      <w:hyperlink r:id="rId6" w:history="1">
        <w:r w:rsidR="00383AA4" w:rsidRPr="00950078">
          <w:rPr>
            <w:rStyle w:val="Hyperlink"/>
            <w:color w:val="000000" w:themeColor="text1"/>
            <w:sz w:val="20"/>
          </w:rPr>
          <w:t>philipp.graefe@zia-deutschland.de</w:t>
        </w:r>
      </w:hyperlink>
    </w:p>
    <w:p w14:paraId="4006FCC2" w14:textId="1BC9400D" w:rsidR="001A73EB" w:rsidRPr="00950078" w:rsidRDefault="001A73EB" w:rsidP="00675A51">
      <w:pPr>
        <w:spacing w:after="10144" w:line="265" w:lineRule="auto"/>
        <w:ind w:left="-5" w:right="0"/>
        <w:rPr>
          <w:color w:val="000000" w:themeColor="text1"/>
        </w:rPr>
      </w:pPr>
      <w:r w:rsidRPr="00950078">
        <w:rPr>
          <w:noProof/>
          <w:color w:val="000000" w:themeColor="text1"/>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sidRPr="00950078">
        <w:rPr>
          <w:color w:val="000000" w:themeColor="text1"/>
          <w:sz w:val="20"/>
        </w:rPr>
        <w:t xml:space="preserve">Internet: </w:t>
      </w:r>
      <w:hyperlink r:id="rId8">
        <w:r w:rsidR="007F1E5D" w:rsidRPr="00950078">
          <w:rPr>
            <w:color w:val="000000" w:themeColor="text1"/>
            <w:sz w:val="20"/>
            <w:u w:val="single"/>
          </w:rPr>
          <w:t>www.zia</w:t>
        </w:r>
      </w:hyperlink>
      <w:hyperlink r:id="rId9">
        <w:r w:rsidR="007F1E5D" w:rsidRPr="00950078">
          <w:rPr>
            <w:color w:val="000000" w:themeColor="text1"/>
            <w:sz w:val="20"/>
            <w:u w:val="single"/>
          </w:rPr>
          <w:t>-</w:t>
        </w:r>
      </w:hyperlink>
      <w:r w:rsidRPr="00950078">
        <w:rPr>
          <w:rFonts w:eastAsia="Times New Roman"/>
          <w:snapToGrid w:val="0"/>
          <w:color w:val="000000" w:themeColor="text1"/>
          <w:w w:val="0"/>
          <w:sz w:val="0"/>
          <w:szCs w:val="0"/>
          <w:u w:val="single"/>
          <w:bdr w:val="none" w:sz="0" w:space="0" w:color="000000"/>
          <w:shd w:val="clear" w:color="000000" w:fill="000000"/>
          <w:lang w:val="x-none" w:eastAsia="x-none" w:bidi="x-none"/>
        </w:rPr>
        <w:t xml:space="preserve"> </w:t>
      </w:r>
      <w:r w:rsidR="007F1E5D" w:rsidRPr="00950078">
        <w:rPr>
          <w:color w:val="000000" w:themeColor="text1"/>
          <w:sz w:val="20"/>
          <w:u w:val="single"/>
        </w:rPr>
        <w:t>deutschland.de</w:t>
      </w:r>
    </w:p>
    <w:sectPr w:rsidR="001A73EB" w:rsidRPr="00950078" w:rsidSect="005B4D96">
      <w:pgSz w:w="11906" w:h="16838"/>
      <w:pgMar w:top="1418" w:right="149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3"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6"/>
  </w:num>
  <w:num w:numId="8">
    <w:abstractNumId w:val="17"/>
  </w:num>
  <w:num w:numId="9">
    <w:abstractNumId w:val="5"/>
  </w:num>
  <w:num w:numId="10">
    <w:abstractNumId w:val="10"/>
  </w:num>
  <w:num w:numId="11">
    <w:abstractNumId w:val="11"/>
  </w:num>
  <w:num w:numId="12">
    <w:abstractNumId w:val="13"/>
  </w:num>
  <w:num w:numId="13">
    <w:abstractNumId w:val="4"/>
  </w:num>
  <w:num w:numId="14">
    <w:abstractNumId w:val="0"/>
  </w:num>
  <w:num w:numId="15">
    <w:abstractNumId w:val="8"/>
  </w:num>
  <w:num w:numId="16">
    <w:abstractNumId w:val="3"/>
  </w:num>
  <w:num w:numId="17">
    <w:abstractNumId w:val="7"/>
  </w:num>
  <w:num w:numId="18">
    <w:abstractNumId w:val="15"/>
  </w:num>
  <w:num w:numId="19">
    <w:abstractNumId w:val="12"/>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55EF"/>
    <w:rsid w:val="00007058"/>
    <w:rsid w:val="000138FA"/>
    <w:rsid w:val="00014C67"/>
    <w:rsid w:val="0002174A"/>
    <w:rsid w:val="00021DAC"/>
    <w:rsid w:val="000221CD"/>
    <w:rsid w:val="000242EC"/>
    <w:rsid w:val="00027913"/>
    <w:rsid w:val="000340B3"/>
    <w:rsid w:val="00036EC4"/>
    <w:rsid w:val="000378F3"/>
    <w:rsid w:val="000429FD"/>
    <w:rsid w:val="000435EB"/>
    <w:rsid w:val="0004569F"/>
    <w:rsid w:val="000519C8"/>
    <w:rsid w:val="000538AB"/>
    <w:rsid w:val="00062BF3"/>
    <w:rsid w:val="00073AE1"/>
    <w:rsid w:val="00074304"/>
    <w:rsid w:val="0008438D"/>
    <w:rsid w:val="00090DC8"/>
    <w:rsid w:val="000A4359"/>
    <w:rsid w:val="000B37E5"/>
    <w:rsid w:val="000B48F7"/>
    <w:rsid w:val="000B74AE"/>
    <w:rsid w:val="000C1CA3"/>
    <w:rsid w:val="000C5B16"/>
    <w:rsid w:val="000D0A9E"/>
    <w:rsid w:val="000D6D26"/>
    <w:rsid w:val="000E02D9"/>
    <w:rsid w:val="000E247F"/>
    <w:rsid w:val="000E32BC"/>
    <w:rsid w:val="000F001D"/>
    <w:rsid w:val="000F372E"/>
    <w:rsid w:val="001001ED"/>
    <w:rsid w:val="001031D7"/>
    <w:rsid w:val="00103818"/>
    <w:rsid w:val="00104FF4"/>
    <w:rsid w:val="0010589B"/>
    <w:rsid w:val="00105BD8"/>
    <w:rsid w:val="0011006B"/>
    <w:rsid w:val="001105EC"/>
    <w:rsid w:val="0011178F"/>
    <w:rsid w:val="001151DB"/>
    <w:rsid w:val="001151E3"/>
    <w:rsid w:val="00120B8D"/>
    <w:rsid w:val="00120C84"/>
    <w:rsid w:val="00122ADD"/>
    <w:rsid w:val="00124012"/>
    <w:rsid w:val="00126D09"/>
    <w:rsid w:val="0014259D"/>
    <w:rsid w:val="0014335E"/>
    <w:rsid w:val="001436B7"/>
    <w:rsid w:val="00144A22"/>
    <w:rsid w:val="00146119"/>
    <w:rsid w:val="00150C2C"/>
    <w:rsid w:val="00155BB8"/>
    <w:rsid w:val="00167E86"/>
    <w:rsid w:val="00176ABC"/>
    <w:rsid w:val="00177ABB"/>
    <w:rsid w:val="0018064A"/>
    <w:rsid w:val="00183D7B"/>
    <w:rsid w:val="00185B51"/>
    <w:rsid w:val="00197D23"/>
    <w:rsid w:val="00197D3B"/>
    <w:rsid w:val="001A2248"/>
    <w:rsid w:val="001A58E3"/>
    <w:rsid w:val="001A73EB"/>
    <w:rsid w:val="001A7BEC"/>
    <w:rsid w:val="001B388E"/>
    <w:rsid w:val="001B38B9"/>
    <w:rsid w:val="001B5226"/>
    <w:rsid w:val="001B5E1A"/>
    <w:rsid w:val="001C6E81"/>
    <w:rsid w:val="001D28C6"/>
    <w:rsid w:val="001D30C7"/>
    <w:rsid w:val="001D5389"/>
    <w:rsid w:val="001E2547"/>
    <w:rsid w:val="001E2B25"/>
    <w:rsid w:val="001F3EF9"/>
    <w:rsid w:val="001F4108"/>
    <w:rsid w:val="001F5203"/>
    <w:rsid w:val="001F7188"/>
    <w:rsid w:val="001F732C"/>
    <w:rsid w:val="00202DBE"/>
    <w:rsid w:val="00211596"/>
    <w:rsid w:val="00212F87"/>
    <w:rsid w:val="002207E7"/>
    <w:rsid w:val="0022305D"/>
    <w:rsid w:val="00223626"/>
    <w:rsid w:val="00227BA6"/>
    <w:rsid w:val="00230C91"/>
    <w:rsid w:val="00240723"/>
    <w:rsid w:val="00241E99"/>
    <w:rsid w:val="0024225C"/>
    <w:rsid w:val="00246B4F"/>
    <w:rsid w:val="002527CB"/>
    <w:rsid w:val="00254ECE"/>
    <w:rsid w:val="00263335"/>
    <w:rsid w:val="00263F41"/>
    <w:rsid w:val="00273D38"/>
    <w:rsid w:val="00277ED6"/>
    <w:rsid w:val="00285211"/>
    <w:rsid w:val="00291C78"/>
    <w:rsid w:val="00291CE7"/>
    <w:rsid w:val="002A7632"/>
    <w:rsid w:val="002B6245"/>
    <w:rsid w:val="002B6810"/>
    <w:rsid w:val="002B7C48"/>
    <w:rsid w:val="002B7F6E"/>
    <w:rsid w:val="002C01E6"/>
    <w:rsid w:val="002C4862"/>
    <w:rsid w:val="002C6D7C"/>
    <w:rsid w:val="002D36A9"/>
    <w:rsid w:val="002D52F9"/>
    <w:rsid w:val="002E220D"/>
    <w:rsid w:val="002F075C"/>
    <w:rsid w:val="002F505D"/>
    <w:rsid w:val="002F6D5E"/>
    <w:rsid w:val="002F7633"/>
    <w:rsid w:val="00301A17"/>
    <w:rsid w:val="00303C3D"/>
    <w:rsid w:val="00315752"/>
    <w:rsid w:val="00315E40"/>
    <w:rsid w:val="0032132B"/>
    <w:rsid w:val="003276A2"/>
    <w:rsid w:val="00331653"/>
    <w:rsid w:val="003338DC"/>
    <w:rsid w:val="00334A86"/>
    <w:rsid w:val="00337CBF"/>
    <w:rsid w:val="0034462A"/>
    <w:rsid w:val="00355489"/>
    <w:rsid w:val="00362777"/>
    <w:rsid w:val="00363412"/>
    <w:rsid w:val="003720B5"/>
    <w:rsid w:val="00376E88"/>
    <w:rsid w:val="00377EE2"/>
    <w:rsid w:val="003803B5"/>
    <w:rsid w:val="00383AA4"/>
    <w:rsid w:val="003848A5"/>
    <w:rsid w:val="00386777"/>
    <w:rsid w:val="0039248C"/>
    <w:rsid w:val="00394A83"/>
    <w:rsid w:val="003952E4"/>
    <w:rsid w:val="003A3F70"/>
    <w:rsid w:val="003A67EF"/>
    <w:rsid w:val="003B3086"/>
    <w:rsid w:val="003B465E"/>
    <w:rsid w:val="003B63D9"/>
    <w:rsid w:val="003C037C"/>
    <w:rsid w:val="003C257E"/>
    <w:rsid w:val="003C44ED"/>
    <w:rsid w:val="003D0B4D"/>
    <w:rsid w:val="003D369F"/>
    <w:rsid w:val="003E03AB"/>
    <w:rsid w:val="003E3293"/>
    <w:rsid w:val="003E45A1"/>
    <w:rsid w:val="003E5E22"/>
    <w:rsid w:val="00402436"/>
    <w:rsid w:val="004024B1"/>
    <w:rsid w:val="00410C4C"/>
    <w:rsid w:val="00412448"/>
    <w:rsid w:val="004211CE"/>
    <w:rsid w:val="00423F28"/>
    <w:rsid w:val="00424372"/>
    <w:rsid w:val="00430EC6"/>
    <w:rsid w:val="00435160"/>
    <w:rsid w:val="00436A77"/>
    <w:rsid w:val="0044144A"/>
    <w:rsid w:val="004422C4"/>
    <w:rsid w:val="00443BBD"/>
    <w:rsid w:val="00444BAD"/>
    <w:rsid w:val="004501D3"/>
    <w:rsid w:val="00454663"/>
    <w:rsid w:val="00461D81"/>
    <w:rsid w:val="00464622"/>
    <w:rsid w:val="00474B06"/>
    <w:rsid w:val="00475A61"/>
    <w:rsid w:val="00484453"/>
    <w:rsid w:val="0048679B"/>
    <w:rsid w:val="0049199A"/>
    <w:rsid w:val="00492130"/>
    <w:rsid w:val="004959D4"/>
    <w:rsid w:val="00495EE0"/>
    <w:rsid w:val="0049762B"/>
    <w:rsid w:val="004A316A"/>
    <w:rsid w:val="004B2933"/>
    <w:rsid w:val="004C08F8"/>
    <w:rsid w:val="004C3FB9"/>
    <w:rsid w:val="004D099E"/>
    <w:rsid w:val="004E060E"/>
    <w:rsid w:val="004E140F"/>
    <w:rsid w:val="004E29F6"/>
    <w:rsid w:val="004E320C"/>
    <w:rsid w:val="004E35EB"/>
    <w:rsid w:val="004E648E"/>
    <w:rsid w:val="004F05A4"/>
    <w:rsid w:val="00503883"/>
    <w:rsid w:val="00516FC4"/>
    <w:rsid w:val="00517920"/>
    <w:rsid w:val="00517AC3"/>
    <w:rsid w:val="00520A41"/>
    <w:rsid w:val="00521A30"/>
    <w:rsid w:val="00522AB0"/>
    <w:rsid w:val="00524DBD"/>
    <w:rsid w:val="005263E9"/>
    <w:rsid w:val="00530257"/>
    <w:rsid w:val="005326C9"/>
    <w:rsid w:val="00533087"/>
    <w:rsid w:val="00537DB4"/>
    <w:rsid w:val="00540ADA"/>
    <w:rsid w:val="00543560"/>
    <w:rsid w:val="00555F86"/>
    <w:rsid w:val="00561F70"/>
    <w:rsid w:val="005638E5"/>
    <w:rsid w:val="0056572B"/>
    <w:rsid w:val="00565A8D"/>
    <w:rsid w:val="005731EE"/>
    <w:rsid w:val="00577C86"/>
    <w:rsid w:val="00590E6B"/>
    <w:rsid w:val="00592223"/>
    <w:rsid w:val="00592B2B"/>
    <w:rsid w:val="00593D5B"/>
    <w:rsid w:val="0059422E"/>
    <w:rsid w:val="00596562"/>
    <w:rsid w:val="005A279E"/>
    <w:rsid w:val="005A74E0"/>
    <w:rsid w:val="005B4417"/>
    <w:rsid w:val="005B4D96"/>
    <w:rsid w:val="005B66CE"/>
    <w:rsid w:val="005B6B05"/>
    <w:rsid w:val="005C0AA8"/>
    <w:rsid w:val="005C28F9"/>
    <w:rsid w:val="005C34AF"/>
    <w:rsid w:val="005C6EBB"/>
    <w:rsid w:val="005D13EB"/>
    <w:rsid w:val="005D1853"/>
    <w:rsid w:val="005D2DF6"/>
    <w:rsid w:val="005D6E5F"/>
    <w:rsid w:val="005D7450"/>
    <w:rsid w:val="005E04B1"/>
    <w:rsid w:val="005E0D23"/>
    <w:rsid w:val="005F030A"/>
    <w:rsid w:val="005F328A"/>
    <w:rsid w:val="005F4341"/>
    <w:rsid w:val="005F5107"/>
    <w:rsid w:val="00600445"/>
    <w:rsid w:val="00600E88"/>
    <w:rsid w:val="006010CD"/>
    <w:rsid w:val="00605C33"/>
    <w:rsid w:val="00612751"/>
    <w:rsid w:val="006153B9"/>
    <w:rsid w:val="006259AE"/>
    <w:rsid w:val="0063362E"/>
    <w:rsid w:val="00652E2B"/>
    <w:rsid w:val="00657160"/>
    <w:rsid w:val="006579DC"/>
    <w:rsid w:val="00657EB6"/>
    <w:rsid w:val="0066744A"/>
    <w:rsid w:val="00673A4D"/>
    <w:rsid w:val="00675A51"/>
    <w:rsid w:val="0067670F"/>
    <w:rsid w:val="0067735A"/>
    <w:rsid w:val="006818F0"/>
    <w:rsid w:val="00685176"/>
    <w:rsid w:val="006857B5"/>
    <w:rsid w:val="00686796"/>
    <w:rsid w:val="006956A1"/>
    <w:rsid w:val="00695A92"/>
    <w:rsid w:val="006A177C"/>
    <w:rsid w:val="006A6255"/>
    <w:rsid w:val="006B3423"/>
    <w:rsid w:val="006B72B5"/>
    <w:rsid w:val="006C2CEA"/>
    <w:rsid w:val="006D4345"/>
    <w:rsid w:val="006D49E9"/>
    <w:rsid w:val="006D7503"/>
    <w:rsid w:val="006E334B"/>
    <w:rsid w:val="006E79F6"/>
    <w:rsid w:val="006F1453"/>
    <w:rsid w:val="006F1C55"/>
    <w:rsid w:val="007007E3"/>
    <w:rsid w:val="0070451B"/>
    <w:rsid w:val="007119C7"/>
    <w:rsid w:val="00714400"/>
    <w:rsid w:val="00715598"/>
    <w:rsid w:val="007228CD"/>
    <w:rsid w:val="0072529B"/>
    <w:rsid w:val="00730DC7"/>
    <w:rsid w:val="00740DA9"/>
    <w:rsid w:val="00740F3A"/>
    <w:rsid w:val="00746D3E"/>
    <w:rsid w:val="0074743A"/>
    <w:rsid w:val="007538C8"/>
    <w:rsid w:val="007553A4"/>
    <w:rsid w:val="00755C37"/>
    <w:rsid w:val="0075666B"/>
    <w:rsid w:val="007636A9"/>
    <w:rsid w:val="00763F36"/>
    <w:rsid w:val="0076600F"/>
    <w:rsid w:val="00766586"/>
    <w:rsid w:val="00767788"/>
    <w:rsid w:val="00772E49"/>
    <w:rsid w:val="00777E1F"/>
    <w:rsid w:val="00783405"/>
    <w:rsid w:val="00786679"/>
    <w:rsid w:val="00794036"/>
    <w:rsid w:val="007A12F3"/>
    <w:rsid w:val="007A611D"/>
    <w:rsid w:val="007B181E"/>
    <w:rsid w:val="007B2D6A"/>
    <w:rsid w:val="007B5CE5"/>
    <w:rsid w:val="007C6BDB"/>
    <w:rsid w:val="007C6D70"/>
    <w:rsid w:val="007D0529"/>
    <w:rsid w:val="007D3731"/>
    <w:rsid w:val="007D557A"/>
    <w:rsid w:val="007D6938"/>
    <w:rsid w:val="007E0F5F"/>
    <w:rsid w:val="007E3B57"/>
    <w:rsid w:val="007E5745"/>
    <w:rsid w:val="007F0257"/>
    <w:rsid w:val="007F1E5D"/>
    <w:rsid w:val="00800092"/>
    <w:rsid w:val="00802531"/>
    <w:rsid w:val="00802FE2"/>
    <w:rsid w:val="00810751"/>
    <w:rsid w:val="00821131"/>
    <w:rsid w:val="008222C9"/>
    <w:rsid w:val="00822C6D"/>
    <w:rsid w:val="00836D35"/>
    <w:rsid w:val="008402B0"/>
    <w:rsid w:val="00840661"/>
    <w:rsid w:val="00852773"/>
    <w:rsid w:val="008562D3"/>
    <w:rsid w:val="00857ADA"/>
    <w:rsid w:val="008615BE"/>
    <w:rsid w:val="00870E71"/>
    <w:rsid w:val="008751D2"/>
    <w:rsid w:val="00881098"/>
    <w:rsid w:val="0088773C"/>
    <w:rsid w:val="00891E2B"/>
    <w:rsid w:val="00893A7C"/>
    <w:rsid w:val="008A0467"/>
    <w:rsid w:val="008A305E"/>
    <w:rsid w:val="008A50E3"/>
    <w:rsid w:val="008A542E"/>
    <w:rsid w:val="008B0252"/>
    <w:rsid w:val="008B27CA"/>
    <w:rsid w:val="008C0C03"/>
    <w:rsid w:val="008D366D"/>
    <w:rsid w:val="008E0704"/>
    <w:rsid w:val="008E2821"/>
    <w:rsid w:val="008E3175"/>
    <w:rsid w:val="008E5D7E"/>
    <w:rsid w:val="008E65A4"/>
    <w:rsid w:val="008F1B30"/>
    <w:rsid w:val="00907AF2"/>
    <w:rsid w:val="009108A1"/>
    <w:rsid w:val="00912CB9"/>
    <w:rsid w:val="00917C4A"/>
    <w:rsid w:val="00920FD8"/>
    <w:rsid w:val="00921FFB"/>
    <w:rsid w:val="00932041"/>
    <w:rsid w:val="00933729"/>
    <w:rsid w:val="00933CB8"/>
    <w:rsid w:val="00935AE9"/>
    <w:rsid w:val="009410B9"/>
    <w:rsid w:val="0094215F"/>
    <w:rsid w:val="00942242"/>
    <w:rsid w:val="0094512A"/>
    <w:rsid w:val="00950078"/>
    <w:rsid w:val="009511F2"/>
    <w:rsid w:val="00954A7D"/>
    <w:rsid w:val="00955D62"/>
    <w:rsid w:val="00956521"/>
    <w:rsid w:val="009573C4"/>
    <w:rsid w:val="00961130"/>
    <w:rsid w:val="00965A4D"/>
    <w:rsid w:val="00973A34"/>
    <w:rsid w:val="00973BCE"/>
    <w:rsid w:val="00973D04"/>
    <w:rsid w:val="0097438A"/>
    <w:rsid w:val="00985E54"/>
    <w:rsid w:val="00992782"/>
    <w:rsid w:val="00993738"/>
    <w:rsid w:val="00994771"/>
    <w:rsid w:val="009A19E8"/>
    <w:rsid w:val="009A57C7"/>
    <w:rsid w:val="009A70C9"/>
    <w:rsid w:val="009B318F"/>
    <w:rsid w:val="009B56BD"/>
    <w:rsid w:val="009B7A37"/>
    <w:rsid w:val="009C24C5"/>
    <w:rsid w:val="009C2DF8"/>
    <w:rsid w:val="009F405A"/>
    <w:rsid w:val="00A160AD"/>
    <w:rsid w:val="00A36093"/>
    <w:rsid w:val="00A40A0D"/>
    <w:rsid w:val="00A43EED"/>
    <w:rsid w:val="00A44A41"/>
    <w:rsid w:val="00A45C28"/>
    <w:rsid w:val="00A4688A"/>
    <w:rsid w:val="00A51B9C"/>
    <w:rsid w:val="00A54E5C"/>
    <w:rsid w:val="00A560F6"/>
    <w:rsid w:val="00A6187E"/>
    <w:rsid w:val="00A649AF"/>
    <w:rsid w:val="00A70560"/>
    <w:rsid w:val="00A93CF2"/>
    <w:rsid w:val="00A9548E"/>
    <w:rsid w:val="00A95A7F"/>
    <w:rsid w:val="00A97B7D"/>
    <w:rsid w:val="00AA1570"/>
    <w:rsid w:val="00AA677D"/>
    <w:rsid w:val="00AB6292"/>
    <w:rsid w:val="00AC1544"/>
    <w:rsid w:val="00AD20BE"/>
    <w:rsid w:val="00AD38EE"/>
    <w:rsid w:val="00AF05EE"/>
    <w:rsid w:val="00AF31CE"/>
    <w:rsid w:val="00AF4D78"/>
    <w:rsid w:val="00AF67B3"/>
    <w:rsid w:val="00B00197"/>
    <w:rsid w:val="00B0040C"/>
    <w:rsid w:val="00B010E3"/>
    <w:rsid w:val="00B118CF"/>
    <w:rsid w:val="00B12816"/>
    <w:rsid w:val="00B137E5"/>
    <w:rsid w:val="00B139FA"/>
    <w:rsid w:val="00B17326"/>
    <w:rsid w:val="00B20A97"/>
    <w:rsid w:val="00B24A4A"/>
    <w:rsid w:val="00B26CA6"/>
    <w:rsid w:val="00B3345E"/>
    <w:rsid w:val="00B36B48"/>
    <w:rsid w:val="00B42DC1"/>
    <w:rsid w:val="00B45908"/>
    <w:rsid w:val="00B51668"/>
    <w:rsid w:val="00B640A5"/>
    <w:rsid w:val="00B670E4"/>
    <w:rsid w:val="00B74FEF"/>
    <w:rsid w:val="00B75734"/>
    <w:rsid w:val="00B77F03"/>
    <w:rsid w:val="00B82A8A"/>
    <w:rsid w:val="00B82D8D"/>
    <w:rsid w:val="00B85B9E"/>
    <w:rsid w:val="00B92162"/>
    <w:rsid w:val="00B927F0"/>
    <w:rsid w:val="00B936C1"/>
    <w:rsid w:val="00B94DC0"/>
    <w:rsid w:val="00B973BA"/>
    <w:rsid w:val="00BA193F"/>
    <w:rsid w:val="00BA2D4E"/>
    <w:rsid w:val="00BA45B3"/>
    <w:rsid w:val="00BA763C"/>
    <w:rsid w:val="00BB0B43"/>
    <w:rsid w:val="00BB14DD"/>
    <w:rsid w:val="00BB20DD"/>
    <w:rsid w:val="00BB35AA"/>
    <w:rsid w:val="00BB5B07"/>
    <w:rsid w:val="00BB7FA4"/>
    <w:rsid w:val="00BC3551"/>
    <w:rsid w:val="00BC4F48"/>
    <w:rsid w:val="00BC679D"/>
    <w:rsid w:val="00BE5920"/>
    <w:rsid w:val="00BF0919"/>
    <w:rsid w:val="00C02A5A"/>
    <w:rsid w:val="00C03B56"/>
    <w:rsid w:val="00C03B5D"/>
    <w:rsid w:val="00C21BE6"/>
    <w:rsid w:val="00C3361E"/>
    <w:rsid w:val="00C34FEE"/>
    <w:rsid w:val="00C36662"/>
    <w:rsid w:val="00C401B4"/>
    <w:rsid w:val="00C40B6C"/>
    <w:rsid w:val="00C43502"/>
    <w:rsid w:val="00C515B0"/>
    <w:rsid w:val="00C53FF7"/>
    <w:rsid w:val="00C5677F"/>
    <w:rsid w:val="00C63ED5"/>
    <w:rsid w:val="00C67855"/>
    <w:rsid w:val="00C778AD"/>
    <w:rsid w:val="00C77A29"/>
    <w:rsid w:val="00C8497E"/>
    <w:rsid w:val="00C86EC2"/>
    <w:rsid w:val="00C91270"/>
    <w:rsid w:val="00C91361"/>
    <w:rsid w:val="00C94E70"/>
    <w:rsid w:val="00CA38CC"/>
    <w:rsid w:val="00CB0059"/>
    <w:rsid w:val="00CB0F25"/>
    <w:rsid w:val="00CB15A8"/>
    <w:rsid w:val="00CB648E"/>
    <w:rsid w:val="00CC5D4A"/>
    <w:rsid w:val="00CD0775"/>
    <w:rsid w:val="00CD1F8B"/>
    <w:rsid w:val="00CE3822"/>
    <w:rsid w:val="00CE64A2"/>
    <w:rsid w:val="00D029FB"/>
    <w:rsid w:val="00D114F2"/>
    <w:rsid w:val="00D11DE0"/>
    <w:rsid w:val="00D122D7"/>
    <w:rsid w:val="00D13839"/>
    <w:rsid w:val="00D14EFB"/>
    <w:rsid w:val="00D26A9E"/>
    <w:rsid w:val="00D3132B"/>
    <w:rsid w:val="00D35764"/>
    <w:rsid w:val="00D36A51"/>
    <w:rsid w:val="00D41761"/>
    <w:rsid w:val="00D4749F"/>
    <w:rsid w:val="00D47FE9"/>
    <w:rsid w:val="00D50CE9"/>
    <w:rsid w:val="00D56B2D"/>
    <w:rsid w:val="00D6089E"/>
    <w:rsid w:val="00D61929"/>
    <w:rsid w:val="00D625DD"/>
    <w:rsid w:val="00D62EBF"/>
    <w:rsid w:val="00D65A5C"/>
    <w:rsid w:val="00D71972"/>
    <w:rsid w:val="00D73E78"/>
    <w:rsid w:val="00D76BAA"/>
    <w:rsid w:val="00D77799"/>
    <w:rsid w:val="00D77DF3"/>
    <w:rsid w:val="00D83E4E"/>
    <w:rsid w:val="00D850A2"/>
    <w:rsid w:val="00DB76B1"/>
    <w:rsid w:val="00DC0CA9"/>
    <w:rsid w:val="00DC4911"/>
    <w:rsid w:val="00DD0C78"/>
    <w:rsid w:val="00DD3EEB"/>
    <w:rsid w:val="00DE2E9E"/>
    <w:rsid w:val="00DF3543"/>
    <w:rsid w:val="00DF441F"/>
    <w:rsid w:val="00DF67B8"/>
    <w:rsid w:val="00E11E13"/>
    <w:rsid w:val="00E13699"/>
    <w:rsid w:val="00E1723A"/>
    <w:rsid w:val="00E20CD8"/>
    <w:rsid w:val="00E2372D"/>
    <w:rsid w:val="00E26EAB"/>
    <w:rsid w:val="00E27306"/>
    <w:rsid w:val="00E27499"/>
    <w:rsid w:val="00E340D1"/>
    <w:rsid w:val="00E426CF"/>
    <w:rsid w:val="00E50863"/>
    <w:rsid w:val="00E5478B"/>
    <w:rsid w:val="00E730FC"/>
    <w:rsid w:val="00E74F99"/>
    <w:rsid w:val="00E80E37"/>
    <w:rsid w:val="00E86BB2"/>
    <w:rsid w:val="00E900B2"/>
    <w:rsid w:val="00E90FF2"/>
    <w:rsid w:val="00E91DAB"/>
    <w:rsid w:val="00E93664"/>
    <w:rsid w:val="00E970B2"/>
    <w:rsid w:val="00EA40F8"/>
    <w:rsid w:val="00EB18AB"/>
    <w:rsid w:val="00EB5262"/>
    <w:rsid w:val="00EB6383"/>
    <w:rsid w:val="00EB74C6"/>
    <w:rsid w:val="00EB7A0F"/>
    <w:rsid w:val="00EC7529"/>
    <w:rsid w:val="00ED0740"/>
    <w:rsid w:val="00ED13BA"/>
    <w:rsid w:val="00ED6065"/>
    <w:rsid w:val="00ED7B51"/>
    <w:rsid w:val="00EE2EC9"/>
    <w:rsid w:val="00EE5AB8"/>
    <w:rsid w:val="00EF0B8A"/>
    <w:rsid w:val="00EF2844"/>
    <w:rsid w:val="00EF3D22"/>
    <w:rsid w:val="00F01BBD"/>
    <w:rsid w:val="00F05EC7"/>
    <w:rsid w:val="00F06760"/>
    <w:rsid w:val="00F0691A"/>
    <w:rsid w:val="00F14CDF"/>
    <w:rsid w:val="00F14E4C"/>
    <w:rsid w:val="00F17A1A"/>
    <w:rsid w:val="00F25E60"/>
    <w:rsid w:val="00F26F2A"/>
    <w:rsid w:val="00F32BBB"/>
    <w:rsid w:val="00F345B9"/>
    <w:rsid w:val="00F35DA6"/>
    <w:rsid w:val="00F452AE"/>
    <w:rsid w:val="00F5463E"/>
    <w:rsid w:val="00F54A93"/>
    <w:rsid w:val="00F558C6"/>
    <w:rsid w:val="00F56C40"/>
    <w:rsid w:val="00F622FA"/>
    <w:rsid w:val="00F63CEC"/>
    <w:rsid w:val="00F663E0"/>
    <w:rsid w:val="00F82AAF"/>
    <w:rsid w:val="00F9078D"/>
    <w:rsid w:val="00F9408D"/>
    <w:rsid w:val="00F941CB"/>
    <w:rsid w:val="00F9715A"/>
    <w:rsid w:val="00F97EB2"/>
    <w:rsid w:val="00FA4EA4"/>
    <w:rsid w:val="00FA5178"/>
    <w:rsid w:val="00FC6B69"/>
    <w:rsid w:val="00FD639D"/>
    <w:rsid w:val="00FE0A56"/>
    <w:rsid w:val="00FE1015"/>
    <w:rsid w:val="00FE199C"/>
    <w:rsid w:val="00FE3BF6"/>
    <w:rsid w:val="00FE5A49"/>
    <w:rsid w:val="00FF27C8"/>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styleId="NichtaufgelsteErwhnung">
    <w:name w:val="Unresolved Mention"/>
    <w:basedOn w:val="Absatz-Standardschriftart"/>
    <w:uiPriority w:val="99"/>
    <w:semiHidden/>
    <w:unhideWhenUsed/>
    <w:rsid w:val="00C9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graefe@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Philipp Gräfe</cp:lastModifiedBy>
  <cp:revision>2</cp:revision>
  <cp:lastPrinted>2022-04-25T12:12:00Z</cp:lastPrinted>
  <dcterms:created xsi:type="dcterms:W3CDTF">2022-05-12T12:47:00Z</dcterms:created>
  <dcterms:modified xsi:type="dcterms:W3CDTF">2022-05-12T12:47:00Z</dcterms:modified>
</cp:coreProperties>
</file>