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57FCC" w:rsidR="007D4174" w:rsidP="00D355D7" w:rsidRDefault="007D4174" w14:paraId="1E34A334" w14:textId="737C64A8">
      <w:pPr>
        <w:pStyle w:val="berschrift5"/>
        <w:spacing w:line="276" w:lineRule="auto"/>
        <w:ind w:left="0"/>
        <w:rPr>
          <w:rFonts w:ascii="Georgia" w:hAnsi="Georgia"/>
          <w:color w:val="000000"/>
          <w:szCs w:val="36"/>
          <w:u w:color="000000"/>
          <w:lang w:val="de-DE"/>
        </w:rPr>
      </w:pPr>
      <w:r w:rsidRPr="00157FCC">
        <w:rPr>
          <w:rFonts w:ascii="Georgia" w:hAnsi="Georgia"/>
          <w:color w:val="000000"/>
          <w:szCs w:val="36"/>
          <w:u w:color="000000"/>
          <w:lang w:val="de-DE"/>
        </w:rPr>
        <w:t>Pressemitteilung</w:t>
      </w:r>
    </w:p>
    <w:p w:rsidRPr="00157FCC" w:rsidR="007D4174" w:rsidP="00D355D7" w:rsidRDefault="007D4174" w14:paraId="6465BC1C" w14:textId="77777777">
      <w:pPr>
        <w:pStyle w:val="Textkrper-Einzug2"/>
        <w:spacing w:line="276" w:lineRule="auto"/>
        <w:ind w:left="709"/>
        <w:jc w:val="left"/>
        <w:rPr>
          <w:rFonts w:ascii="Georgia" w:hAnsi="Georgia"/>
          <w:sz w:val="36"/>
          <w:szCs w:val="36"/>
          <w:u w:color="000000"/>
        </w:rPr>
      </w:pPr>
    </w:p>
    <w:p w:rsidRPr="00B35EF1" w:rsidR="007D4174" w:rsidP="00D355D7" w:rsidRDefault="00EA5B17" w14:paraId="2DEE68AF" w14:textId="72B2D1BE">
      <w:pPr>
        <w:spacing w:after="100" w:afterAutospacing="1" w:line="276" w:lineRule="auto"/>
        <w:rPr>
          <w:rFonts w:ascii="Georgia" w:hAnsi="Georgia" w:cs="Georgia"/>
          <w:b/>
          <w:bCs/>
          <w:sz w:val="40"/>
          <w:szCs w:val="40"/>
        </w:rPr>
      </w:pPr>
      <w:r>
        <w:rPr>
          <w:rFonts w:ascii="Georgia" w:hAnsi="Georgia" w:cs="Georgia"/>
          <w:b/>
          <w:bCs/>
          <w:sz w:val="40"/>
          <w:szCs w:val="40"/>
        </w:rPr>
        <w:t xml:space="preserve">Die europäische </w:t>
      </w:r>
      <w:r w:rsidR="004100C7">
        <w:rPr>
          <w:rFonts w:ascii="Georgia" w:hAnsi="Georgia" w:cs="Georgia"/>
          <w:b/>
          <w:bCs/>
          <w:sz w:val="40"/>
          <w:szCs w:val="40"/>
        </w:rPr>
        <w:t xml:space="preserve">Private-Equity-Branche </w:t>
      </w:r>
      <w:r>
        <w:rPr>
          <w:rFonts w:ascii="Georgia" w:hAnsi="Georgia" w:cs="Georgia"/>
          <w:b/>
          <w:bCs/>
          <w:sz w:val="40"/>
          <w:szCs w:val="40"/>
        </w:rPr>
        <w:t>ist auf Erholungskurs</w:t>
      </w:r>
    </w:p>
    <w:p w:rsidRPr="004100C7" w:rsidR="00FF5055" w:rsidP="00D355D7" w:rsidRDefault="004100C7" w14:paraId="183C8FD2" w14:textId="0039DC61">
      <w:pPr>
        <w:spacing w:line="276" w:lineRule="auto"/>
        <w:rPr>
          <w:rFonts w:ascii="Georgia" w:hAnsi="Georgia" w:cs="Georgia"/>
          <w:b/>
          <w:iCs/>
          <w:sz w:val="22"/>
          <w:szCs w:val="22"/>
        </w:rPr>
      </w:pPr>
      <w:r w:rsidRPr="004100C7">
        <w:rPr>
          <w:rFonts w:ascii="Georgia" w:hAnsi="Georgia" w:cs="Georgia"/>
          <w:b/>
          <w:iCs/>
          <w:sz w:val="22"/>
          <w:szCs w:val="22"/>
        </w:rPr>
        <w:t>Private Equity Trend Report 2025 von PwC: Zahl der</w:t>
      </w:r>
      <w:r>
        <w:rPr>
          <w:rFonts w:ascii="Georgia" w:hAnsi="Georgia" w:cs="Georgia"/>
          <w:b/>
          <w:iCs/>
          <w:sz w:val="22"/>
          <w:szCs w:val="22"/>
        </w:rPr>
        <w:t xml:space="preserve"> Transaktionen bleibt stabil, Volumen legt deutlich zu / DACH-Region performt schlechter als der europäische Durchschnitt, aber der deutsche Markt </w:t>
      </w:r>
      <w:r w:rsidR="00C45A98">
        <w:rPr>
          <w:rFonts w:ascii="Georgia" w:hAnsi="Georgia" w:cs="Georgia"/>
          <w:b/>
          <w:iCs/>
          <w:sz w:val="22"/>
          <w:szCs w:val="22"/>
        </w:rPr>
        <w:t xml:space="preserve">bleibt bedeutend / </w:t>
      </w:r>
      <w:r w:rsidR="00C45A98">
        <w:rPr>
          <w:rFonts w:ascii="Georgia" w:hAnsi="Georgia" w:cs="Georgia"/>
          <w:b/>
          <w:iCs/>
          <w:sz w:val="22"/>
          <w:szCs w:val="22"/>
        </w:rPr>
        <w:t>KI präg</w:t>
      </w:r>
      <w:r w:rsidR="008A5AFC">
        <w:rPr>
          <w:rFonts w:ascii="Georgia" w:hAnsi="Georgia" w:cs="Georgia"/>
          <w:b/>
          <w:iCs/>
          <w:sz w:val="22"/>
          <w:szCs w:val="22"/>
        </w:rPr>
        <w:t>t</w:t>
      </w:r>
      <w:r w:rsidR="00C45A98">
        <w:rPr>
          <w:rFonts w:ascii="Georgia" w:hAnsi="Georgia" w:cs="Georgia"/>
          <w:b/>
          <w:iCs/>
          <w:sz w:val="22"/>
          <w:szCs w:val="22"/>
        </w:rPr>
        <w:t xml:space="preserve"> PE-Firmen schon heute</w:t>
      </w:r>
      <w:r w:rsidR="00C45A98">
        <w:rPr>
          <w:rFonts w:ascii="Georgia" w:hAnsi="Georgia" w:cs="Georgia"/>
          <w:b/>
          <w:iCs/>
          <w:sz w:val="22"/>
          <w:szCs w:val="22"/>
        </w:rPr>
        <w:t xml:space="preserve"> stark / </w:t>
      </w:r>
      <w:r>
        <w:rPr>
          <w:rFonts w:ascii="Georgia" w:hAnsi="Georgia" w:cs="Georgia"/>
          <w:b/>
          <w:iCs/>
          <w:sz w:val="22"/>
          <w:szCs w:val="22"/>
        </w:rPr>
        <w:t xml:space="preserve">Anleger </w:t>
      </w:r>
      <w:r w:rsidR="00C45A98">
        <w:rPr>
          <w:rFonts w:ascii="Georgia" w:hAnsi="Georgia" w:cs="Georgia"/>
          <w:b/>
          <w:iCs/>
          <w:sz w:val="22"/>
          <w:szCs w:val="22"/>
        </w:rPr>
        <w:t xml:space="preserve">blicken </w:t>
      </w:r>
      <w:r>
        <w:rPr>
          <w:rFonts w:ascii="Georgia" w:hAnsi="Georgia" w:cs="Georgia"/>
          <w:b/>
          <w:iCs/>
          <w:sz w:val="22"/>
          <w:szCs w:val="22"/>
        </w:rPr>
        <w:t>optimistisch</w:t>
      </w:r>
      <w:r w:rsidR="00C45A98">
        <w:rPr>
          <w:rFonts w:ascii="Georgia" w:hAnsi="Georgia" w:cs="Georgia"/>
          <w:b/>
          <w:iCs/>
          <w:sz w:val="22"/>
          <w:szCs w:val="22"/>
        </w:rPr>
        <w:t xml:space="preserve"> auf die Branchene</w:t>
      </w:r>
      <w:r>
        <w:rPr>
          <w:rFonts w:ascii="Georgia" w:hAnsi="Georgia" w:cs="Georgia"/>
          <w:b/>
          <w:iCs/>
          <w:sz w:val="22"/>
          <w:szCs w:val="22"/>
        </w:rPr>
        <w:t xml:space="preserve">ntwicklung </w:t>
      </w:r>
    </w:p>
    <w:p w:rsidRPr="004100C7" w:rsidR="00FF5055" w:rsidP="00D355D7" w:rsidRDefault="00FF5055" w14:paraId="78522461" w14:textId="77777777">
      <w:pPr>
        <w:spacing w:line="276" w:lineRule="auto"/>
        <w:ind w:left="709"/>
        <w:rPr>
          <w:rFonts w:ascii="Georgia" w:hAnsi="Georgia" w:cs="Georgia"/>
          <w:b/>
          <w:iCs/>
          <w:color w:val="FF0000"/>
          <w:sz w:val="22"/>
          <w:szCs w:val="22"/>
        </w:rPr>
      </w:pPr>
    </w:p>
    <w:p w:rsidR="00C45A98" w:rsidP="3D1491B6" w:rsidRDefault="007D4174" w14:paraId="3D7E1D8C" w14:textId="3CD42730">
      <w:pPr>
        <w:spacing w:line="276" w:lineRule="auto"/>
        <w:rPr>
          <w:rFonts w:ascii="Georgia" w:hAnsi="Georgia" w:cs="Georgia"/>
          <w:sz w:val="22"/>
          <w:szCs w:val="22"/>
        </w:rPr>
      </w:pPr>
      <w:r w:rsidRPr="3D1491B6" w:rsidR="1C646F86">
        <w:rPr>
          <w:rFonts w:ascii="Georgia" w:hAnsi="Georgia" w:cs="Georgia"/>
          <w:i w:val="1"/>
          <w:iCs w:val="1"/>
          <w:sz w:val="22"/>
          <w:szCs w:val="22"/>
        </w:rPr>
        <w:t>Frankfurt</w:t>
      </w:r>
      <w:r w:rsidRPr="3D1491B6" w:rsidR="007D4174">
        <w:rPr>
          <w:rFonts w:ascii="Georgia" w:hAnsi="Georgia" w:cs="Georgia"/>
          <w:i w:val="1"/>
          <w:iCs w:val="1"/>
          <w:sz w:val="22"/>
          <w:szCs w:val="22"/>
        </w:rPr>
        <w:t xml:space="preserve">, </w:t>
      </w:r>
      <w:r w:rsidRPr="3D1491B6" w:rsidR="007D4174">
        <w:rPr>
          <w:rFonts w:ascii="Georgia" w:hAnsi="Georgia" w:cs="Georgia"/>
          <w:i w:val="1"/>
          <w:iCs w:val="1"/>
          <w:color w:val="FF0000"/>
          <w:sz w:val="22"/>
          <w:szCs w:val="22"/>
        </w:rPr>
        <w:t xml:space="preserve">xx. </w:t>
      </w:r>
      <w:r w:rsidRPr="3D1491B6" w:rsidR="004100C7">
        <w:rPr>
          <w:rFonts w:ascii="Georgia" w:hAnsi="Georgia" w:cs="Georgia"/>
          <w:i w:val="1"/>
          <w:iCs w:val="1"/>
          <w:color w:val="FF0000"/>
          <w:sz w:val="22"/>
          <w:szCs w:val="22"/>
        </w:rPr>
        <w:t>März 2025.</w:t>
      </w:r>
      <w:r w:rsidRPr="3D1491B6" w:rsidR="007D4174">
        <w:rPr>
          <w:rFonts w:ascii="Georgia" w:hAnsi="Georgia" w:cs="Georgia"/>
          <w:i w:val="1"/>
          <w:iCs w:val="1"/>
          <w:color w:val="FF0000"/>
          <w:sz w:val="22"/>
          <w:szCs w:val="22"/>
        </w:rPr>
        <w:t xml:space="preserve"> </w:t>
      </w:r>
      <w:r w:rsidRPr="3D1491B6" w:rsidR="00C45A98">
        <w:rPr>
          <w:rFonts w:ascii="Georgia" w:hAnsi="Georgia" w:cs="Georgia"/>
          <w:sz w:val="22"/>
          <w:szCs w:val="22"/>
        </w:rPr>
        <w:t>Die</w:t>
      </w:r>
      <w:r w:rsidRPr="3D1491B6" w:rsidR="004100C7">
        <w:rPr>
          <w:rFonts w:ascii="Georgia" w:hAnsi="Georgia" w:cs="Georgia"/>
          <w:sz w:val="22"/>
          <w:szCs w:val="22"/>
        </w:rPr>
        <w:t xml:space="preserve"> Jahre 2020 bis 2023 </w:t>
      </w:r>
      <w:r w:rsidRPr="3D1491B6" w:rsidR="00C45A98">
        <w:rPr>
          <w:rFonts w:ascii="Georgia" w:hAnsi="Georgia" w:cs="Georgia"/>
          <w:sz w:val="22"/>
          <w:szCs w:val="22"/>
        </w:rPr>
        <w:t xml:space="preserve">waren </w:t>
      </w:r>
      <w:r w:rsidRPr="3D1491B6" w:rsidR="004100C7">
        <w:rPr>
          <w:rFonts w:ascii="Georgia" w:hAnsi="Georgia" w:cs="Georgia"/>
          <w:sz w:val="22"/>
          <w:szCs w:val="22"/>
        </w:rPr>
        <w:t>für die europäische Private-</w:t>
      </w:r>
      <w:r w:rsidRPr="3D1491B6" w:rsidR="004100C7">
        <w:rPr>
          <w:rFonts w:ascii="Georgia" w:hAnsi="Georgia" w:cs="Georgia"/>
          <w:sz w:val="22"/>
          <w:szCs w:val="22"/>
        </w:rPr>
        <w:t>Equity</w:t>
      </w:r>
      <w:r w:rsidRPr="3D1491B6" w:rsidR="0F294248">
        <w:rPr>
          <w:rFonts w:ascii="Georgia" w:hAnsi="Georgia" w:cs="Georgia"/>
          <w:sz w:val="22"/>
          <w:szCs w:val="22"/>
        </w:rPr>
        <w:t xml:space="preserve"> </w:t>
      </w:r>
      <w:r w:rsidRPr="3D1491B6" w:rsidR="004100C7">
        <w:rPr>
          <w:rFonts w:ascii="Georgia" w:hAnsi="Georgia" w:cs="Georgia"/>
          <w:sz w:val="22"/>
          <w:szCs w:val="22"/>
        </w:rPr>
        <w:t>(</w:t>
      </w:r>
      <w:r w:rsidRPr="3D1491B6" w:rsidR="004100C7">
        <w:rPr>
          <w:rFonts w:ascii="Georgia" w:hAnsi="Georgia" w:cs="Georgia"/>
          <w:sz w:val="22"/>
          <w:szCs w:val="22"/>
        </w:rPr>
        <w:t xml:space="preserve">PE)-Branche von </w:t>
      </w:r>
      <w:r w:rsidRPr="3D1491B6" w:rsidR="00C45A98">
        <w:rPr>
          <w:rFonts w:ascii="Georgia" w:hAnsi="Georgia" w:cs="Georgia"/>
          <w:sz w:val="22"/>
          <w:szCs w:val="22"/>
        </w:rPr>
        <w:t xml:space="preserve">viel </w:t>
      </w:r>
      <w:r w:rsidRPr="3D1491B6" w:rsidR="004100C7">
        <w:rPr>
          <w:rFonts w:ascii="Georgia" w:hAnsi="Georgia" w:cs="Georgia"/>
          <w:sz w:val="22"/>
          <w:szCs w:val="22"/>
        </w:rPr>
        <w:t xml:space="preserve">Bewegung und </w:t>
      </w:r>
      <w:r w:rsidRPr="3D1491B6" w:rsidR="00C45A98">
        <w:rPr>
          <w:rFonts w:ascii="Georgia" w:hAnsi="Georgia" w:cs="Georgia"/>
          <w:sz w:val="22"/>
          <w:szCs w:val="22"/>
        </w:rPr>
        <w:t xml:space="preserve">großer </w:t>
      </w:r>
      <w:r w:rsidRPr="3D1491B6" w:rsidR="004100C7">
        <w:rPr>
          <w:rFonts w:ascii="Georgia" w:hAnsi="Georgia" w:cs="Georgia"/>
          <w:sz w:val="22"/>
          <w:szCs w:val="22"/>
        </w:rPr>
        <w:t>Unsicherheit geprägt</w:t>
      </w:r>
      <w:r w:rsidRPr="3D1491B6" w:rsidR="00C45A98">
        <w:rPr>
          <w:rFonts w:ascii="Georgia" w:hAnsi="Georgia" w:cs="Georgia"/>
          <w:sz w:val="22"/>
          <w:szCs w:val="22"/>
        </w:rPr>
        <w:t xml:space="preserve">. Im Laufe des Jahres 2024 </w:t>
      </w:r>
      <w:r w:rsidRPr="3D1491B6" w:rsidR="004100C7">
        <w:rPr>
          <w:rFonts w:ascii="Georgia" w:hAnsi="Georgia" w:cs="Georgia"/>
          <w:sz w:val="22"/>
          <w:szCs w:val="22"/>
        </w:rPr>
        <w:t xml:space="preserve">stabilisierte </w:t>
      </w:r>
      <w:r w:rsidRPr="3D1491B6" w:rsidR="00C45A98">
        <w:rPr>
          <w:rFonts w:ascii="Georgia" w:hAnsi="Georgia" w:cs="Georgia"/>
          <w:sz w:val="22"/>
          <w:szCs w:val="22"/>
        </w:rPr>
        <w:t xml:space="preserve">sie </w:t>
      </w:r>
      <w:r w:rsidRPr="3D1491B6" w:rsidR="004100C7">
        <w:rPr>
          <w:rFonts w:ascii="Georgia" w:hAnsi="Georgia" w:cs="Georgia"/>
          <w:sz w:val="22"/>
          <w:szCs w:val="22"/>
        </w:rPr>
        <w:t xml:space="preserve">sich </w:t>
      </w:r>
      <w:r w:rsidRPr="3D1491B6" w:rsidR="00C45A98">
        <w:rPr>
          <w:rFonts w:ascii="Georgia" w:hAnsi="Georgia" w:cs="Georgia"/>
          <w:sz w:val="22"/>
          <w:szCs w:val="22"/>
        </w:rPr>
        <w:t xml:space="preserve">wieder. Insbesondere 2023 waren </w:t>
      </w:r>
      <w:r w:rsidRPr="3D1491B6" w:rsidR="004100C7">
        <w:rPr>
          <w:rFonts w:ascii="Georgia" w:hAnsi="Georgia" w:cs="Georgia"/>
          <w:sz w:val="22"/>
          <w:szCs w:val="22"/>
        </w:rPr>
        <w:t xml:space="preserve">Anzahl </w:t>
      </w:r>
      <w:r w:rsidRPr="3D1491B6" w:rsidR="00C45A98">
        <w:rPr>
          <w:rFonts w:ascii="Georgia" w:hAnsi="Georgia" w:cs="Georgia"/>
          <w:sz w:val="22"/>
          <w:szCs w:val="22"/>
        </w:rPr>
        <w:t>und</w:t>
      </w:r>
      <w:r w:rsidRPr="3D1491B6" w:rsidR="004100C7">
        <w:rPr>
          <w:rFonts w:ascii="Georgia" w:hAnsi="Georgia" w:cs="Georgia"/>
          <w:sz w:val="22"/>
          <w:szCs w:val="22"/>
        </w:rPr>
        <w:t xml:space="preserve"> Volumen der Transaktionen stark eingebrochen</w:t>
      </w:r>
      <w:r w:rsidRPr="3D1491B6" w:rsidR="00C45A98">
        <w:rPr>
          <w:rFonts w:ascii="Georgia" w:hAnsi="Georgia" w:cs="Georgia"/>
          <w:sz w:val="22"/>
          <w:szCs w:val="22"/>
        </w:rPr>
        <w:t>.</w:t>
      </w:r>
      <w:r w:rsidRPr="3D1491B6" w:rsidR="004100C7">
        <w:rPr>
          <w:rFonts w:ascii="Georgia" w:hAnsi="Georgia" w:cs="Georgia"/>
          <w:sz w:val="22"/>
          <w:szCs w:val="22"/>
        </w:rPr>
        <w:t xml:space="preserve"> 2024 </w:t>
      </w:r>
      <w:r w:rsidRPr="3D1491B6" w:rsidR="00C45A98">
        <w:rPr>
          <w:rFonts w:ascii="Georgia" w:hAnsi="Georgia" w:cs="Georgia"/>
          <w:sz w:val="22"/>
          <w:szCs w:val="22"/>
        </w:rPr>
        <w:t xml:space="preserve">ist insbesondere das </w:t>
      </w:r>
      <w:r w:rsidRPr="3D1491B6" w:rsidR="00C45A98">
        <w:rPr>
          <w:rFonts w:ascii="Georgia" w:hAnsi="Georgia" w:cs="Georgia"/>
          <w:sz w:val="22"/>
          <w:szCs w:val="22"/>
        </w:rPr>
        <w:t>Dealvolumen</w:t>
      </w:r>
      <w:r w:rsidRPr="3D1491B6" w:rsidR="00C45A98">
        <w:rPr>
          <w:rFonts w:ascii="Georgia" w:hAnsi="Georgia" w:cs="Georgia"/>
          <w:sz w:val="22"/>
          <w:szCs w:val="22"/>
        </w:rPr>
        <w:t xml:space="preserve"> wieder gestiegen</w:t>
      </w:r>
      <w:r w:rsidRPr="3D1491B6" w:rsidR="004100C7">
        <w:rPr>
          <w:rFonts w:ascii="Georgia" w:hAnsi="Georgia" w:cs="Georgia"/>
          <w:sz w:val="22"/>
          <w:szCs w:val="22"/>
        </w:rPr>
        <w:t xml:space="preserve">: </w:t>
      </w:r>
      <w:r w:rsidRPr="3D1491B6" w:rsidR="00C45A98">
        <w:rPr>
          <w:rFonts w:ascii="Georgia" w:hAnsi="Georgia" w:cs="Georgia"/>
          <w:sz w:val="22"/>
          <w:szCs w:val="22"/>
        </w:rPr>
        <w:t>D</w:t>
      </w:r>
      <w:r w:rsidRPr="3D1491B6" w:rsidR="004100C7">
        <w:rPr>
          <w:rFonts w:ascii="Georgia" w:hAnsi="Georgia" w:cs="Georgia"/>
          <w:sz w:val="22"/>
          <w:szCs w:val="22"/>
        </w:rPr>
        <w:t>ie Zahl der Deals</w:t>
      </w:r>
      <w:r w:rsidRPr="3D1491B6" w:rsidR="00C45A98">
        <w:rPr>
          <w:rFonts w:ascii="Georgia" w:hAnsi="Georgia" w:cs="Georgia"/>
          <w:sz w:val="22"/>
          <w:szCs w:val="22"/>
        </w:rPr>
        <w:t xml:space="preserve"> in Europa</w:t>
      </w:r>
      <w:r w:rsidRPr="3D1491B6" w:rsidR="004100C7">
        <w:rPr>
          <w:rFonts w:ascii="Georgia" w:hAnsi="Georgia" w:cs="Georgia"/>
          <w:sz w:val="22"/>
          <w:szCs w:val="22"/>
        </w:rPr>
        <w:t xml:space="preserve"> lag </w:t>
      </w:r>
      <w:r w:rsidRPr="3D1491B6" w:rsidR="00C45A98">
        <w:rPr>
          <w:rFonts w:ascii="Georgia" w:hAnsi="Georgia" w:cs="Georgia"/>
          <w:sz w:val="22"/>
          <w:szCs w:val="22"/>
        </w:rPr>
        <w:t xml:space="preserve">2024 </w:t>
      </w:r>
      <w:r w:rsidRPr="3D1491B6" w:rsidR="004100C7">
        <w:rPr>
          <w:rFonts w:ascii="Georgia" w:hAnsi="Georgia" w:cs="Georgia"/>
          <w:sz w:val="22"/>
          <w:szCs w:val="22"/>
        </w:rPr>
        <w:t xml:space="preserve">bei </w:t>
      </w:r>
      <w:r w:rsidRPr="3D1491B6" w:rsidR="00C45A98">
        <w:rPr>
          <w:rFonts w:ascii="Georgia" w:hAnsi="Georgia" w:cs="Georgia"/>
          <w:sz w:val="22"/>
          <w:szCs w:val="22"/>
        </w:rPr>
        <w:t xml:space="preserve">insgesamt </w:t>
      </w:r>
      <w:r w:rsidRPr="3D1491B6" w:rsidR="004100C7">
        <w:rPr>
          <w:rFonts w:ascii="Georgia" w:hAnsi="Georgia" w:cs="Georgia"/>
          <w:sz w:val="22"/>
          <w:szCs w:val="22"/>
        </w:rPr>
        <w:t xml:space="preserve">3.975 </w:t>
      </w:r>
      <w:r w:rsidRPr="3D1491B6" w:rsidR="00C45A98">
        <w:rPr>
          <w:rFonts w:ascii="Georgia" w:hAnsi="Georgia" w:cs="Georgia"/>
          <w:sz w:val="22"/>
          <w:szCs w:val="22"/>
        </w:rPr>
        <w:t xml:space="preserve">– ein </w:t>
      </w:r>
      <w:r w:rsidRPr="3D1491B6" w:rsidR="004100C7">
        <w:rPr>
          <w:rFonts w:ascii="Georgia" w:hAnsi="Georgia" w:cs="Georgia"/>
          <w:sz w:val="22"/>
          <w:szCs w:val="22"/>
        </w:rPr>
        <w:t xml:space="preserve">Plus von 3,3 Prozent </w:t>
      </w:r>
      <w:r w:rsidRPr="3D1491B6" w:rsidR="00C45A98">
        <w:rPr>
          <w:rFonts w:ascii="Georgia" w:hAnsi="Georgia" w:cs="Georgia"/>
          <w:sz w:val="22"/>
          <w:szCs w:val="22"/>
        </w:rPr>
        <w:t xml:space="preserve">gegenüber dem </w:t>
      </w:r>
      <w:r w:rsidRPr="3D1491B6" w:rsidR="004100C7">
        <w:rPr>
          <w:rFonts w:ascii="Georgia" w:hAnsi="Georgia" w:cs="Georgia"/>
          <w:sz w:val="22"/>
          <w:szCs w:val="22"/>
        </w:rPr>
        <w:t>Vorjahr</w:t>
      </w:r>
      <w:r w:rsidRPr="3D1491B6" w:rsidR="00C45A98">
        <w:rPr>
          <w:rFonts w:ascii="Georgia" w:hAnsi="Georgia" w:cs="Georgia"/>
          <w:sz w:val="22"/>
          <w:szCs w:val="22"/>
        </w:rPr>
        <w:t>. D</w:t>
      </w:r>
      <w:r w:rsidRPr="3D1491B6" w:rsidR="004100C7">
        <w:rPr>
          <w:rFonts w:ascii="Georgia" w:hAnsi="Georgia" w:cs="Georgia"/>
          <w:sz w:val="22"/>
          <w:szCs w:val="22"/>
        </w:rPr>
        <w:t xml:space="preserve">as Transaktionsvolumen stieg dagegen </w:t>
      </w:r>
      <w:r w:rsidRPr="3D1491B6" w:rsidR="00C45A98">
        <w:rPr>
          <w:rFonts w:ascii="Georgia" w:hAnsi="Georgia" w:cs="Georgia"/>
          <w:sz w:val="22"/>
          <w:szCs w:val="22"/>
        </w:rPr>
        <w:t xml:space="preserve">deutlich, und zwar um </w:t>
      </w:r>
      <w:r w:rsidRPr="3D1491B6" w:rsidR="004100C7">
        <w:rPr>
          <w:rFonts w:ascii="Georgia" w:hAnsi="Georgia" w:cs="Georgia"/>
          <w:sz w:val="22"/>
          <w:szCs w:val="22"/>
        </w:rPr>
        <w:t>23 Prozent auf 342 Milliarden Euro.</w:t>
      </w:r>
      <w:r w:rsidRPr="3D1491B6" w:rsidR="00C45A98">
        <w:rPr>
          <w:rFonts w:ascii="Georgia" w:hAnsi="Georgia" w:cs="Georgia"/>
          <w:sz w:val="22"/>
          <w:szCs w:val="22"/>
        </w:rPr>
        <w:t xml:space="preserve"> Die</w:t>
      </w:r>
      <w:r w:rsidRPr="3D1491B6" w:rsidR="00C45A98">
        <w:rPr>
          <w:rFonts w:ascii="Georgia" w:hAnsi="Georgia" w:cs="Georgia"/>
          <w:sz w:val="22"/>
          <w:szCs w:val="22"/>
        </w:rPr>
        <w:t xml:space="preserve"> Hauptgründe für </w:t>
      </w:r>
      <w:r w:rsidRPr="3D1491B6" w:rsidR="00C45A98">
        <w:rPr>
          <w:rFonts w:ascii="Georgia" w:hAnsi="Georgia" w:cs="Georgia"/>
          <w:sz w:val="22"/>
          <w:szCs w:val="22"/>
        </w:rPr>
        <w:t xml:space="preserve">die Erholung </w:t>
      </w:r>
      <w:r w:rsidRPr="3D1491B6" w:rsidR="00C45A98">
        <w:rPr>
          <w:rFonts w:ascii="Georgia" w:hAnsi="Georgia" w:cs="Georgia"/>
          <w:sz w:val="22"/>
          <w:szCs w:val="22"/>
        </w:rPr>
        <w:t xml:space="preserve">waren die wieder </w:t>
      </w:r>
      <w:r w:rsidRPr="3D1491B6" w:rsidR="00C45A98">
        <w:rPr>
          <w:rFonts w:ascii="Georgia" w:hAnsi="Georgia" w:cs="Georgia"/>
          <w:sz w:val="22"/>
          <w:szCs w:val="22"/>
        </w:rPr>
        <w:t>niedrigere</w:t>
      </w:r>
      <w:r w:rsidRPr="3D1491B6" w:rsidR="00C45A98">
        <w:rPr>
          <w:rFonts w:ascii="Georgia" w:hAnsi="Georgia" w:cs="Georgia"/>
          <w:sz w:val="22"/>
          <w:szCs w:val="22"/>
        </w:rPr>
        <w:t>n</w:t>
      </w:r>
      <w:r w:rsidRPr="3D1491B6" w:rsidR="00C45A98">
        <w:rPr>
          <w:rFonts w:ascii="Georgia" w:hAnsi="Georgia" w:cs="Georgia"/>
          <w:sz w:val="22"/>
          <w:szCs w:val="22"/>
        </w:rPr>
        <w:t xml:space="preserve"> Zinssätze</w:t>
      </w:r>
      <w:r w:rsidRPr="3D1491B6" w:rsidR="00C45A98">
        <w:rPr>
          <w:rFonts w:ascii="Georgia" w:hAnsi="Georgia" w:cs="Georgia"/>
          <w:sz w:val="22"/>
          <w:szCs w:val="22"/>
        </w:rPr>
        <w:t xml:space="preserve"> und die sinkende Inflation</w:t>
      </w:r>
      <w:r w:rsidRPr="3D1491B6" w:rsidR="00C45A98">
        <w:rPr>
          <w:rFonts w:ascii="Georgia" w:hAnsi="Georgia" w:cs="Georgia"/>
          <w:sz w:val="22"/>
          <w:szCs w:val="22"/>
        </w:rPr>
        <w:t>.</w:t>
      </w:r>
      <w:r w:rsidRPr="3D1491B6" w:rsidR="00C45A98">
        <w:rPr>
          <w:rFonts w:ascii="Georgia" w:hAnsi="Georgia" w:cs="Georgia"/>
          <w:sz w:val="22"/>
          <w:szCs w:val="22"/>
        </w:rPr>
        <w:t xml:space="preserve"> </w:t>
      </w:r>
    </w:p>
    <w:p w:rsidR="00C45A98" w:rsidP="00D355D7" w:rsidRDefault="00C45A98" w14:paraId="02AAC9F4" w14:textId="77777777">
      <w:pPr>
        <w:spacing w:line="276" w:lineRule="auto"/>
        <w:rPr>
          <w:rFonts w:ascii="Georgia" w:hAnsi="Georgia" w:cs="Georgia"/>
          <w:iCs/>
          <w:sz w:val="22"/>
          <w:szCs w:val="22"/>
        </w:rPr>
      </w:pPr>
    </w:p>
    <w:p w:rsidRPr="004100C7" w:rsidR="004100C7" w:rsidP="3D1491B6" w:rsidRDefault="004100C7" w14:paraId="2B14D42A" w14:textId="6D402A6A">
      <w:pPr>
        <w:spacing w:line="276" w:lineRule="auto"/>
        <w:rPr>
          <w:rFonts w:ascii="Georgia" w:hAnsi="Georgia" w:cs="Georgia"/>
          <w:sz w:val="22"/>
          <w:szCs w:val="22"/>
        </w:rPr>
      </w:pPr>
      <w:r w:rsidRPr="3D1491B6" w:rsidR="004100C7">
        <w:rPr>
          <w:rFonts w:ascii="Georgia" w:hAnsi="Georgia" w:cs="Georgia"/>
          <w:sz w:val="22"/>
          <w:szCs w:val="22"/>
        </w:rPr>
        <w:t xml:space="preserve">Zu diesen </w:t>
      </w:r>
      <w:r w:rsidRPr="3D1491B6" w:rsidR="00C45A98">
        <w:rPr>
          <w:rFonts w:ascii="Georgia" w:hAnsi="Georgia" w:cs="Georgia"/>
          <w:sz w:val="22"/>
          <w:szCs w:val="22"/>
        </w:rPr>
        <w:t xml:space="preserve">und weiteren </w:t>
      </w:r>
      <w:r w:rsidRPr="3D1491B6" w:rsidR="004100C7">
        <w:rPr>
          <w:rFonts w:ascii="Georgia" w:hAnsi="Georgia" w:cs="Georgia"/>
          <w:sz w:val="22"/>
          <w:szCs w:val="22"/>
        </w:rPr>
        <w:t>Ergebnissen kommt der Private Equity Trend Report 2025 von PwC</w:t>
      </w:r>
      <w:r w:rsidRPr="3D1491B6" w:rsidR="4047F8C6">
        <w:rPr>
          <w:rFonts w:ascii="Georgia" w:hAnsi="Georgia" w:cs="Georgia"/>
          <w:sz w:val="22"/>
          <w:szCs w:val="22"/>
        </w:rPr>
        <w:t xml:space="preserve"> Deutschland</w:t>
      </w:r>
      <w:r w:rsidRPr="3D1491B6" w:rsidR="00C45A98">
        <w:rPr>
          <w:rFonts w:ascii="Georgia" w:hAnsi="Georgia" w:cs="Georgia"/>
          <w:sz w:val="22"/>
          <w:szCs w:val="22"/>
        </w:rPr>
        <w:t xml:space="preserve">. Für die Analyse hat die Wirtschaftsprüfungs- und Beratungsgesellschaft </w:t>
      </w:r>
      <w:r w:rsidRPr="3D1491B6" w:rsidR="004100C7">
        <w:rPr>
          <w:rFonts w:ascii="Georgia" w:hAnsi="Georgia" w:cs="Georgia"/>
          <w:sz w:val="22"/>
          <w:szCs w:val="22"/>
        </w:rPr>
        <w:t xml:space="preserve">im Laufe des vierten Quartals 2024 </w:t>
      </w:r>
      <w:r w:rsidRPr="3D1491B6" w:rsidR="00C45A98">
        <w:rPr>
          <w:rFonts w:ascii="Georgia" w:hAnsi="Georgia" w:cs="Georgia"/>
          <w:sz w:val="22"/>
          <w:szCs w:val="22"/>
        </w:rPr>
        <w:t xml:space="preserve">insgesamt </w:t>
      </w:r>
      <w:r w:rsidRPr="3D1491B6" w:rsidR="004100C7">
        <w:rPr>
          <w:rFonts w:ascii="Georgia" w:hAnsi="Georgia" w:cs="Georgia"/>
          <w:sz w:val="22"/>
          <w:szCs w:val="22"/>
        </w:rPr>
        <w:t xml:space="preserve">250 </w:t>
      </w:r>
      <w:r w:rsidRPr="3D1491B6" w:rsidR="004100C7">
        <w:rPr>
          <w:rFonts w:ascii="Georgia" w:hAnsi="Georgia" w:cs="Georgia"/>
          <w:sz w:val="22"/>
          <w:szCs w:val="22"/>
        </w:rPr>
        <w:t>Partner:innen</w:t>
      </w:r>
      <w:r w:rsidRPr="3D1491B6" w:rsidR="004100C7">
        <w:rPr>
          <w:rFonts w:ascii="Georgia" w:hAnsi="Georgia" w:cs="Georgia"/>
          <w:sz w:val="22"/>
          <w:szCs w:val="22"/>
        </w:rPr>
        <w:t xml:space="preserve"> und Managing </w:t>
      </w:r>
      <w:r w:rsidRPr="3D1491B6" w:rsidR="004100C7">
        <w:rPr>
          <w:rFonts w:ascii="Georgia" w:hAnsi="Georgia" w:cs="Georgia"/>
          <w:sz w:val="22"/>
          <w:szCs w:val="22"/>
        </w:rPr>
        <w:t>Directors</w:t>
      </w:r>
      <w:r w:rsidRPr="3D1491B6" w:rsidR="004100C7">
        <w:rPr>
          <w:rFonts w:ascii="Georgia" w:hAnsi="Georgia" w:cs="Georgia"/>
          <w:sz w:val="22"/>
          <w:szCs w:val="22"/>
        </w:rPr>
        <w:t xml:space="preserve"> europäischer PE-</w:t>
      </w:r>
      <w:r w:rsidRPr="3D1491B6" w:rsidR="00C45A98">
        <w:rPr>
          <w:rFonts w:ascii="Georgia" w:hAnsi="Georgia" w:cs="Georgia"/>
          <w:sz w:val="22"/>
          <w:szCs w:val="22"/>
        </w:rPr>
        <w:t>Unternehmen</w:t>
      </w:r>
      <w:r w:rsidRPr="3D1491B6" w:rsidR="004100C7">
        <w:rPr>
          <w:rFonts w:ascii="Georgia" w:hAnsi="Georgia" w:cs="Georgia"/>
          <w:sz w:val="22"/>
          <w:szCs w:val="22"/>
        </w:rPr>
        <w:t xml:space="preserve"> befragt, die jeweils mehr als 250 Millionen Euro Vermögen verwalten.</w:t>
      </w:r>
    </w:p>
    <w:p w:rsidRPr="004100C7" w:rsidR="004100C7" w:rsidP="00D355D7" w:rsidRDefault="004100C7" w14:paraId="591C11B8" w14:textId="77777777">
      <w:pPr>
        <w:spacing w:line="276" w:lineRule="auto"/>
        <w:rPr>
          <w:rFonts w:ascii="Georgia" w:hAnsi="Georgia" w:cs="Georgia"/>
          <w:iCs/>
          <w:sz w:val="22"/>
          <w:szCs w:val="22"/>
        </w:rPr>
      </w:pPr>
    </w:p>
    <w:p w:rsidRPr="004100C7" w:rsidR="004100C7" w:rsidP="00D355D7" w:rsidRDefault="004100C7" w14:paraId="28746FFC" w14:textId="77777777">
      <w:pPr>
        <w:spacing w:line="276" w:lineRule="auto"/>
        <w:rPr>
          <w:rFonts w:ascii="Georgia" w:hAnsi="Georgia" w:cs="Georgia"/>
          <w:b/>
          <w:bCs/>
          <w:iCs/>
          <w:sz w:val="22"/>
          <w:szCs w:val="22"/>
        </w:rPr>
      </w:pPr>
      <w:r w:rsidRPr="004100C7">
        <w:rPr>
          <w:rFonts w:ascii="Georgia" w:hAnsi="Georgia" w:cs="Georgia"/>
          <w:b/>
          <w:bCs/>
          <w:iCs/>
          <w:sz w:val="22"/>
          <w:szCs w:val="22"/>
        </w:rPr>
        <w:t>Private-Equity-Unternehmen setzen weiterhin auf den deutschen Markt</w:t>
      </w:r>
    </w:p>
    <w:p w:rsidRPr="004100C7" w:rsidR="004100C7" w:rsidP="00D355D7" w:rsidRDefault="004100C7" w14:paraId="15F8D258" w14:textId="77777777">
      <w:pPr>
        <w:spacing w:line="276" w:lineRule="auto"/>
        <w:rPr>
          <w:rFonts w:ascii="Georgia" w:hAnsi="Georgia" w:cs="Georgia"/>
          <w:iCs/>
          <w:sz w:val="22"/>
          <w:szCs w:val="22"/>
        </w:rPr>
      </w:pPr>
    </w:p>
    <w:p w:rsidRPr="004100C7" w:rsidR="004100C7" w:rsidP="00D355D7" w:rsidRDefault="00C45A98" w14:paraId="05AA2B80" w14:textId="44A1066A">
      <w:pPr>
        <w:spacing w:line="276" w:lineRule="auto"/>
        <w:rPr>
          <w:rFonts w:ascii="Georgia" w:hAnsi="Georgia" w:cs="Georgia"/>
          <w:iCs/>
          <w:sz w:val="22"/>
          <w:szCs w:val="22"/>
        </w:rPr>
      </w:pPr>
      <w:r>
        <w:rPr>
          <w:rFonts w:ascii="Georgia" w:hAnsi="Georgia" w:cs="Georgia"/>
          <w:iCs/>
          <w:sz w:val="22"/>
          <w:szCs w:val="22"/>
        </w:rPr>
        <w:t xml:space="preserve">Ein weiteres Ergebnis des Reports lautet: </w:t>
      </w:r>
      <w:r w:rsidRPr="004100C7" w:rsidR="004100C7">
        <w:rPr>
          <w:rFonts w:ascii="Georgia" w:hAnsi="Georgia" w:cs="Georgia"/>
          <w:iCs/>
          <w:sz w:val="22"/>
          <w:szCs w:val="22"/>
        </w:rPr>
        <w:t>Die DACH-Region performte 2024 schlechter als der europäische Durchschnitt</w:t>
      </w:r>
      <w:r>
        <w:rPr>
          <w:rFonts w:ascii="Georgia" w:hAnsi="Georgia" w:cs="Georgia"/>
          <w:iCs/>
          <w:sz w:val="22"/>
          <w:szCs w:val="22"/>
        </w:rPr>
        <w:t>.</w:t>
      </w:r>
      <w:r w:rsidRPr="004100C7" w:rsidR="004100C7">
        <w:rPr>
          <w:rFonts w:ascii="Georgia" w:hAnsi="Georgia" w:cs="Georgia"/>
          <w:iCs/>
          <w:sz w:val="22"/>
          <w:szCs w:val="22"/>
        </w:rPr>
        <w:t xml:space="preserve"> Gegenüber dem Vorjahr sank die Zahl der Transaktionen auf 549, ein Minus von </w:t>
      </w:r>
      <w:r>
        <w:rPr>
          <w:rFonts w:ascii="Georgia" w:hAnsi="Georgia" w:cs="Georgia"/>
          <w:iCs/>
          <w:sz w:val="22"/>
          <w:szCs w:val="22"/>
        </w:rPr>
        <w:t>sechs</w:t>
      </w:r>
      <w:r w:rsidRPr="004100C7" w:rsidR="004100C7">
        <w:rPr>
          <w:rFonts w:ascii="Georgia" w:hAnsi="Georgia" w:cs="Georgia"/>
          <w:iCs/>
          <w:sz w:val="22"/>
          <w:szCs w:val="22"/>
        </w:rPr>
        <w:t xml:space="preserve"> Prozent. Das Transaktionsvolumen stieg </w:t>
      </w:r>
      <w:r>
        <w:rPr>
          <w:rFonts w:ascii="Georgia" w:hAnsi="Georgia" w:cs="Georgia"/>
          <w:iCs/>
          <w:sz w:val="22"/>
          <w:szCs w:val="22"/>
        </w:rPr>
        <w:t>demgegenüber, jedoch nur minimal</w:t>
      </w:r>
      <w:r w:rsidRPr="004100C7" w:rsidR="004100C7">
        <w:rPr>
          <w:rFonts w:ascii="Georgia" w:hAnsi="Georgia" w:cs="Georgia"/>
          <w:iCs/>
          <w:sz w:val="22"/>
          <w:szCs w:val="22"/>
        </w:rPr>
        <w:t xml:space="preserve"> – um 0,2 Prozent auf 56,9 Milliarden Euro.</w:t>
      </w:r>
      <w:r>
        <w:rPr>
          <w:rFonts w:ascii="Georgia" w:hAnsi="Georgia" w:cs="Georgia"/>
          <w:iCs/>
          <w:sz w:val="22"/>
          <w:szCs w:val="22"/>
        </w:rPr>
        <w:t xml:space="preserve"> </w:t>
      </w:r>
    </w:p>
    <w:p w:rsidRPr="004100C7" w:rsidR="004100C7" w:rsidP="00D355D7" w:rsidRDefault="004100C7" w14:paraId="6C538372" w14:textId="77777777">
      <w:pPr>
        <w:spacing w:line="276" w:lineRule="auto"/>
        <w:rPr>
          <w:rFonts w:ascii="Georgia" w:hAnsi="Georgia" w:cs="Georgia"/>
          <w:iCs/>
          <w:sz w:val="22"/>
          <w:szCs w:val="22"/>
        </w:rPr>
      </w:pPr>
    </w:p>
    <w:p w:rsidRPr="004100C7" w:rsidR="004100C7" w:rsidP="00D355D7" w:rsidRDefault="00C45A98" w14:paraId="5AE6A439" w14:textId="4D3D0431">
      <w:pPr>
        <w:spacing w:line="276" w:lineRule="auto"/>
        <w:rPr>
          <w:rFonts w:ascii="Georgia" w:hAnsi="Georgia" w:cs="Georgia"/>
          <w:iCs/>
          <w:sz w:val="22"/>
          <w:szCs w:val="22"/>
        </w:rPr>
      </w:pPr>
      <w:r>
        <w:rPr>
          <w:rFonts w:ascii="Georgia" w:hAnsi="Georgia" w:cs="Georgia"/>
          <w:iCs/>
          <w:sz w:val="22"/>
          <w:szCs w:val="22"/>
        </w:rPr>
        <w:t>Gleichwohl gilt</w:t>
      </w:r>
      <w:r>
        <w:rPr>
          <w:rFonts w:ascii="Georgia" w:hAnsi="Georgia" w:cs="Georgia"/>
          <w:iCs/>
          <w:sz w:val="22"/>
          <w:szCs w:val="22"/>
        </w:rPr>
        <w:t>:</w:t>
      </w:r>
      <w:r w:rsidRPr="004100C7">
        <w:rPr>
          <w:rFonts w:ascii="Georgia" w:hAnsi="Georgia" w:cs="Georgia"/>
          <w:iCs/>
          <w:sz w:val="22"/>
          <w:szCs w:val="22"/>
        </w:rPr>
        <w:t xml:space="preserve"> </w:t>
      </w:r>
      <w:r w:rsidRPr="004100C7" w:rsidR="004100C7">
        <w:rPr>
          <w:rFonts w:ascii="Georgia" w:hAnsi="Georgia" w:cs="Georgia"/>
          <w:iCs/>
          <w:sz w:val="22"/>
          <w:szCs w:val="22"/>
        </w:rPr>
        <w:t xml:space="preserve">Trotz aller wirtschaftlichen Probleme </w:t>
      </w:r>
      <w:r>
        <w:rPr>
          <w:rFonts w:ascii="Georgia" w:hAnsi="Georgia" w:cs="Georgia"/>
          <w:iCs/>
          <w:sz w:val="22"/>
          <w:szCs w:val="22"/>
        </w:rPr>
        <w:t>hat</w:t>
      </w:r>
      <w:r w:rsidRPr="004100C7" w:rsidR="004100C7">
        <w:rPr>
          <w:rFonts w:ascii="Georgia" w:hAnsi="Georgia" w:cs="Georgia"/>
          <w:iCs/>
          <w:sz w:val="22"/>
          <w:szCs w:val="22"/>
        </w:rPr>
        <w:t xml:space="preserve"> der deutsche Markt für PE-Investoren nach wie vor herausragende Bedeutung</w:t>
      </w:r>
      <w:r>
        <w:rPr>
          <w:rFonts w:ascii="Georgia" w:hAnsi="Georgia" w:cs="Georgia"/>
          <w:iCs/>
          <w:sz w:val="22"/>
          <w:szCs w:val="22"/>
        </w:rPr>
        <w:t>.</w:t>
      </w:r>
      <w:r w:rsidRPr="004100C7" w:rsidR="004100C7">
        <w:rPr>
          <w:rFonts w:ascii="Georgia" w:hAnsi="Georgia" w:cs="Georgia"/>
          <w:iCs/>
          <w:sz w:val="22"/>
          <w:szCs w:val="22"/>
        </w:rPr>
        <w:t xml:space="preserve"> </w:t>
      </w:r>
      <w:r>
        <w:rPr>
          <w:rFonts w:ascii="Georgia" w:hAnsi="Georgia" w:cs="Georgia"/>
          <w:iCs/>
          <w:sz w:val="22"/>
          <w:szCs w:val="22"/>
        </w:rPr>
        <w:t xml:space="preserve">Deutlich mehr als die Hälfte (58 Prozent) der </w:t>
      </w:r>
      <w:r w:rsidRPr="004100C7" w:rsidR="004100C7">
        <w:rPr>
          <w:rFonts w:ascii="Georgia" w:hAnsi="Georgia" w:cs="Georgia"/>
          <w:iCs/>
          <w:sz w:val="22"/>
          <w:szCs w:val="22"/>
        </w:rPr>
        <w:t xml:space="preserve">befragten PE-Firmen verfügen über Investments in Deutschland – und 98 Prozent dieser Firmen wollen auch in den kommenden fünf Jahren im Land investieren. Das </w:t>
      </w:r>
      <w:r>
        <w:rPr>
          <w:rFonts w:ascii="Georgia" w:hAnsi="Georgia" w:cs="Georgia"/>
          <w:iCs/>
          <w:sz w:val="22"/>
          <w:szCs w:val="22"/>
        </w:rPr>
        <w:t>sind</w:t>
      </w:r>
      <w:r w:rsidRPr="004100C7" w:rsidR="004100C7">
        <w:rPr>
          <w:rFonts w:ascii="Georgia" w:hAnsi="Georgia" w:cs="Georgia"/>
          <w:iCs/>
          <w:sz w:val="22"/>
          <w:szCs w:val="22"/>
        </w:rPr>
        <w:t xml:space="preserve"> noch einmal etwas mehr als im Vorjahr (91 Prozent). Und deutlich mehr als ein Drittel (39 Prozent) derer, die in Deutschland investieren wollen, wollen ihre Investments hierzulande ausbauen.</w:t>
      </w:r>
    </w:p>
    <w:p w:rsidRPr="004100C7" w:rsidR="004100C7" w:rsidP="00D355D7" w:rsidRDefault="004100C7" w14:paraId="5D3709A1" w14:textId="77777777">
      <w:pPr>
        <w:spacing w:line="276" w:lineRule="auto"/>
        <w:rPr>
          <w:rFonts w:ascii="Georgia" w:hAnsi="Georgia" w:cs="Georgia"/>
          <w:iCs/>
          <w:sz w:val="22"/>
          <w:szCs w:val="22"/>
        </w:rPr>
      </w:pPr>
    </w:p>
    <w:p w:rsidRPr="004100C7" w:rsidR="004100C7" w:rsidP="00D355D7" w:rsidRDefault="008A5AFC" w14:paraId="2379470C" w14:textId="21CCDC75">
      <w:pPr>
        <w:spacing w:line="276" w:lineRule="auto"/>
        <w:rPr>
          <w:rFonts w:ascii="Georgia" w:hAnsi="Georgia" w:cs="Georgia"/>
          <w:iCs/>
          <w:sz w:val="22"/>
          <w:szCs w:val="22"/>
        </w:rPr>
      </w:pPr>
      <w:r>
        <w:rPr>
          <w:rFonts w:ascii="Georgia" w:hAnsi="Georgia" w:cs="Georgia"/>
          <w:iCs/>
          <w:sz w:val="22"/>
          <w:szCs w:val="22"/>
        </w:rPr>
        <w:t>Steve Roberts, Private Equit</w:t>
      </w:r>
      <w:r w:rsidR="00EA5B17">
        <w:rPr>
          <w:rFonts w:ascii="Georgia" w:hAnsi="Georgia" w:cs="Georgia"/>
          <w:iCs/>
          <w:sz w:val="22"/>
          <w:szCs w:val="22"/>
        </w:rPr>
        <w:t>y</w:t>
      </w:r>
      <w:r>
        <w:rPr>
          <w:rFonts w:ascii="Georgia" w:hAnsi="Georgia" w:cs="Georgia"/>
          <w:iCs/>
          <w:sz w:val="22"/>
          <w:szCs w:val="22"/>
        </w:rPr>
        <w:t xml:space="preserve"> Leader Germany und EMEA bei PwC, kommentiert: </w:t>
      </w:r>
      <w:r w:rsidRPr="004100C7" w:rsidR="004100C7">
        <w:rPr>
          <w:rFonts w:ascii="Georgia" w:hAnsi="Georgia" w:cs="Georgia"/>
          <w:iCs/>
          <w:sz w:val="22"/>
          <w:szCs w:val="22"/>
        </w:rPr>
        <w:t xml:space="preserve">„Deutschland bleibt für PE-Investoren ein interessanter Markt – </w:t>
      </w:r>
      <w:r>
        <w:rPr>
          <w:rFonts w:ascii="Georgia" w:hAnsi="Georgia" w:cs="Georgia"/>
          <w:iCs/>
          <w:sz w:val="22"/>
          <w:szCs w:val="22"/>
        </w:rPr>
        <w:t>auch</w:t>
      </w:r>
      <w:r w:rsidRPr="004100C7" w:rsidR="004100C7">
        <w:rPr>
          <w:rFonts w:ascii="Georgia" w:hAnsi="Georgia" w:cs="Georgia"/>
          <w:iCs/>
          <w:sz w:val="22"/>
          <w:szCs w:val="22"/>
        </w:rPr>
        <w:t xml:space="preserve"> auf lange Sicht</w:t>
      </w:r>
      <w:r>
        <w:rPr>
          <w:rFonts w:ascii="Georgia" w:hAnsi="Georgia" w:cs="Georgia"/>
          <w:iCs/>
          <w:sz w:val="22"/>
          <w:szCs w:val="22"/>
        </w:rPr>
        <w:t>.</w:t>
      </w:r>
      <w:r w:rsidRPr="004100C7" w:rsidR="004100C7">
        <w:rPr>
          <w:rFonts w:ascii="Georgia" w:hAnsi="Georgia" w:cs="Georgia"/>
          <w:iCs/>
          <w:sz w:val="22"/>
          <w:szCs w:val="22"/>
        </w:rPr>
        <w:t>“ Die Anleger n</w:t>
      </w:r>
      <w:r>
        <w:rPr>
          <w:rFonts w:ascii="Georgia" w:hAnsi="Georgia" w:cs="Georgia"/>
          <w:iCs/>
          <w:sz w:val="22"/>
          <w:szCs w:val="22"/>
        </w:rPr>
        <w:t>e</w:t>
      </w:r>
      <w:r w:rsidRPr="004100C7" w:rsidR="004100C7">
        <w:rPr>
          <w:rFonts w:ascii="Georgia" w:hAnsi="Georgia" w:cs="Georgia"/>
          <w:iCs/>
          <w:sz w:val="22"/>
          <w:szCs w:val="22"/>
        </w:rPr>
        <w:t>hmen allerdings auch die Probleme wahr, die den Standort aktuell beschäftigen. So ist der Anteil der Befragten, die Deutschland als attraktives oder sehr attraktives Ziel für Investitionen bezeichnen, gegenüber dem Vorjahr leicht gesunken</w:t>
      </w:r>
      <w:r>
        <w:rPr>
          <w:rFonts w:ascii="Georgia" w:hAnsi="Georgia" w:cs="Georgia"/>
          <w:iCs/>
          <w:sz w:val="22"/>
          <w:szCs w:val="22"/>
        </w:rPr>
        <w:t>,</w:t>
      </w:r>
      <w:r w:rsidRPr="004100C7" w:rsidR="004100C7">
        <w:rPr>
          <w:rFonts w:ascii="Georgia" w:hAnsi="Georgia" w:cs="Georgia"/>
          <w:iCs/>
          <w:sz w:val="22"/>
          <w:szCs w:val="22"/>
        </w:rPr>
        <w:t xml:space="preserve"> von 58 auf 54 Prozent. </w:t>
      </w:r>
    </w:p>
    <w:p w:rsidRPr="004100C7" w:rsidR="004100C7" w:rsidP="00D355D7" w:rsidRDefault="004100C7" w14:paraId="7EA75DDD" w14:textId="77777777">
      <w:pPr>
        <w:spacing w:line="276" w:lineRule="auto"/>
        <w:rPr>
          <w:rFonts w:ascii="Georgia" w:hAnsi="Georgia" w:cs="Georgia"/>
          <w:iCs/>
          <w:sz w:val="22"/>
          <w:szCs w:val="22"/>
        </w:rPr>
      </w:pPr>
    </w:p>
    <w:p w:rsidRPr="004100C7" w:rsidR="004100C7" w:rsidP="00D355D7" w:rsidRDefault="004100C7" w14:paraId="75C8E490" w14:textId="5B80A309">
      <w:pPr>
        <w:spacing w:line="276" w:lineRule="auto"/>
        <w:rPr>
          <w:rFonts w:ascii="Georgia" w:hAnsi="Georgia" w:cs="Georgia"/>
          <w:b/>
          <w:bCs/>
          <w:iCs/>
          <w:sz w:val="22"/>
          <w:szCs w:val="22"/>
        </w:rPr>
      </w:pPr>
      <w:r w:rsidRPr="004100C7">
        <w:rPr>
          <w:rFonts w:ascii="Georgia" w:hAnsi="Georgia" w:cs="Georgia"/>
          <w:b/>
          <w:bCs/>
          <w:iCs/>
          <w:sz w:val="22"/>
          <w:szCs w:val="22"/>
        </w:rPr>
        <w:t xml:space="preserve">Die Anleger sind optimistisch – </w:t>
      </w:r>
      <w:r w:rsidR="008A5AFC">
        <w:rPr>
          <w:rFonts w:ascii="Georgia" w:hAnsi="Georgia" w:cs="Georgia"/>
          <w:b/>
          <w:bCs/>
          <w:iCs/>
          <w:sz w:val="22"/>
          <w:szCs w:val="22"/>
        </w:rPr>
        <w:t xml:space="preserve">vor allem mit Blick auf die </w:t>
      </w:r>
      <w:r w:rsidRPr="004100C7">
        <w:rPr>
          <w:rFonts w:ascii="Georgia" w:hAnsi="Georgia" w:cs="Georgia"/>
          <w:b/>
          <w:bCs/>
          <w:iCs/>
          <w:sz w:val="22"/>
          <w:szCs w:val="22"/>
        </w:rPr>
        <w:t xml:space="preserve">eigene Branche </w:t>
      </w:r>
    </w:p>
    <w:p w:rsidRPr="004100C7" w:rsidR="004100C7" w:rsidP="00D355D7" w:rsidRDefault="004100C7" w14:paraId="36F55D20" w14:textId="77777777">
      <w:pPr>
        <w:spacing w:line="276" w:lineRule="auto"/>
        <w:rPr>
          <w:rFonts w:ascii="Georgia" w:hAnsi="Georgia" w:cs="Georgia"/>
          <w:b/>
          <w:bCs/>
          <w:iCs/>
          <w:sz w:val="22"/>
          <w:szCs w:val="22"/>
        </w:rPr>
      </w:pPr>
    </w:p>
    <w:p w:rsidRPr="004100C7" w:rsidR="004100C7" w:rsidP="008A5AFC" w:rsidRDefault="004100C7" w14:paraId="020DEE53" w14:textId="6A8A7138">
      <w:pPr>
        <w:spacing w:line="276" w:lineRule="auto"/>
        <w:rPr>
          <w:rFonts w:ascii="Georgia" w:hAnsi="Georgia" w:cs="Georgia"/>
          <w:b/>
          <w:bCs/>
          <w:iCs/>
          <w:sz w:val="22"/>
          <w:szCs w:val="22"/>
        </w:rPr>
      </w:pPr>
      <w:r w:rsidRPr="004100C7">
        <w:rPr>
          <w:rFonts w:ascii="Georgia" w:hAnsi="Georgia" w:cs="Georgia"/>
          <w:iCs/>
          <w:sz w:val="22"/>
          <w:szCs w:val="22"/>
        </w:rPr>
        <w:t xml:space="preserve">Insgesamt blickt die </w:t>
      </w:r>
      <w:r w:rsidR="008A5AFC">
        <w:rPr>
          <w:rFonts w:ascii="Georgia" w:hAnsi="Georgia" w:cs="Georgia"/>
          <w:iCs/>
          <w:sz w:val="22"/>
          <w:szCs w:val="22"/>
        </w:rPr>
        <w:t xml:space="preserve">europäische </w:t>
      </w:r>
      <w:r w:rsidRPr="004100C7">
        <w:rPr>
          <w:rFonts w:ascii="Georgia" w:hAnsi="Georgia" w:cs="Georgia"/>
          <w:iCs/>
          <w:sz w:val="22"/>
          <w:szCs w:val="22"/>
        </w:rPr>
        <w:t xml:space="preserve">Private-Equity-Branche positiv in die Zukunft: 46 Prozent der Befragten </w:t>
      </w:r>
      <w:r w:rsidR="008A5AFC">
        <w:rPr>
          <w:rFonts w:ascii="Georgia" w:hAnsi="Georgia" w:cs="Georgia"/>
          <w:iCs/>
          <w:sz w:val="22"/>
          <w:szCs w:val="22"/>
        </w:rPr>
        <w:t>wollen</w:t>
      </w:r>
      <w:r w:rsidRPr="004100C7">
        <w:rPr>
          <w:rFonts w:ascii="Georgia" w:hAnsi="Georgia" w:cs="Georgia"/>
          <w:iCs/>
          <w:sz w:val="22"/>
          <w:szCs w:val="22"/>
        </w:rPr>
        <w:t xml:space="preserve"> 2025 mehr investieren als im Vorjahr, 44 Prozent in etwa gleich viel investieren und nur </w:t>
      </w:r>
      <w:r w:rsidR="008A5AFC">
        <w:rPr>
          <w:rFonts w:ascii="Georgia" w:hAnsi="Georgia" w:cs="Georgia"/>
          <w:iCs/>
          <w:sz w:val="22"/>
          <w:szCs w:val="22"/>
        </w:rPr>
        <w:t>zehn</w:t>
      </w:r>
      <w:r w:rsidRPr="004100C7">
        <w:rPr>
          <w:rFonts w:ascii="Georgia" w:hAnsi="Georgia" w:cs="Georgia"/>
          <w:iCs/>
          <w:sz w:val="22"/>
          <w:szCs w:val="22"/>
        </w:rPr>
        <w:t xml:space="preserve"> Prozent </w:t>
      </w:r>
      <w:r w:rsidR="008A5AFC">
        <w:rPr>
          <w:rFonts w:ascii="Georgia" w:hAnsi="Georgia" w:cs="Georgia"/>
          <w:iCs/>
          <w:sz w:val="22"/>
          <w:szCs w:val="22"/>
        </w:rPr>
        <w:t xml:space="preserve">planen aktuell, </w:t>
      </w:r>
      <w:r w:rsidRPr="004100C7">
        <w:rPr>
          <w:rFonts w:ascii="Georgia" w:hAnsi="Georgia" w:cs="Georgia"/>
          <w:iCs/>
          <w:sz w:val="22"/>
          <w:szCs w:val="22"/>
        </w:rPr>
        <w:t xml:space="preserve">ihre Investments zu reduzieren. Auch </w:t>
      </w:r>
      <w:r w:rsidR="008A5AFC">
        <w:rPr>
          <w:rFonts w:ascii="Georgia" w:hAnsi="Georgia" w:cs="Georgia"/>
          <w:iCs/>
          <w:sz w:val="22"/>
          <w:szCs w:val="22"/>
        </w:rPr>
        <w:t>beim Blick auf</w:t>
      </w:r>
      <w:r w:rsidRPr="004100C7">
        <w:rPr>
          <w:rFonts w:ascii="Georgia" w:hAnsi="Georgia" w:cs="Georgia"/>
          <w:iCs/>
          <w:sz w:val="22"/>
          <w:szCs w:val="22"/>
        </w:rPr>
        <w:t xml:space="preserve"> den Markt </w:t>
      </w:r>
      <w:r w:rsidR="008A5AFC">
        <w:rPr>
          <w:rFonts w:ascii="Georgia" w:hAnsi="Georgia" w:cs="Georgia"/>
          <w:iCs/>
          <w:sz w:val="22"/>
          <w:szCs w:val="22"/>
        </w:rPr>
        <w:t>insgesamt</w:t>
      </w:r>
      <w:r w:rsidRPr="004100C7">
        <w:rPr>
          <w:rFonts w:ascii="Georgia" w:hAnsi="Georgia" w:cs="Georgia"/>
          <w:iCs/>
          <w:sz w:val="22"/>
          <w:szCs w:val="22"/>
        </w:rPr>
        <w:t xml:space="preserve"> sind die Befragten optimistisch: Eine deutliche Mehrheit </w:t>
      </w:r>
      <w:r w:rsidR="008A5AFC">
        <w:rPr>
          <w:rFonts w:ascii="Georgia" w:hAnsi="Georgia" w:cs="Georgia"/>
          <w:iCs/>
          <w:sz w:val="22"/>
          <w:szCs w:val="22"/>
        </w:rPr>
        <w:t xml:space="preserve">von insgesamt </w:t>
      </w:r>
      <w:r w:rsidRPr="004100C7">
        <w:rPr>
          <w:rFonts w:ascii="Georgia" w:hAnsi="Georgia" w:cs="Georgia"/>
          <w:iCs/>
          <w:sz w:val="22"/>
          <w:szCs w:val="22"/>
        </w:rPr>
        <w:t>56 Prozent</w:t>
      </w:r>
      <w:r>
        <w:rPr>
          <w:rFonts w:ascii="Georgia" w:hAnsi="Georgia" w:cs="Georgia"/>
          <w:iCs/>
          <w:sz w:val="22"/>
          <w:szCs w:val="22"/>
        </w:rPr>
        <w:t xml:space="preserve"> </w:t>
      </w:r>
      <w:r w:rsidRPr="004100C7">
        <w:rPr>
          <w:rFonts w:ascii="Georgia" w:hAnsi="Georgia" w:cs="Georgia"/>
          <w:iCs/>
          <w:sz w:val="22"/>
          <w:szCs w:val="22"/>
        </w:rPr>
        <w:t xml:space="preserve">erwartet, dass sich das Marktumfeld für PE-Firmen </w:t>
      </w:r>
      <w:r w:rsidR="008A5AFC">
        <w:rPr>
          <w:rFonts w:ascii="Georgia" w:hAnsi="Georgia" w:cs="Georgia"/>
          <w:iCs/>
          <w:sz w:val="22"/>
          <w:szCs w:val="22"/>
        </w:rPr>
        <w:t xml:space="preserve">gegenüber dem Vorjahr </w:t>
      </w:r>
      <w:r w:rsidRPr="004100C7">
        <w:rPr>
          <w:rFonts w:ascii="Georgia" w:hAnsi="Georgia" w:cs="Georgia"/>
          <w:iCs/>
          <w:sz w:val="22"/>
          <w:szCs w:val="22"/>
        </w:rPr>
        <w:t>etwas (47 Prozent) oder stark (</w:t>
      </w:r>
      <w:r w:rsidR="008A5AFC">
        <w:rPr>
          <w:rFonts w:ascii="Georgia" w:hAnsi="Georgia" w:cs="Georgia"/>
          <w:iCs/>
          <w:sz w:val="22"/>
          <w:szCs w:val="22"/>
        </w:rPr>
        <w:t>neun</w:t>
      </w:r>
      <w:r w:rsidRPr="004100C7">
        <w:rPr>
          <w:rFonts w:ascii="Georgia" w:hAnsi="Georgia" w:cs="Georgia"/>
          <w:iCs/>
          <w:sz w:val="22"/>
          <w:szCs w:val="22"/>
        </w:rPr>
        <w:t xml:space="preserve"> Prozent) </w:t>
      </w:r>
      <w:r w:rsidR="008A5AFC">
        <w:rPr>
          <w:rFonts w:ascii="Georgia" w:hAnsi="Georgia" w:cs="Georgia"/>
          <w:iCs/>
          <w:sz w:val="22"/>
          <w:szCs w:val="22"/>
        </w:rPr>
        <w:t>ver</w:t>
      </w:r>
      <w:r w:rsidRPr="004100C7">
        <w:rPr>
          <w:rFonts w:ascii="Georgia" w:hAnsi="Georgia" w:cs="Georgia"/>
          <w:iCs/>
          <w:sz w:val="22"/>
          <w:szCs w:val="22"/>
        </w:rPr>
        <w:t>bessert.</w:t>
      </w:r>
      <w:r w:rsidR="008A5AFC">
        <w:rPr>
          <w:rFonts w:ascii="Georgia" w:hAnsi="Georgia" w:cs="Georgia"/>
          <w:iCs/>
          <w:sz w:val="22"/>
          <w:szCs w:val="22"/>
        </w:rPr>
        <w:t xml:space="preserve"> </w:t>
      </w:r>
      <w:r w:rsidRPr="004100C7">
        <w:rPr>
          <w:rFonts w:ascii="Georgia" w:hAnsi="Georgia" w:cs="Georgia"/>
          <w:iCs/>
          <w:sz w:val="22"/>
          <w:szCs w:val="22"/>
        </w:rPr>
        <w:t xml:space="preserve">„Vor allem technologische Disruption treibt die PE-Investments: Wir </w:t>
      </w:r>
      <w:r w:rsidR="008A5AFC">
        <w:rPr>
          <w:rFonts w:ascii="Georgia" w:hAnsi="Georgia" w:cs="Georgia"/>
          <w:iCs/>
          <w:sz w:val="22"/>
          <w:szCs w:val="22"/>
        </w:rPr>
        <w:t>gehen davon aus</w:t>
      </w:r>
      <w:r w:rsidRPr="004100C7">
        <w:rPr>
          <w:rFonts w:ascii="Georgia" w:hAnsi="Georgia" w:cs="Georgia"/>
          <w:iCs/>
          <w:sz w:val="22"/>
          <w:szCs w:val="22"/>
        </w:rPr>
        <w:t xml:space="preserve">, dass Anleger </w:t>
      </w:r>
      <w:r w:rsidR="008A5AFC">
        <w:rPr>
          <w:rFonts w:ascii="Georgia" w:hAnsi="Georgia" w:cs="Georgia"/>
          <w:iCs/>
          <w:sz w:val="22"/>
          <w:szCs w:val="22"/>
        </w:rPr>
        <w:t>ihre</w:t>
      </w:r>
      <w:r w:rsidRPr="004100C7">
        <w:rPr>
          <w:rFonts w:ascii="Georgia" w:hAnsi="Georgia" w:cs="Georgia"/>
          <w:iCs/>
          <w:sz w:val="22"/>
          <w:szCs w:val="22"/>
        </w:rPr>
        <w:t xml:space="preserve"> zusätzlichen Investitionen vor allem dafür nutzen werden, </w:t>
      </w:r>
      <w:r w:rsidR="008A5AFC">
        <w:rPr>
          <w:rFonts w:ascii="Georgia" w:hAnsi="Georgia" w:cs="Georgia"/>
          <w:iCs/>
          <w:sz w:val="22"/>
          <w:szCs w:val="22"/>
        </w:rPr>
        <w:t>ihre Portfoliou</w:t>
      </w:r>
      <w:r w:rsidRPr="004100C7">
        <w:rPr>
          <w:rFonts w:ascii="Georgia" w:hAnsi="Georgia" w:cs="Georgia"/>
          <w:iCs/>
          <w:sz w:val="22"/>
          <w:szCs w:val="22"/>
        </w:rPr>
        <w:t>nternehmen</w:t>
      </w:r>
      <w:r w:rsidR="008A5AFC">
        <w:rPr>
          <w:rFonts w:ascii="Georgia" w:hAnsi="Georgia" w:cs="Georgia"/>
          <w:iCs/>
          <w:sz w:val="22"/>
          <w:szCs w:val="22"/>
        </w:rPr>
        <w:t xml:space="preserve"> </w:t>
      </w:r>
      <w:r w:rsidRPr="004100C7">
        <w:rPr>
          <w:rFonts w:ascii="Georgia" w:hAnsi="Georgia" w:cs="Georgia"/>
          <w:iCs/>
          <w:sz w:val="22"/>
          <w:szCs w:val="22"/>
        </w:rPr>
        <w:t>technologisch zu modernisieren“</w:t>
      </w:r>
      <w:r w:rsidR="008A5AFC">
        <w:rPr>
          <w:rFonts w:ascii="Georgia" w:hAnsi="Georgia" w:cs="Georgia"/>
          <w:iCs/>
          <w:sz w:val="22"/>
          <w:szCs w:val="22"/>
        </w:rPr>
        <w:t xml:space="preserve">, sagt Steve Roberts von PwC. </w:t>
      </w:r>
    </w:p>
    <w:p w:rsidRPr="004100C7" w:rsidR="004100C7" w:rsidP="00D355D7" w:rsidRDefault="004100C7" w14:paraId="6B7C98BA" w14:textId="77777777">
      <w:pPr>
        <w:spacing w:line="276" w:lineRule="auto"/>
        <w:rPr>
          <w:rFonts w:ascii="Georgia" w:hAnsi="Georgia" w:cs="Georgia"/>
          <w:iCs/>
          <w:sz w:val="22"/>
          <w:szCs w:val="22"/>
        </w:rPr>
      </w:pPr>
    </w:p>
    <w:p w:rsidRPr="004100C7" w:rsidR="004100C7" w:rsidP="00D355D7" w:rsidRDefault="004100C7" w14:paraId="25FC08B7" w14:textId="6509F7C2">
      <w:pPr>
        <w:spacing w:line="276" w:lineRule="auto"/>
        <w:rPr>
          <w:rFonts w:ascii="Georgia" w:hAnsi="Georgia" w:cs="Georgia"/>
          <w:iCs/>
          <w:sz w:val="22"/>
          <w:szCs w:val="22"/>
        </w:rPr>
      </w:pPr>
      <w:r w:rsidRPr="004100C7">
        <w:rPr>
          <w:rFonts w:ascii="Georgia" w:hAnsi="Georgia" w:cs="Georgia"/>
          <w:iCs/>
          <w:sz w:val="22"/>
          <w:szCs w:val="22"/>
        </w:rPr>
        <w:t xml:space="preserve">Die gesamtwirtschaftliche Entwicklung </w:t>
      </w:r>
      <w:r w:rsidR="008A5AFC">
        <w:rPr>
          <w:rFonts w:ascii="Georgia" w:hAnsi="Georgia" w:cs="Georgia"/>
          <w:iCs/>
          <w:sz w:val="22"/>
          <w:szCs w:val="22"/>
        </w:rPr>
        <w:t xml:space="preserve">hingegen </w:t>
      </w:r>
      <w:r w:rsidRPr="004100C7">
        <w:rPr>
          <w:rFonts w:ascii="Georgia" w:hAnsi="Georgia" w:cs="Georgia"/>
          <w:iCs/>
          <w:sz w:val="22"/>
          <w:szCs w:val="22"/>
        </w:rPr>
        <w:t xml:space="preserve">sehen die Anleger nicht so positiv wie die der eigenen Branche: Eine knappe Mehrheit der Befragten (51 Prozent) rechnet mit </w:t>
      </w:r>
      <w:r w:rsidR="008A5AFC">
        <w:rPr>
          <w:rFonts w:ascii="Georgia" w:hAnsi="Georgia" w:cs="Georgia"/>
          <w:iCs/>
          <w:sz w:val="22"/>
          <w:szCs w:val="22"/>
        </w:rPr>
        <w:t>geringem</w:t>
      </w:r>
      <w:r w:rsidRPr="004100C7">
        <w:rPr>
          <w:rFonts w:ascii="Georgia" w:hAnsi="Georgia" w:cs="Georgia"/>
          <w:iCs/>
          <w:sz w:val="22"/>
          <w:szCs w:val="22"/>
        </w:rPr>
        <w:t xml:space="preserve"> Wachstum, ein gutes Viertel (27 Prozent) mit Nullwachstum. Etwas mehr als jede:r zehnte Befragte (11 Prozent) erwartet sogar eine Rezession – und ebenfalls 11 Prozent rechnen mit hohem Wachstum.</w:t>
      </w:r>
    </w:p>
    <w:p w:rsidRPr="004100C7" w:rsidR="004100C7" w:rsidP="00D355D7" w:rsidRDefault="004100C7" w14:paraId="50E729AC" w14:textId="77777777">
      <w:pPr>
        <w:spacing w:line="276" w:lineRule="auto"/>
        <w:rPr>
          <w:rFonts w:ascii="Georgia" w:hAnsi="Georgia" w:cs="Georgia"/>
          <w:iCs/>
          <w:sz w:val="22"/>
          <w:szCs w:val="22"/>
        </w:rPr>
      </w:pPr>
    </w:p>
    <w:p w:rsidRPr="004100C7" w:rsidR="004100C7" w:rsidP="00D355D7" w:rsidRDefault="008A5AFC" w14:paraId="4F36997A" w14:textId="6CB9CD7F">
      <w:pPr>
        <w:spacing w:line="276" w:lineRule="auto"/>
        <w:rPr>
          <w:rFonts w:ascii="Georgia" w:hAnsi="Georgia" w:cs="Georgia"/>
          <w:b/>
          <w:bCs/>
          <w:iCs/>
          <w:sz w:val="22"/>
          <w:szCs w:val="22"/>
        </w:rPr>
      </w:pPr>
      <w:r>
        <w:rPr>
          <w:rFonts w:ascii="Georgia" w:hAnsi="Georgia" w:cs="Georgia"/>
          <w:b/>
          <w:bCs/>
          <w:iCs/>
          <w:sz w:val="22"/>
          <w:szCs w:val="22"/>
        </w:rPr>
        <w:t xml:space="preserve">Digitale Technologien </w:t>
      </w:r>
      <w:r w:rsidRPr="004100C7" w:rsidR="004100C7">
        <w:rPr>
          <w:rFonts w:ascii="Georgia" w:hAnsi="Georgia" w:cs="Georgia"/>
          <w:b/>
          <w:bCs/>
          <w:iCs/>
          <w:sz w:val="22"/>
          <w:szCs w:val="22"/>
        </w:rPr>
        <w:t>präg</w:t>
      </w:r>
      <w:r>
        <w:rPr>
          <w:rFonts w:ascii="Georgia" w:hAnsi="Georgia" w:cs="Georgia"/>
          <w:b/>
          <w:bCs/>
          <w:iCs/>
          <w:sz w:val="22"/>
          <w:szCs w:val="22"/>
        </w:rPr>
        <w:t>en</w:t>
      </w:r>
      <w:r w:rsidRPr="004100C7" w:rsidR="004100C7">
        <w:rPr>
          <w:rFonts w:ascii="Georgia" w:hAnsi="Georgia" w:cs="Georgia"/>
          <w:b/>
          <w:bCs/>
          <w:iCs/>
          <w:sz w:val="22"/>
          <w:szCs w:val="22"/>
        </w:rPr>
        <w:t xml:space="preserve"> Private Equity schon heute</w:t>
      </w:r>
    </w:p>
    <w:p w:rsidRPr="004100C7" w:rsidR="004100C7" w:rsidP="00D355D7" w:rsidRDefault="004100C7" w14:paraId="7CAAD008" w14:textId="77777777">
      <w:pPr>
        <w:spacing w:line="276" w:lineRule="auto"/>
        <w:rPr>
          <w:rFonts w:ascii="Georgia" w:hAnsi="Georgia" w:cs="Georgia"/>
          <w:b/>
          <w:bCs/>
          <w:iCs/>
          <w:sz w:val="22"/>
          <w:szCs w:val="22"/>
        </w:rPr>
      </w:pPr>
    </w:p>
    <w:p w:rsidRPr="004100C7" w:rsidR="004100C7" w:rsidP="00D355D7" w:rsidRDefault="008A5AFC" w14:paraId="3FFBC6A1" w14:textId="2AF15C52">
      <w:pPr>
        <w:spacing w:line="276" w:lineRule="auto"/>
        <w:rPr>
          <w:rFonts w:ascii="Georgia" w:hAnsi="Georgia" w:cs="Georgia"/>
          <w:iCs/>
          <w:sz w:val="22"/>
          <w:szCs w:val="22"/>
        </w:rPr>
      </w:pPr>
      <w:r>
        <w:rPr>
          <w:rFonts w:ascii="Georgia" w:hAnsi="Georgia" w:cs="Georgia"/>
          <w:iCs/>
          <w:sz w:val="22"/>
          <w:szCs w:val="22"/>
        </w:rPr>
        <w:t>Für die Wertschöpfung der PE-Unternehmen, zeigt der Report weiter, haben d</w:t>
      </w:r>
      <w:r w:rsidRPr="004100C7" w:rsidR="004100C7">
        <w:rPr>
          <w:rFonts w:ascii="Georgia" w:hAnsi="Georgia" w:cs="Georgia"/>
          <w:iCs/>
          <w:sz w:val="22"/>
          <w:szCs w:val="22"/>
        </w:rPr>
        <w:t xml:space="preserve">igitale Technologien mittlerweile überragende Bedeutung: </w:t>
      </w:r>
      <w:r>
        <w:rPr>
          <w:rFonts w:ascii="Georgia" w:hAnsi="Georgia" w:cs="Georgia"/>
          <w:iCs/>
          <w:sz w:val="22"/>
          <w:szCs w:val="22"/>
        </w:rPr>
        <w:t>Insgesamt 83</w:t>
      </w:r>
      <w:r w:rsidRPr="004100C7" w:rsidR="004100C7">
        <w:rPr>
          <w:rFonts w:ascii="Georgia" w:hAnsi="Georgia" w:cs="Georgia"/>
          <w:iCs/>
          <w:sz w:val="22"/>
          <w:szCs w:val="22"/>
        </w:rPr>
        <w:t xml:space="preserve"> </w:t>
      </w:r>
      <w:r>
        <w:rPr>
          <w:rFonts w:ascii="Georgia" w:hAnsi="Georgia" w:cs="Georgia"/>
          <w:iCs/>
          <w:sz w:val="22"/>
          <w:szCs w:val="22"/>
        </w:rPr>
        <w:t xml:space="preserve">Prozent </w:t>
      </w:r>
      <w:r w:rsidRPr="004100C7" w:rsidR="004100C7">
        <w:rPr>
          <w:rFonts w:ascii="Georgia" w:hAnsi="Georgia" w:cs="Georgia"/>
          <w:iCs/>
          <w:sz w:val="22"/>
          <w:szCs w:val="22"/>
        </w:rPr>
        <w:t xml:space="preserve">der Befragten erklären, die digitale Transformation sei wichtig (66 Prozent) oder sogar sehr wichtig (17 Prozent) für die zukünftige Renditen. Wenig überraschend haben deshalb im vergangenen Jahr knapp drei Viertel aller Befragten (71 Prozent) in die Digitalisierung ihres eigenen Unternehmens oder </w:t>
      </w:r>
      <w:r>
        <w:rPr>
          <w:rFonts w:ascii="Georgia" w:hAnsi="Georgia" w:cs="Georgia"/>
          <w:iCs/>
          <w:sz w:val="22"/>
          <w:szCs w:val="22"/>
        </w:rPr>
        <w:t>ihrer Portfoliou</w:t>
      </w:r>
      <w:r w:rsidRPr="004100C7" w:rsidR="004100C7">
        <w:rPr>
          <w:rFonts w:ascii="Georgia" w:hAnsi="Georgia" w:cs="Georgia"/>
          <w:iCs/>
          <w:sz w:val="22"/>
          <w:szCs w:val="22"/>
        </w:rPr>
        <w:t xml:space="preserve">nternehmen investiert. 2025 </w:t>
      </w:r>
      <w:r>
        <w:rPr>
          <w:rFonts w:ascii="Georgia" w:hAnsi="Georgia" w:cs="Georgia"/>
          <w:iCs/>
          <w:sz w:val="22"/>
          <w:szCs w:val="22"/>
        </w:rPr>
        <w:t xml:space="preserve">wollen dies fast genauso viele, </w:t>
      </w:r>
      <w:r w:rsidRPr="004100C7" w:rsidR="004100C7">
        <w:rPr>
          <w:rFonts w:ascii="Georgia" w:hAnsi="Georgia" w:cs="Georgia"/>
          <w:iCs/>
          <w:sz w:val="22"/>
          <w:szCs w:val="22"/>
        </w:rPr>
        <w:t>72 Prozent</w:t>
      </w:r>
      <w:r>
        <w:rPr>
          <w:rFonts w:ascii="Georgia" w:hAnsi="Georgia" w:cs="Georgia"/>
          <w:iCs/>
          <w:sz w:val="22"/>
          <w:szCs w:val="22"/>
        </w:rPr>
        <w:t>, tun</w:t>
      </w:r>
      <w:r w:rsidRPr="004100C7" w:rsidR="004100C7">
        <w:rPr>
          <w:rFonts w:ascii="Georgia" w:hAnsi="Georgia" w:cs="Georgia"/>
          <w:iCs/>
          <w:sz w:val="22"/>
          <w:szCs w:val="22"/>
        </w:rPr>
        <w:t>.</w:t>
      </w:r>
    </w:p>
    <w:p w:rsidRPr="004100C7" w:rsidR="004100C7" w:rsidP="00D355D7" w:rsidRDefault="004100C7" w14:paraId="38FFF4EA" w14:textId="77777777">
      <w:pPr>
        <w:spacing w:line="276" w:lineRule="auto"/>
        <w:rPr>
          <w:rFonts w:ascii="Georgia" w:hAnsi="Georgia" w:cs="Georgia"/>
          <w:iCs/>
          <w:sz w:val="22"/>
          <w:szCs w:val="22"/>
        </w:rPr>
      </w:pPr>
    </w:p>
    <w:p w:rsidRPr="004100C7" w:rsidR="004100C7" w:rsidP="00D355D7" w:rsidRDefault="008A5AFC" w14:paraId="4E639A76" w14:textId="5F7E45DF">
      <w:pPr>
        <w:spacing w:line="276" w:lineRule="auto"/>
        <w:rPr>
          <w:rFonts w:ascii="Georgia" w:hAnsi="Georgia" w:cs="Georgia"/>
          <w:iCs/>
          <w:sz w:val="22"/>
          <w:szCs w:val="22"/>
        </w:rPr>
      </w:pPr>
      <w:r>
        <w:rPr>
          <w:rFonts w:ascii="Georgia" w:hAnsi="Georgia" w:cs="Georgia"/>
          <w:iCs/>
          <w:sz w:val="22"/>
          <w:szCs w:val="22"/>
        </w:rPr>
        <w:t xml:space="preserve">Besonders wichtig dabei </w:t>
      </w:r>
      <w:r w:rsidRPr="004100C7" w:rsidR="004100C7">
        <w:rPr>
          <w:rFonts w:ascii="Georgia" w:hAnsi="Georgia" w:cs="Georgia"/>
          <w:iCs/>
          <w:sz w:val="22"/>
          <w:szCs w:val="22"/>
        </w:rPr>
        <w:t xml:space="preserve">waren Investitionen in Data Analytics: Von den Anlegern, die in digitale Transformation investiert haben, stärkten 81 Prozent diesen Bereich. Der Megatrend </w:t>
      </w:r>
      <w:r>
        <w:rPr>
          <w:rFonts w:ascii="Georgia" w:hAnsi="Georgia" w:cs="Georgia"/>
          <w:iCs/>
          <w:sz w:val="22"/>
          <w:szCs w:val="22"/>
        </w:rPr>
        <w:t>k</w:t>
      </w:r>
      <w:r w:rsidRPr="004100C7" w:rsidR="004100C7">
        <w:rPr>
          <w:rFonts w:ascii="Georgia" w:hAnsi="Georgia" w:cs="Georgia"/>
          <w:iCs/>
          <w:sz w:val="22"/>
          <w:szCs w:val="22"/>
        </w:rPr>
        <w:t>ünstliche Intelligenz</w:t>
      </w:r>
      <w:r>
        <w:rPr>
          <w:rFonts w:ascii="Georgia" w:hAnsi="Georgia" w:cs="Georgia"/>
          <w:iCs/>
          <w:sz w:val="22"/>
          <w:szCs w:val="22"/>
        </w:rPr>
        <w:t xml:space="preserve"> (KI)</w:t>
      </w:r>
      <w:r w:rsidRPr="004100C7" w:rsidR="004100C7">
        <w:rPr>
          <w:rFonts w:ascii="Georgia" w:hAnsi="Georgia" w:cs="Georgia"/>
          <w:iCs/>
          <w:sz w:val="22"/>
          <w:szCs w:val="22"/>
        </w:rPr>
        <w:t xml:space="preserve"> schlägt sich auch in der PE-Branche nieder – 67 Prozent </w:t>
      </w:r>
      <w:r w:rsidRPr="004100C7" w:rsidR="004100C7">
        <w:rPr>
          <w:rFonts w:ascii="Georgia" w:hAnsi="Georgia" w:cs="Georgia"/>
          <w:iCs/>
          <w:sz w:val="22"/>
          <w:szCs w:val="22"/>
        </w:rPr>
        <w:t>investierten in</w:t>
      </w:r>
      <w:r>
        <w:rPr>
          <w:rFonts w:ascii="Georgia" w:hAnsi="Georgia" w:cs="Georgia"/>
          <w:iCs/>
          <w:sz w:val="22"/>
          <w:szCs w:val="22"/>
        </w:rPr>
        <w:t xml:space="preserve"> entsprechende</w:t>
      </w:r>
      <w:r w:rsidRPr="004100C7" w:rsidR="004100C7">
        <w:rPr>
          <w:rFonts w:ascii="Georgia" w:hAnsi="Georgia" w:cs="Georgia"/>
          <w:iCs/>
          <w:sz w:val="22"/>
          <w:szCs w:val="22"/>
        </w:rPr>
        <w:t xml:space="preserve"> Tools. Mit 61 Prozent Zustimmung spielten darüber hinaus Investitionen in Internet-of-Things(IoT)-Anwendungen eine wichtige Rolle.</w:t>
      </w:r>
    </w:p>
    <w:p w:rsidRPr="004100C7" w:rsidR="004100C7" w:rsidP="00D355D7" w:rsidRDefault="004100C7" w14:paraId="5E297875" w14:textId="77777777">
      <w:pPr>
        <w:spacing w:line="276" w:lineRule="auto"/>
        <w:rPr>
          <w:rFonts w:ascii="Georgia" w:hAnsi="Georgia" w:cs="Georgia"/>
          <w:iCs/>
          <w:sz w:val="22"/>
          <w:szCs w:val="22"/>
        </w:rPr>
      </w:pPr>
    </w:p>
    <w:p w:rsidRPr="004100C7" w:rsidR="004100C7" w:rsidP="00D355D7" w:rsidRDefault="004100C7" w14:paraId="77FF074D" w14:textId="13ED98AC">
      <w:pPr>
        <w:spacing w:line="276" w:lineRule="auto"/>
        <w:rPr>
          <w:rFonts w:ascii="Georgia" w:hAnsi="Georgia" w:cs="Georgia"/>
          <w:iCs/>
          <w:sz w:val="22"/>
          <w:szCs w:val="22"/>
        </w:rPr>
      </w:pPr>
      <w:r w:rsidRPr="004100C7">
        <w:rPr>
          <w:rFonts w:ascii="Georgia" w:hAnsi="Georgia" w:cs="Georgia"/>
          <w:iCs/>
          <w:sz w:val="22"/>
          <w:szCs w:val="22"/>
        </w:rPr>
        <w:t xml:space="preserve">KI </w:t>
      </w:r>
      <w:r w:rsidR="008A5AFC">
        <w:rPr>
          <w:rFonts w:ascii="Georgia" w:hAnsi="Georgia" w:cs="Georgia"/>
          <w:iCs/>
          <w:sz w:val="22"/>
          <w:szCs w:val="22"/>
        </w:rPr>
        <w:t xml:space="preserve">prägt schon heute die </w:t>
      </w:r>
      <w:r w:rsidRPr="004100C7">
        <w:rPr>
          <w:rFonts w:ascii="Georgia" w:hAnsi="Georgia" w:cs="Georgia"/>
          <w:iCs/>
          <w:sz w:val="22"/>
          <w:szCs w:val="22"/>
        </w:rPr>
        <w:t>PE-</w:t>
      </w:r>
      <w:r w:rsidR="008A5AFC">
        <w:rPr>
          <w:rFonts w:ascii="Georgia" w:hAnsi="Georgia" w:cs="Georgia"/>
          <w:iCs/>
          <w:sz w:val="22"/>
          <w:szCs w:val="22"/>
        </w:rPr>
        <w:t>Unternehmen selbst stark</w:t>
      </w:r>
      <w:r w:rsidRPr="004100C7">
        <w:rPr>
          <w:rFonts w:ascii="Georgia" w:hAnsi="Georgia" w:cs="Georgia"/>
          <w:iCs/>
          <w:sz w:val="22"/>
          <w:szCs w:val="22"/>
        </w:rPr>
        <w:t>: So nutzen beispielsweise gut neun von zehn Befragten (88 Prozent) bereits KI-Anwendungen, um Investments zu bewerten. Knapp jede:r zweite Befragte (65 Prozent) nutzt KI außerdem, um Sorgfaltspflichten nachzukommen. „PE-Firmen müssen immer umfangreichere Sorgfaltspflichten erfüllen. Generative KI kann schon heute dazu beitragen, dies zügig und sorgfältig zu erledigen“</w:t>
      </w:r>
      <w:r w:rsidR="008A5AFC">
        <w:rPr>
          <w:rFonts w:ascii="Georgia" w:hAnsi="Georgia" w:cs="Georgia"/>
          <w:iCs/>
          <w:sz w:val="22"/>
          <w:szCs w:val="22"/>
        </w:rPr>
        <w:t>, so PwC-Experte Steve Roberts.</w:t>
      </w:r>
    </w:p>
    <w:p w:rsidRPr="004100C7" w:rsidR="004100C7" w:rsidP="00D355D7" w:rsidRDefault="004100C7" w14:paraId="0DC81D45" w14:textId="77777777">
      <w:pPr>
        <w:spacing w:line="276" w:lineRule="auto"/>
        <w:rPr>
          <w:rFonts w:ascii="Georgia" w:hAnsi="Georgia" w:cs="Georgia"/>
          <w:iCs/>
          <w:sz w:val="22"/>
          <w:szCs w:val="22"/>
        </w:rPr>
      </w:pPr>
    </w:p>
    <w:p w:rsidRPr="004100C7" w:rsidR="004100C7" w:rsidP="00D355D7" w:rsidRDefault="004100C7" w14:paraId="5117A320" w14:textId="77777777">
      <w:pPr>
        <w:spacing w:line="276" w:lineRule="auto"/>
        <w:rPr>
          <w:rFonts w:ascii="Georgia" w:hAnsi="Georgia" w:cs="Georgia"/>
          <w:b/>
          <w:bCs/>
          <w:iCs/>
          <w:sz w:val="22"/>
          <w:szCs w:val="22"/>
        </w:rPr>
      </w:pPr>
      <w:r w:rsidRPr="004100C7">
        <w:rPr>
          <w:rFonts w:ascii="Georgia" w:hAnsi="Georgia" w:cs="Georgia"/>
          <w:b/>
          <w:bCs/>
          <w:iCs/>
          <w:sz w:val="22"/>
          <w:szCs w:val="22"/>
        </w:rPr>
        <w:t>Nachhaltigkeit steht weiter hoch im Kurs</w:t>
      </w:r>
    </w:p>
    <w:p w:rsidRPr="004100C7" w:rsidR="004100C7" w:rsidP="00D355D7" w:rsidRDefault="004100C7" w14:paraId="12D9F245" w14:textId="77777777">
      <w:pPr>
        <w:spacing w:line="276" w:lineRule="auto"/>
        <w:rPr>
          <w:rFonts w:ascii="Georgia" w:hAnsi="Georgia" w:cs="Georgia"/>
          <w:b/>
          <w:bCs/>
          <w:iCs/>
          <w:sz w:val="22"/>
          <w:szCs w:val="22"/>
        </w:rPr>
      </w:pPr>
    </w:p>
    <w:p w:rsidRPr="004100C7" w:rsidR="004100C7" w:rsidP="00D355D7" w:rsidRDefault="004100C7" w14:paraId="4E300D45" w14:textId="2F645C4A">
      <w:pPr>
        <w:spacing w:line="276" w:lineRule="auto"/>
        <w:rPr>
          <w:rFonts w:ascii="Georgia" w:hAnsi="Georgia" w:cs="Georgia"/>
          <w:iCs/>
          <w:sz w:val="22"/>
          <w:szCs w:val="22"/>
        </w:rPr>
      </w:pPr>
      <w:r w:rsidRPr="004100C7">
        <w:rPr>
          <w:rFonts w:ascii="Georgia" w:hAnsi="Georgia" w:cs="Georgia"/>
          <w:iCs/>
          <w:sz w:val="22"/>
          <w:szCs w:val="22"/>
        </w:rPr>
        <w:t xml:space="preserve">Auch wenn Nachhaltigkeitsthemen angesichts der wirtschaftlichen Probleme </w:t>
      </w:r>
      <w:r w:rsidR="00EA5B17">
        <w:rPr>
          <w:rFonts w:ascii="Georgia" w:hAnsi="Georgia" w:cs="Georgia"/>
          <w:iCs/>
          <w:sz w:val="22"/>
          <w:szCs w:val="22"/>
        </w:rPr>
        <w:t xml:space="preserve">in der öffentlichen Wahrnehmung </w:t>
      </w:r>
      <w:r w:rsidRPr="004100C7">
        <w:rPr>
          <w:rFonts w:ascii="Georgia" w:hAnsi="Georgia" w:cs="Georgia"/>
          <w:iCs/>
          <w:sz w:val="22"/>
          <w:szCs w:val="22"/>
        </w:rPr>
        <w:t xml:space="preserve">etwas </w:t>
      </w:r>
      <w:r w:rsidR="00EA5B17">
        <w:rPr>
          <w:rFonts w:ascii="Georgia" w:hAnsi="Georgia" w:cs="Georgia"/>
          <w:iCs/>
          <w:sz w:val="22"/>
          <w:szCs w:val="22"/>
        </w:rPr>
        <w:t xml:space="preserve">in den Hintergrund gerückt sind </w:t>
      </w:r>
      <w:r w:rsidRPr="004100C7">
        <w:rPr>
          <w:rFonts w:ascii="Georgia" w:hAnsi="Georgia" w:cs="Georgia"/>
          <w:iCs/>
          <w:sz w:val="22"/>
          <w:szCs w:val="22"/>
        </w:rPr>
        <w:t>– die PE-Investoren legen nach wie vor großen Wert darauf, nachhaltig zu handeln: So verfügen mittlerweile 96 Prozent aller befragten Gesellschaften über eine ESG-Policy und für insgesamt 97 Prozent der Befragten spielen Nachhaltigkeitsfaktoren immer (72 Prozent) oder in den meisten Fällen (25 Prozent) eine entscheidende Rolle bei Kaufentscheidungen.</w:t>
      </w:r>
    </w:p>
    <w:p w:rsidRPr="004100C7" w:rsidR="004100C7" w:rsidP="00D355D7" w:rsidRDefault="004100C7" w14:paraId="2479DF7E" w14:textId="77777777">
      <w:pPr>
        <w:spacing w:line="276" w:lineRule="auto"/>
        <w:rPr>
          <w:rFonts w:ascii="Georgia" w:hAnsi="Georgia" w:cs="Georgia"/>
          <w:iCs/>
          <w:sz w:val="22"/>
          <w:szCs w:val="22"/>
        </w:rPr>
      </w:pPr>
    </w:p>
    <w:p w:rsidRPr="004100C7" w:rsidR="004100C7" w:rsidP="00D355D7" w:rsidRDefault="004100C7" w14:paraId="727FACED" w14:textId="6FE7D3C9">
      <w:pPr>
        <w:spacing w:line="276" w:lineRule="auto"/>
        <w:rPr>
          <w:rFonts w:ascii="Georgia" w:hAnsi="Georgia" w:cs="Georgia"/>
          <w:iCs/>
          <w:sz w:val="22"/>
          <w:szCs w:val="22"/>
        </w:rPr>
      </w:pPr>
      <w:r w:rsidRPr="004100C7">
        <w:rPr>
          <w:rFonts w:ascii="Georgia" w:hAnsi="Georgia" w:cs="Georgia"/>
          <w:iCs/>
          <w:sz w:val="22"/>
          <w:szCs w:val="22"/>
        </w:rPr>
        <w:t>Entsprechend setzen 72 Prozent der Investoren all</w:t>
      </w:r>
      <w:r w:rsidR="00EA5B17">
        <w:rPr>
          <w:rFonts w:ascii="Georgia" w:hAnsi="Georgia" w:cs="Georgia"/>
          <w:iCs/>
          <w:sz w:val="22"/>
          <w:szCs w:val="22"/>
        </w:rPr>
        <w:t xml:space="preserve"> ihr</w:t>
      </w:r>
      <w:r w:rsidRPr="004100C7">
        <w:rPr>
          <w:rFonts w:ascii="Georgia" w:hAnsi="Georgia" w:cs="Georgia"/>
          <w:iCs/>
          <w:sz w:val="22"/>
          <w:szCs w:val="22"/>
        </w:rPr>
        <w:t xml:space="preserve">en </w:t>
      </w:r>
      <w:r w:rsidR="00EA5B17">
        <w:rPr>
          <w:rFonts w:ascii="Georgia" w:hAnsi="Georgia" w:cs="Georgia"/>
          <w:iCs/>
          <w:sz w:val="22"/>
          <w:szCs w:val="22"/>
        </w:rPr>
        <w:t>Portfoliou</w:t>
      </w:r>
      <w:r w:rsidRPr="004100C7">
        <w:rPr>
          <w:rFonts w:ascii="Georgia" w:hAnsi="Georgia" w:cs="Georgia"/>
          <w:iCs/>
          <w:sz w:val="22"/>
          <w:szCs w:val="22"/>
        </w:rPr>
        <w:t xml:space="preserve">nternehmen Nachhaltigkeitsziele, weitere 26 Prozent machen dies bei den meisten Portfoliounternehmen. Und: Eine sehr große Mehrheit der Befragten (72 Prozent) </w:t>
      </w:r>
      <w:r w:rsidR="00EA5B17">
        <w:rPr>
          <w:rFonts w:ascii="Georgia" w:hAnsi="Georgia" w:cs="Georgia"/>
          <w:iCs/>
          <w:sz w:val="22"/>
          <w:szCs w:val="22"/>
        </w:rPr>
        <w:t>ist</w:t>
      </w:r>
      <w:r w:rsidRPr="004100C7">
        <w:rPr>
          <w:rFonts w:ascii="Georgia" w:hAnsi="Georgia" w:cs="Georgia"/>
          <w:iCs/>
          <w:sz w:val="22"/>
          <w:szCs w:val="22"/>
        </w:rPr>
        <w:t xml:space="preserve"> der Meinung, dass die Erträge von Investitionen in Nachhaltigkeit deren Kosten übersteigen.</w:t>
      </w:r>
    </w:p>
    <w:p w:rsidRPr="004100C7" w:rsidR="004100C7" w:rsidP="00D355D7" w:rsidRDefault="004100C7" w14:paraId="2719FD3B" w14:textId="77777777">
      <w:pPr>
        <w:spacing w:line="276" w:lineRule="auto"/>
        <w:rPr>
          <w:rFonts w:ascii="Georgia" w:hAnsi="Georgia" w:cs="Georgia"/>
          <w:iCs/>
          <w:sz w:val="22"/>
          <w:szCs w:val="22"/>
        </w:rPr>
      </w:pPr>
    </w:p>
    <w:p w:rsidRPr="004100C7" w:rsidR="004100C7" w:rsidP="00D355D7" w:rsidRDefault="00EA5B17" w14:paraId="1AB66093" w14:textId="448EB4D1">
      <w:pPr>
        <w:spacing w:line="276" w:lineRule="auto"/>
        <w:rPr>
          <w:rFonts w:ascii="Georgia" w:hAnsi="Georgia" w:cs="Georgia"/>
          <w:iCs/>
          <w:sz w:val="22"/>
          <w:szCs w:val="22"/>
        </w:rPr>
      </w:pPr>
      <w:r>
        <w:rPr>
          <w:rFonts w:ascii="Georgia" w:hAnsi="Georgia" w:cs="Georgia"/>
          <w:iCs/>
          <w:sz w:val="22"/>
          <w:szCs w:val="22"/>
        </w:rPr>
        <w:t xml:space="preserve">Steve Roberts sagt dazu: </w:t>
      </w:r>
      <w:r w:rsidRPr="004100C7" w:rsidR="004100C7">
        <w:rPr>
          <w:rFonts w:ascii="Georgia" w:hAnsi="Georgia" w:cs="Georgia"/>
          <w:iCs/>
          <w:sz w:val="22"/>
          <w:szCs w:val="22"/>
        </w:rPr>
        <w:t xml:space="preserve">„Der Nachhaltigkeitstrend der vergangenen Jahre trifft aktuell auf einige Widerstände. Die PE-Branche zeigt sich davon unbeeindruckt: Ihr Engagement für ESG-Themen ist ungebrochen. Das liegt auch daran, dass die meisten Entscheider:innen der Branche der Meinung sind, dass es keinen Widerspruch zwischen Nachhaltigkeit und Rendite gibt – im Gegenteil.“ </w:t>
      </w:r>
    </w:p>
    <w:p w:rsidR="00EF51A7" w:rsidP="00D355D7" w:rsidRDefault="00EF51A7" w14:paraId="582FFD51" w14:textId="61A3AAD6">
      <w:pPr>
        <w:spacing w:line="276" w:lineRule="auto"/>
        <w:rPr>
          <w:rFonts w:ascii="Georgia" w:hAnsi="Georgia" w:cs="Georgia"/>
          <w:iCs/>
          <w:sz w:val="22"/>
          <w:szCs w:val="22"/>
        </w:rPr>
      </w:pPr>
    </w:p>
    <w:p w:rsidRPr="00157FCC" w:rsidR="007D4174" w:rsidP="00D355D7" w:rsidRDefault="007D4174" w14:paraId="287389DE" w14:textId="77777777">
      <w:pPr>
        <w:spacing w:line="276" w:lineRule="auto"/>
        <w:rPr>
          <w:rFonts w:ascii="Georgia" w:hAnsi="Georgia"/>
          <w:b/>
          <w:sz w:val="22"/>
        </w:rPr>
      </w:pPr>
      <w:r w:rsidRPr="00157FCC">
        <w:rPr>
          <w:rFonts w:ascii="Georgia" w:hAnsi="Georgia"/>
          <w:b/>
          <w:sz w:val="22"/>
        </w:rPr>
        <w:t xml:space="preserve">Pressekontakt: </w:t>
      </w:r>
    </w:p>
    <w:p w:rsidR="007D4174" w:rsidP="00D355D7" w:rsidRDefault="00953AD1" w14:paraId="10B1CE01" w14:textId="76AFEDEA">
      <w:pPr>
        <w:spacing w:line="276" w:lineRule="auto"/>
        <w:rPr>
          <w:rFonts w:ascii="Georgia" w:hAnsi="Georgia"/>
          <w:sz w:val="22"/>
        </w:rPr>
      </w:pPr>
      <w:r>
        <w:rPr>
          <w:rFonts w:ascii="Georgia" w:hAnsi="Georgia"/>
          <w:sz w:val="22"/>
        </w:rPr>
        <w:t>Bettina Graf</w:t>
      </w:r>
    </w:p>
    <w:p w:rsidR="00953AD1" w:rsidP="00D355D7" w:rsidRDefault="00953AD1" w14:paraId="00316DB7" w14:textId="23396440">
      <w:pPr>
        <w:spacing w:line="276" w:lineRule="auto"/>
        <w:rPr>
          <w:rFonts w:ascii="Georgia" w:hAnsi="Georgia"/>
          <w:sz w:val="22"/>
        </w:rPr>
      </w:pPr>
      <w:r>
        <w:rPr>
          <w:rFonts w:ascii="Georgia" w:hAnsi="Georgia"/>
          <w:sz w:val="22"/>
        </w:rPr>
        <w:t>PwC Communications</w:t>
      </w:r>
    </w:p>
    <w:p w:rsidR="00953AD1" w:rsidP="00D355D7" w:rsidRDefault="00953AD1" w14:paraId="673A738C" w14:textId="5F8505D7">
      <w:pPr>
        <w:spacing w:line="276" w:lineRule="auto"/>
        <w:rPr>
          <w:rFonts w:ascii="Georgia" w:hAnsi="Georgia"/>
          <w:sz w:val="22"/>
        </w:rPr>
      </w:pPr>
      <w:r w:rsidRPr="00953AD1">
        <w:rPr>
          <w:rFonts w:ascii="Georgia" w:hAnsi="Georgia"/>
          <w:sz w:val="22"/>
        </w:rPr>
        <w:t>Tel.: +49 69 9585-5678</w:t>
      </w:r>
    </w:p>
    <w:p w:rsidR="00953AD1" w:rsidP="00D355D7" w:rsidRDefault="00953AD1" w14:paraId="5AB48ABB" w14:textId="41469749">
      <w:pPr>
        <w:spacing w:line="276" w:lineRule="auto"/>
        <w:rPr>
          <w:rFonts w:ascii="Georgia" w:hAnsi="Georgia"/>
          <w:sz w:val="22"/>
        </w:rPr>
      </w:pPr>
      <w:hyperlink w:history="1" r:id="rId7">
        <w:r>
          <w:rPr>
            <w:rStyle w:val="Hyperlink"/>
            <w:rFonts w:ascii="Georgia" w:hAnsi="Georgia"/>
            <w:sz w:val="22"/>
          </w:rPr>
          <w:t>b</w:t>
        </w:r>
        <w:r w:rsidRPr="00920BCA">
          <w:rPr>
            <w:rStyle w:val="Hyperlink"/>
            <w:rFonts w:ascii="Georgia" w:hAnsi="Georgia"/>
            <w:sz w:val="22"/>
          </w:rPr>
          <w:t>ettina.graf@pwc.com</w:t>
        </w:r>
      </w:hyperlink>
      <w:r>
        <w:rPr>
          <w:rFonts w:ascii="Georgia" w:hAnsi="Georgia"/>
          <w:sz w:val="22"/>
        </w:rPr>
        <w:t xml:space="preserve"> </w:t>
      </w:r>
    </w:p>
    <w:p w:rsidRPr="00157FCC" w:rsidR="00953AD1" w:rsidP="00D355D7" w:rsidRDefault="00953AD1" w14:paraId="181116C4" w14:textId="77777777">
      <w:pPr>
        <w:spacing w:line="276" w:lineRule="auto"/>
        <w:rPr>
          <w:rFonts w:ascii="Georgia" w:hAnsi="Georgia"/>
          <w:sz w:val="22"/>
        </w:rPr>
      </w:pPr>
    </w:p>
    <w:p w:rsidR="005D5B7A" w:rsidP="3D1491B6" w:rsidRDefault="00EA5B17" w14:paraId="34B7E238" w14:textId="3772853E">
      <w:pPr>
        <w:spacing w:line="276" w:lineRule="auto"/>
        <w:rPr>
          <w:rFonts w:ascii="Georgia" w:hAnsi="Georgia" w:cs="Georgia"/>
          <w:color w:val="000000" w:themeColor="text1" w:themeTint="FF" w:themeShade="FF"/>
          <w:sz w:val="22"/>
          <w:szCs w:val="22"/>
        </w:rPr>
      </w:pPr>
    </w:p>
    <w:sectPr w:rsidR="005D5B7A" w:rsidSect="00BB6F94">
      <w:headerReference w:type="even" r:id="rId9"/>
      <w:headerReference w:type="default" r:id="rId10"/>
      <w:footerReference w:type="even" r:id="rId11"/>
      <w:footerReference w:type="default" r:id="rId12"/>
      <w:headerReference w:type="first" r:id="rId13"/>
      <w:footerReference w:type="first" r:id="rId14"/>
      <w:pgSz w:w="11906" w:h="16838" w:orient="portrait" w:code="9"/>
      <w:pgMar w:top="2268" w:right="1418" w:bottom="425"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901EB" w:rsidRDefault="005901EB" w14:paraId="15D026C7" w14:textId="77777777">
      <w:r>
        <w:separator/>
      </w:r>
    </w:p>
  </w:endnote>
  <w:endnote w:type="continuationSeparator" w:id="0">
    <w:p w:rsidR="005901EB" w:rsidRDefault="005901EB" w14:paraId="71DEC6D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D5B7A" w:rsidRDefault="00EA4E31" w14:paraId="75066AB3" w14:textId="77777777">
    <w:pPr>
      <w:pStyle w:val="Fuzeile"/>
      <w:framePr w:wrap="around" w:hAnchor="margin" w:vAnchor="text" w:xAlign="right" w:y="1"/>
      <w:rPr>
        <w:rStyle w:val="Seitenzahl"/>
        <w:rFonts w:ascii="Times New Roman" w:hAnsi="Times New Roman"/>
        <w:sz w:val="24"/>
        <w:lang w:val="de-DE"/>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rsidR="005D5B7A" w:rsidRDefault="005D5B7A" w14:paraId="12383DEE" w14:textId="7777777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8131217"/>
      <w:docPartObj>
        <w:docPartGallery w:val="Page Numbers (Bottom of Page)"/>
        <w:docPartUnique/>
      </w:docPartObj>
    </w:sdtPr>
    <w:sdtEndPr>
      <w:rPr>
        <w:rFonts w:ascii="Georgia" w:hAnsi="Georgia"/>
        <w:sz w:val="20"/>
        <w:szCs w:val="20"/>
      </w:rPr>
    </w:sdtEndPr>
    <w:sdtContent>
      <w:p w:rsidR="0014303A" w:rsidRDefault="0014303A" w14:paraId="2B4CB96F" w14:textId="77777777">
        <w:pPr>
          <w:pStyle w:val="Fuzeile"/>
          <w:jc w:val="right"/>
          <w:rPr>
            <w:rFonts w:ascii="Georgia" w:hAnsi="Georgia"/>
            <w:sz w:val="20"/>
            <w:szCs w:val="20"/>
          </w:rPr>
        </w:pPr>
      </w:p>
      <w:p w:rsidRPr="0014303A" w:rsidR="0014303A" w:rsidRDefault="0014303A" w14:paraId="2A13323C" w14:textId="08DD427F">
        <w:pPr>
          <w:pStyle w:val="Fuzeile"/>
          <w:jc w:val="right"/>
          <w:rPr>
            <w:rFonts w:ascii="Georgia" w:hAnsi="Georgia"/>
            <w:sz w:val="20"/>
            <w:szCs w:val="20"/>
          </w:rPr>
        </w:pPr>
        <w:r w:rsidRPr="0014303A">
          <w:rPr>
            <w:rFonts w:ascii="Georgia" w:hAnsi="Georgia"/>
            <w:sz w:val="20"/>
            <w:szCs w:val="20"/>
          </w:rPr>
          <w:fldChar w:fldCharType="begin"/>
        </w:r>
        <w:r w:rsidRPr="0014303A">
          <w:rPr>
            <w:rFonts w:ascii="Georgia" w:hAnsi="Georgia"/>
            <w:sz w:val="20"/>
            <w:szCs w:val="20"/>
          </w:rPr>
          <w:instrText>PAGE   \* MERGEFORMAT</w:instrText>
        </w:r>
        <w:r w:rsidRPr="0014303A">
          <w:rPr>
            <w:rFonts w:ascii="Georgia" w:hAnsi="Georgia"/>
            <w:sz w:val="20"/>
            <w:szCs w:val="20"/>
          </w:rPr>
          <w:fldChar w:fldCharType="separate"/>
        </w:r>
        <w:r w:rsidRPr="0014303A">
          <w:rPr>
            <w:rFonts w:ascii="Georgia" w:hAnsi="Georgia"/>
            <w:sz w:val="20"/>
            <w:szCs w:val="20"/>
            <w:lang w:val="de-DE"/>
          </w:rPr>
          <w:t>2</w:t>
        </w:r>
        <w:r w:rsidRPr="0014303A">
          <w:rPr>
            <w:rFonts w:ascii="Georgia" w:hAnsi="Georgia"/>
            <w:sz w:val="20"/>
            <w:szCs w:val="20"/>
          </w:rPr>
          <w:fldChar w:fldCharType="end"/>
        </w:r>
      </w:p>
    </w:sdtContent>
  </w:sdt>
  <w:p w:rsidR="005D5B7A" w:rsidRDefault="005D5B7A" w14:paraId="6A16FD1B" w14:textId="77777777">
    <w:pPr>
      <w:autoSpaceDE w:val="0"/>
      <w:autoSpaceDN w:val="0"/>
      <w:adjustRightInd w:val="0"/>
      <w:spacing w:line="240" w:lineRule="atLeast"/>
      <w:ind w:right="360"/>
      <w:jc w:val="center"/>
      <w:rPr>
        <w:rStyle w:val="Seitenzahl"/>
        <w:rFonts w:ascii="Arial" w:hAnsi="Arial"/>
        <w:sz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4303A" w:rsidRDefault="0014303A" w14:paraId="06E197F9" w14:textId="777777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901EB" w:rsidRDefault="005901EB" w14:paraId="3BB8CF17" w14:textId="77777777">
      <w:r>
        <w:separator/>
      </w:r>
    </w:p>
  </w:footnote>
  <w:footnote w:type="continuationSeparator" w:id="0">
    <w:p w:rsidR="005901EB" w:rsidRDefault="005901EB" w14:paraId="1DD170E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4303A" w:rsidRDefault="0014303A" w14:paraId="65919B05" w14:textId="777777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5D5B7A" w:rsidRDefault="00EA4E31" w14:paraId="2DEF1527" w14:textId="62631767">
    <w:pPr>
      <w:pStyle w:val="Kopfzeile"/>
      <w:ind w:left="6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4303A" w:rsidRDefault="0014303A" w14:paraId="5B28FD30"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6927F6"/>
    <w:multiLevelType w:val="hybridMultilevel"/>
    <w:tmpl w:val="2F5888A6"/>
    <w:lvl w:ilvl="0" w:tplc="AFD2AC1C">
      <w:numFmt w:val="bullet"/>
      <w:lvlText w:val=""/>
      <w:lvlJc w:val="left"/>
      <w:pPr>
        <w:ind w:left="720" w:hanging="360"/>
      </w:pPr>
      <w:rPr>
        <w:rFonts w:hint="default" w:ascii="Wingdings" w:hAnsi="Wingdings" w:eastAsia="Times New Roman" w:cs="Georgia"/>
        <w:sz w:val="22"/>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num w:numId="1" w16cid:durableId="28889631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5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174"/>
    <w:rsid w:val="00001965"/>
    <w:rsid w:val="0001150B"/>
    <w:rsid w:val="0001580E"/>
    <w:rsid w:val="00031650"/>
    <w:rsid w:val="00035B83"/>
    <w:rsid w:val="000374DC"/>
    <w:rsid w:val="00043E92"/>
    <w:rsid w:val="00063351"/>
    <w:rsid w:val="00064AB0"/>
    <w:rsid w:val="000759AC"/>
    <w:rsid w:val="000978E4"/>
    <w:rsid w:val="00097FDC"/>
    <w:rsid w:val="000A4B20"/>
    <w:rsid w:val="000C00EC"/>
    <w:rsid w:val="000C68D2"/>
    <w:rsid w:val="000D3F9C"/>
    <w:rsid w:val="000D6821"/>
    <w:rsid w:val="000F0534"/>
    <w:rsid w:val="0011068D"/>
    <w:rsid w:val="00111FA3"/>
    <w:rsid w:val="00121F76"/>
    <w:rsid w:val="00132494"/>
    <w:rsid w:val="001361B7"/>
    <w:rsid w:val="0014303A"/>
    <w:rsid w:val="0015281F"/>
    <w:rsid w:val="00155FBF"/>
    <w:rsid w:val="001732ED"/>
    <w:rsid w:val="001825F3"/>
    <w:rsid w:val="00190950"/>
    <w:rsid w:val="00195D4F"/>
    <w:rsid w:val="001B4174"/>
    <w:rsid w:val="001E1BF6"/>
    <w:rsid w:val="001E2C63"/>
    <w:rsid w:val="001E7073"/>
    <w:rsid w:val="001F38FE"/>
    <w:rsid w:val="0020550C"/>
    <w:rsid w:val="0021265D"/>
    <w:rsid w:val="00240696"/>
    <w:rsid w:val="00251B13"/>
    <w:rsid w:val="002543C5"/>
    <w:rsid w:val="00265590"/>
    <w:rsid w:val="00266449"/>
    <w:rsid w:val="002755E7"/>
    <w:rsid w:val="00294980"/>
    <w:rsid w:val="002A183E"/>
    <w:rsid w:val="002A4919"/>
    <w:rsid w:val="002A6C53"/>
    <w:rsid w:val="002E77FC"/>
    <w:rsid w:val="002F5B26"/>
    <w:rsid w:val="003005F6"/>
    <w:rsid w:val="00305085"/>
    <w:rsid w:val="00315764"/>
    <w:rsid w:val="0031747A"/>
    <w:rsid w:val="00325B41"/>
    <w:rsid w:val="00376DD6"/>
    <w:rsid w:val="00386C77"/>
    <w:rsid w:val="00392D6C"/>
    <w:rsid w:val="003C1BCB"/>
    <w:rsid w:val="003D384A"/>
    <w:rsid w:val="003D7F05"/>
    <w:rsid w:val="003E71ED"/>
    <w:rsid w:val="003E7812"/>
    <w:rsid w:val="003F54C9"/>
    <w:rsid w:val="004074AD"/>
    <w:rsid w:val="004100C7"/>
    <w:rsid w:val="00417689"/>
    <w:rsid w:val="00421802"/>
    <w:rsid w:val="00422C12"/>
    <w:rsid w:val="00433258"/>
    <w:rsid w:val="00455667"/>
    <w:rsid w:val="00461478"/>
    <w:rsid w:val="004949B7"/>
    <w:rsid w:val="00496950"/>
    <w:rsid w:val="004D0C0B"/>
    <w:rsid w:val="004D0ED1"/>
    <w:rsid w:val="00501638"/>
    <w:rsid w:val="0051217A"/>
    <w:rsid w:val="005137FF"/>
    <w:rsid w:val="00514505"/>
    <w:rsid w:val="005204ED"/>
    <w:rsid w:val="00544657"/>
    <w:rsid w:val="00550F77"/>
    <w:rsid w:val="00553E37"/>
    <w:rsid w:val="005901EB"/>
    <w:rsid w:val="005A2627"/>
    <w:rsid w:val="005A44AD"/>
    <w:rsid w:val="005B74E1"/>
    <w:rsid w:val="005C0D00"/>
    <w:rsid w:val="005C30A7"/>
    <w:rsid w:val="005D5B7A"/>
    <w:rsid w:val="00602E8F"/>
    <w:rsid w:val="00630E5F"/>
    <w:rsid w:val="006464EE"/>
    <w:rsid w:val="00650547"/>
    <w:rsid w:val="0065444C"/>
    <w:rsid w:val="0066120B"/>
    <w:rsid w:val="00664086"/>
    <w:rsid w:val="00664BDB"/>
    <w:rsid w:val="00686C84"/>
    <w:rsid w:val="00687E71"/>
    <w:rsid w:val="0069162B"/>
    <w:rsid w:val="00692B5F"/>
    <w:rsid w:val="006A13C5"/>
    <w:rsid w:val="006E5187"/>
    <w:rsid w:val="006F03BF"/>
    <w:rsid w:val="007048B0"/>
    <w:rsid w:val="007054E6"/>
    <w:rsid w:val="00716756"/>
    <w:rsid w:val="007172B2"/>
    <w:rsid w:val="007175DA"/>
    <w:rsid w:val="007301E7"/>
    <w:rsid w:val="0073442A"/>
    <w:rsid w:val="00735F26"/>
    <w:rsid w:val="007447D8"/>
    <w:rsid w:val="007905FB"/>
    <w:rsid w:val="00790B1A"/>
    <w:rsid w:val="007A2E6B"/>
    <w:rsid w:val="007A4C79"/>
    <w:rsid w:val="007C3D45"/>
    <w:rsid w:val="007D4174"/>
    <w:rsid w:val="007E4EB3"/>
    <w:rsid w:val="007F4465"/>
    <w:rsid w:val="007F6229"/>
    <w:rsid w:val="00807E99"/>
    <w:rsid w:val="008277D3"/>
    <w:rsid w:val="0083423C"/>
    <w:rsid w:val="00834374"/>
    <w:rsid w:val="00843DED"/>
    <w:rsid w:val="00855A5A"/>
    <w:rsid w:val="00860548"/>
    <w:rsid w:val="00867685"/>
    <w:rsid w:val="00871E5D"/>
    <w:rsid w:val="008A1B86"/>
    <w:rsid w:val="008A5AFC"/>
    <w:rsid w:val="008D1FB1"/>
    <w:rsid w:val="008D352D"/>
    <w:rsid w:val="008E77A8"/>
    <w:rsid w:val="00922049"/>
    <w:rsid w:val="00941C83"/>
    <w:rsid w:val="00953AD1"/>
    <w:rsid w:val="009600EF"/>
    <w:rsid w:val="009603B9"/>
    <w:rsid w:val="009642DB"/>
    <w:rsid w:val="00982A5D"/>
    <w:rsid w:val="009B5A16"/>
    <w:rsid w:val="009C2CA5"/>
    <w:rsid w:val="009D08B4"/>
    <w:rsid w:val="009D0B5E"/>
    <w:rsid w:val="009D780E"/>
    <w:rsid w:val="009D7CA1"/>
    <w:rsid w:val="009E4309"/>
    <w:rsid w:val="009F3C8E"/>
    <w:rsid w:val="009F5461"/>
    <w:rsid w:val="00A119F2"/>
    <w:rsid w:val="00A12E56"/>
    <w:rsid w:val="00A46589"/>
    <w:rsid w:val="00A574B1"/>
    <w:rsid w:val="00A72978"/>
    <w:rsid w:val="00A770ED"/>
    <w:rsid w:val="00A82D63"/>
    <w:rsid w:val="00A846C4"/>
    <w:rsid w:val="00AD4AF7"/>
    <w:rsid w:val="00AF1F94"/>
    <w:rsid w:val="00B12B22"/>
    <w:rsid w:val="00B1560D"/>
    <w:rsid w:val="00B33F56"/>
    <w:rsid w:val="00B510B4"/>
    <w:rsid w:val="00B61419"/>
    <w:rsid w:val="00B70D37"/>
    <w:rsid w:val="00B7346A"/>
    <w:rsid w:val="00B7763B"/>
    <w:rsid w:val="00B96305"/>
    <w:rsid w:val="00BB33C2"/>
    <w:rsid w:val="00BB53A2"/>
    <w:rsid w:val="00BB5AB5"/>
    <w:rsid w:val="00BE58A9"/>
    <w:rsid w:val="00BE75E9"/>
    <w:rsid w:val="00BF2801"/>
    <w:rsid w:val="00BF290E"/>
    <w:rsid w:val="00BF41AF"/>
    <w:rsid w:val="00C006BB"/>
    <w:rsid w:val="00C07A79"/>
    <w:rsid w:val="00C26EE0"/>
    <w:rsid w:val="00C31236"/>
    <w:rsid w:val="00C3250F"/>
    <w:rsid w:val="00C43316"/>
    <w:rsid w:val="00C45A98"/>
    <w:rsid w:val="00C932CC"/>
    <w:rsid w:val="00C94D75"/>
    <w:rsid w:val="00C97731"/>
    <w:rsid w:val="00CA5AFA"/>
    <w:rsid w:val="00CC6303"/>
    <w:rsid w:val="00CD7644"/>
    <w:rsid w:val="00CE3F75"/>
    <w:rsid w:val="00D02F07"/>
    <w:rsid w:val="00D11211"/>
    <w:rsid w:val="00D355D7"/>
    <w:rsid w:val="00D54CAE"/>
    <w:rsid w:val="00D562FD"/>
    <w:rsid w:val="00D63699"/>
    <w:rsid w:val="00D74400"/>
    <w:rsid w:val="00DB7A65"/>
    <w:rsid w:val="00DC4058"/>
    <w:rsid w:val="00DC6172"/>
    <w:rsid w:val="00DD3A22"/>
    <w:rsid w:val="00DD6C62"/>
    <w:rsid w:val="00DE1602"/>
    <w:rsid w:val="00DF6C0F"/>
    <w:rsid w:val="00E112D8"/>
    <w:rsid w:val="00E14F67"/>
    <w:rsid w:val="00E1729A"/>
    <w:rsid w:val="00E20D9E"/>
    <w:rsid w:val="00EA4E31"/>
    <w:rsid w:val="00EA5B17"/>
    <w:rsid w:val="00EA7A3C"/>
    <w:rsid w:val="00EC1123"/>
    <w:rsid w:val="00EE732F"/>
    <w:rsid w:val="00EE7857"/>
    <w:rsid w:val="00EF51A7"/>
    <w:rsid w:val="00F070EF"/>
    <w:rsid w:val="00F152E4"/>
    <w:rsid w:val="00F25C67"/>
    <w:rsid w:val="00F43F11"/>
    <w:rsid w:val="00F6548B"/>
    <w:rsid w:val="00F80DB4"/>
    <w:rsid w:val="00F879BE"/>
    <w:rsid w:val="00F94038"/>
    <w:rsid w:val="00FA0B40"/>
    <w:rsid w:val="00FD70E0"/>
    <w:rsid w:val="00FD7FE6"/>
    <w:rsid w:val="00FF5055"/>
    <w:rsid w:val="00FF543E"/>
    <w:rsid w:val="093034E5"/>
    <w:rsid w:val="0F294248"/>
    <w:rsid w:val="1C646F86"/>
    <w:rsid w:val="3D1491B6"/>
    <w:rsid w:val="3E567C35"/>
    <w:rsid w:val="4047F8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528B8"/>
  <w15:chartTrackingRefBased/>
  <w15:docId w15:val="{2ECBDB21-B316-42F6-ACEE-A2A36C557A2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7D4174"/>
    <w:pPr>
      <w:spacing w:after="0" w:line="240" w:lineRule="auto"/>
    </w:pPr>
    <w:rPr>
      <w:rFonts w:ascii="Times New Roman" w:hAnsi="Times New Roman" w:eastAsia="Times New Roman" w:cs="Times New Roman"/>
      <w:sz w:val="24"/>
      <w:szCs w:val="24"/>
      <w:lang w:eastAsia="de-DE"/>
    </w:rPr>
  </w:style>
  <w:style w:type="paragraph" w:styleId="berschrift5">
    <w:name w:val="heading 5"/>
    <w:basedOn w:val="Standard"/>
    <w:next w:val="Standard"/>
    <w:link w:val="berschrift5Zchn"/>
    <w:qFormat/>
    <w:rsid w:val="007D4174"/>
    <w:pPr>
      <w:keepNext/>
      <w:ind w:left="708" w:right="1134"/>
      <w:outlineLvl w:val="4"/>
    </w:pPr>
    <w:rPr>
      <w:rFonts w:ascii="Arial" w:hAnsi="Arial"/>
      <w:b/>
      <w:sz w:val="36"/>
      <w:lang w:val="en-US"/>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5Zchn" w:customStyle="1">
    <w:name w:val="Überschrift 5 Zchn"/>
    <w:basedOn w:val="Absatz-Standardschriftart"/>
    <w:link w:val="berschrift5"/>
    <w:rsid w:val="007D4174"/>
    <w:rPr>
      <w:rFonts w:ascii="Arial" w:hAnsi="Arial" w:eastAsia="Times New Roman" w:cs="Times New Roman"/>
      <w:b/>
      <w:sz w:val="36"/>
      <w:szCs w:val="24"/>
      <w:lang w:val="en-US" w:eastAsia="de-DE"/>
    </w:rPr>
  </w:style>
  <w:style w:type="paragraph" w:styleId="Kopfzeile">
    <w:name w:val="header"/>
    <w:basedOn w:val="Standard"/>
    <w:link w:val="KopfzeileZchn"/>
    <w:rsid w:val="007D4174"/>
    <w:pPr>
      <w:tabs>
        <w:tab w:val="center" w:pos="4703"/>
        <w:tab w:val="right" w:pos="9406"/>
      </w:tabs>
    </w:pPr>
    <w:rPr>
      <w:rFonts w:ascii="Arial" w:hAnsi="Arial"/>
      <w:sz w:val="22"/>
      <w:lang w:val="en-US"/>
    </w:rPr>
  </w:style>
  <w:style w:type="character" w:styleId="KopfzeileZchn" w:customStyle="1">
    <w:name w:val="Kopfzeile Zchn"/>
    <w:basedOn w:val="Absatz-Standardschriftart"/>
    <w:link w:val="Kopfzeile"/>
    <w:rsid w:val="007D4174"/>
    <w:rPr>
      <w:rFonts w:ascii="Arial" w:hAnsi="Arial" w:eastAsia="Times New Roman" w:cs="Times New Roman"/>
      <w:szCs w:val="24"/>
      <w:lang w:val="en-US" w:eastAsia="de-DE"/>
    </w:rPr>
  </w:style>
  <w:style w:type="character" w:styleId="Hyperlink">
    <w:name w:val="Hyperlink"/>
    <w:basedOn w:val="Absatz-Standardschriftart"/>
    <w:rsid w:val="007D4174"/>
    <w:rPr>
      <w:color w:val="0000FF"/>
      <w:u w:val="single"/>
    </w:rPr>
  </w:style>
  <w:style w:type="paragraph" w:styleId="Textkrper-Einzug2">
    <w:name w:val="Body Text Indent 2"/>
    <w:basedOn w:val="Standard"/>
    <w:link w:val="Textkrper-Einzug2Zchn"/>
    <w:rsid w:val="007D4174"/>
    <w:pPr>
      <w:spacing w:line="360" w:lineRule="auto"/>
      <w:ind w:left="708"/>
      <w:jc w:val="both"/>
    </w:pPr>
    <w:rPr>
      <w:rFonts w:ascii="Arial" w:hAnsi="Arial"/>
      <w:color w:val="000000"/>
      <w:sz w:val="22"/>
    </w:rPr>
  </w:style>
  <w:style w:type="character" w:styleId="Textkrper-Einzug2Zchn" w:customStyle="1">
    <w:name w:val="Textkörper-Einzug 2 Zchn"/>
    <w:basedOn w:val="Absatz-Standardschriftart"/>
    <w:link w:val="Textkrper-Einzug2"/>
    <w:rsid w:val="007D4174"/>
    <w:rPr>
      <w:rFonts w:ascii="Arial" w:hAnsi="Arial" w:eastAsia="Times New Roman" w:cs="Times New Roman"/>
      <w:color w:val="000000"/>
      <w:szCs w:val="24"/>
      <w:lang w:eastAsia="de-DE"/>
    </w:rPr>
  </w:style>
  <w:style w:type="character" w:styleId="Seitenzahl">
    <w:name w:val="page number"/>
    <w:basedOn w:val="Absatz-Standardschriftart"/>
    <w:rsid w:val="007D4174"/>
  </w:style>
  <w:style w:type="paragraph" w:styleId="Fuzeile">
    <w:name w:val="footer"/>
    <w:basedOn w:val="Standard"/>
    <w:link w:val="FuzeileZchn"/>
    <w:uiPriority w:val="99"/>
    <w:rsid w:val="007D4174"/>
    <w:pPr>
      <w:tabs>
        <w:tab w:val="center" w:pos="4703"/>
        <w:tab w:val="right" w:pos="9406"/>
      </w:tabs>
    </w:pPr>
    <w:rPr>
      <w:rFonts w:ascii="Arial" w:hAnsi="Arial"/>
      <w:sz w:val="22"/>
      <w:lang w:val="en-US"/>
    </w:rPr>
  </w:style>
  <w:style w:type="character" w:styleId="FuzeileZchn" w:customStyle="1">
    <w:name w:val="Fußzeile Zchn"/>
    <w:basedOn w:val="Absatz-Standardschriftart"/>
    <w:link w:val="Fuzeile"/>
    <w:uiPriority w:val="99"/>
    <w:rsid w:val="007D4174"/>
    <w:rPr>
      <w:rFonts w:ascii="Arial" w:hAnsi="Arial" w:eastAsia="Times New Roman" w:cs="Times New Roman"/>
      <w:szCs w:val="24"/>
      <w:lang w:val="en-US" w:eastAsia="de-DE"/>
    </w:rPr>
  </w:style>
  <w:style w:type="character" w:styleId="Kommentarzeichen">
    <w:name w:val="annotation reference"/>
    <w:basedOn w:val="Absatz-Standardschriftart"/>
    <w:uiPriority w:val="99"/>
    <w:semiHidden/>
    <w:unhideWhenUsed/>
    <w:rsid w:val="007D4174"/>
    <w:rPr>
      <w:sz w:val="16"/>
      <w:szCs w:val="16"/>
    </w:rPr>
  </w:style>
  <w:style w:type="paragraph" w:styleId="Kommentartext">
    <w:name w:val="annotation text"/>
    <w:basedOn w:val="Standard"/>
    <w:link w:val="KommentartextZchn"/>
    <w:uiPriority w:val="99"/>
    <w:unhideWhenUsed/>
    <w:rsid w:val="007D4174"/>
    <w:rPr>
      <w:sz w:val="20"/>
    </w:rPr>
  </w:style>
  <w:style w:type="character" w:styleId="KommentartextZchn" w:customStyle="1">
    <w:name w:val="Kommentartext Zchn"/>
    <w:basedOn w:val="Absatz-Standardschriftart"/>
    <w:link w:val="Kommentartext"/>
    <w:uiPriority w:val="99"/>
    <w:rsid w:val="007D4174"/>
    <w:rPr>
      <w:rFonts w:ascii="Times New Roman" w:hAnsi="Times New Roman" w:eastAsia="Times New Roman" w:cs="Times New Roman"/>
      <w:sz w:val="20"/>
      <w:szCs w:val="24"/>
      <w:lang w:eastAsia="de-DE"/>
    </w:rPr>
  </w:style>
  <w:style w:type="paragraph" w:styleId="Kommentarthema">
    <w:name w:val="annotation subject"/>
    <w:basedOn w:val="Kommentartext"/>
    <w:next w:val="Kommentartext"/>
    <w:link w:val="KommentarthemaZchn"/>
    <w:uiPriority w:val="99"/>
    <w:semiHidden/>
    <w:unhideWhenUsed/>
    <w:rsid w:val="00EA4E31"/>
    <w:rPr>
      <w:b/>
      <w:bCs/>
      <w:szCs w:val="20"/>
    </w:rPr>
  </w:style>
  <w:style w:type="character" w:styleId="KommentarthemaZchn" w:customStyle="1">
    <w:name w:val="Kommentarthema Zchn"/>
    <w:basedOn w:val="KommentartextZchn"/>
    <w:link w:val="Kommentarthema"/>
    <w:uiPriority w:val="99"/>
    <w:semiHidden/>
    <w:rsid w:val="00EA4E31"/>
    <w:rPr>
      <w:rFonts w:ascii="Times New Roman" w:hAnsi="Times New Roman" w:eastAsia="Times New Roman" w:cs="Times New Roman"/>
      <w:b/>
      <w:bCs/>
      <w:sz w:val="20"/>
      <w:szCs w:val="20"/>
      <w:lang w:eastAsia="de-DE"/>
    </w:rPr>
  </w:style>
  <w:style w:type="paragraph" w:styleId="berarbeitung">
    <w:name w:val="Revision"/>
    <w:hidden/>
    <w:uiPriority w:val="99"/>
    <w:semiHidden/>
    <w:rsid w:val="009600EF"/>
    <w:pPr>
      <w:spacing w:after="0" w:line="240" w:lineRule="auto"/>
    </w:pPr>
    <w:rPr>
      <w:rFonts w:ascii="Times New Roman" w:hAnsi="Times New Roman" w:eastAsia="Times New Roman" w:cs="Times New Roman"/>
      <w:sz w:val="24"/>
      <w:szCs w:val="24"/>
      <w:lang w:eastAsia="de-DE"/>
    </w:rPr>
  </w:style>
  <w:style w:type="paragraph" w:styleId="KeinLeerraum">
    <w:name w:val="No Spacing"/>
    <w:uiPriority w:val="1"/>
    <w:qFormat/>
    <w:rsid w:val="004100C7"/>
    <w:pPr>
      <w:spacing w:after="0" w:line="240" w:lineRule="auto"/>
    </w:pPr>
    <w:rPr>
      <w:kern w:val="2"/>
      <w:sz w:val="24"/>
      <w:szCs w:val="24"/>
      <w14:ligatures w14:val="standardContextual"/>
    </w:rPr>
  </w:style>
  <w:style w:type="character" w:styleId="NichtaufgelsteErwhnung">
    <w:name w:val="Unresolved Mention"/>
    <w:basedOn w:val="Absatz-Standardschriftart"/>
    <w:uiPriority w:val="99"/>
    <w:semiHidden/>
    <w:unhideWhenUsed/>
    <w:rsid w:val="00D35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951822">
      <w:bodyDiv w:val="1"/>
      <w:marLeft w:val="0"/>
      <w:marRight w:val="0"/>
      <w:marTop w:val="0"/>
      <w:marBottom w:val="0"/>
      <w:divBdr>
        <w:top w:val="none" w:sz="0" w:space="0" w:color="auto"/>
        <w:left w:val="none" w:sz="0" w:space="0" w:color="auto"/>
        <w:bottom w:val="none" w:sz="0" w:space="0" w:color="auto"/>
        <w:right w:val="none" w:sz="0" w:space="0" w:color="auto"/>
      </w:divBdr>
    </w:div>
    <w:div w:id="163810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3.xml" Id="rId13" /><Relationship Type="http://schemas.openxmlformats.org/officeDocument/2006/relationships/settings" Target="settings.xml" Id="rId3" /><Relationship Type="http://schemas.openxmlformats.org/officeDocument/2006/relationships/hyperlink" Target="mailto:Bettina.graf@pwc.com" TargetMode="External" Id="rId7" /><Relationship Type="http://schemas.openxmlformats.org/officeDocument/2006/relationships/footer" Target="footer2.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Korsten</dc:creator>
  <keywords/>
  <dc:description/>
  <lastModifiedBy>Bettina Graf (DE)</lastModifiedBy>
  <revision>6</revision>
  <dcterms:created xsi:type="dcterms:W3CDTF">2025-03-06T11:47:00.0000000Z</dcterms:created>
  <dcterms:modified xsi:type="dcterms:W3CDTF">2025-03-11T14:49:47.9480691Z</dcterms:modified>
</coreProperties>
</file>